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f343" w14:textId="45af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по государственному балансу запасов полезных ископаемых государственным органам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апреля 2015 года № 475. Зарегистрирован в Министерстве юстиции Республики Казахстан 20 августа 2015 года № 11917. Утратил силу приказом и.о. Министра по инвестициям и развитию Республики Казахстан от 25 мая 2018 года № 393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25.05.2018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по государственному балансу запасов полезных ископаемых государственным органам.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информации по государственному балансу запасов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государственным органам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по государственному балансу запасов полезных ископаемых государственным органам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(далее – Закон), определяют порядок предоставления информации по государственному </w:t>
      </w:r>
      <w:r>
        <w:rPr>
          <w:rFonts w:ascii="Times New Roman"/>
          <w:b w:val="false"/>
          <w:i w:val="false"/>
          <w:color w:val="000000"/>
          <w:sz w:val="28"/>
        </w:rPr>
        <w:t>балансу запасов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полезных ископаемых государственным органам.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информации по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балансу запасов полезных ископаемых государственным органам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Составленная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– уполномоченный орган) информация по государственному балансу запасов полезных ископаемых предоставляется государственным органам по официальному запросу в срок не позднее 10 (десяти) рабочих дней с момента поступления такого запроса: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Премьер-Министра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государственного планирования – по всем видам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нефти, газа, угля и урана – по углеводородному сырью, углю и урану;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фонда, водоснабжения, водоотведения за пределами населенных пунктов – по подземным 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по государственному балансу запасов полезных ископаемых направляется 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государственные органы: на электронных носителях – по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 электронного 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(ЕСЭДО) и на бумажных носителях – почтой.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по государственному балансу запасов полезных ископаемых предоставляется государственным органам,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одном экземпляре (на электронном и бумажном носителях) и тиражированию не подлежит.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по государственному балансу запасов полезных ископаемых предоставляется в государственные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балансу запасов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государственному балансу</w:t>
      </w:r>
      <w:r>
        <w:br/>
      </w:r>
      <w:r>
        <w:rPr>
          <w:rFonts w:ascii="Times New Roman"/>
          <w:b/>
          <w:i w:val="false"/>
          <w:color w:val="000000"/>
        </w:rPr>
        <w:t>запасов полезных ископаемых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49"/>
        <w:gridCol w:w="1749"/>
        <w:gridCol w:w="1749"/>
        <w:gridCol w:w="1749"/>
        <w:gridCol w:w="1749"/>
        <w:gridCol w:w="1749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компонента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запасы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Прирост/урост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