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c2d" w14:textId="9a29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проектирования и строительства дублирующих (шунтирующих) линий электропередачи и подстанций"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 июля 2015 года № 459. Зарегистрирован в Министерстве юстиции Республики Казахстан 31 июля 2015 года № 11812. Утратил силу приказом Министра энергетики Республики Казахстан от 21 мая 2020 года № 201 (вводится в действие по истечении двадцати одного календарного дня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21.05.2020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проектирования и строительства дублирующих (шунтирующих) линий электропередачи и подстанций".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6 мая 2014 года № 156 "Об утверждении Регламента государственной услуги "Согласование проектирования и строительства дублирующих (шунтирующих) линий электропередачи и подстанций" (зарегистрированный в Реестре государственной регистрации нормативных правовых актов под № 9511, опубликованный в газете "Казахстанская правда" от 19.02.2015 года № 33 (27909)).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его государственной регистрации в Министерстве юстиции Республики Казахстан направление на официальное опубликование копии настоящего приказа в периодические печатные издания и в информационно-правовую систему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направление копии настоящего приказа в течение десяти календарных дней со дня его получения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энергетики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Школьник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459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проектирования и</w:t>
      </w:r>
      <w:r>
        <w:br/>
      </w:r>
      <w:r>
        <w:rPr>
          <w:rFonts w:ascii="Times New Roman"/>
          <w:b/>
          <w:i w:val="false"/>
          <w:color w:val="000000"/>
        </w:rPr>
        <w:t>строительства дублирующих (шунтирующих) линий электропередачи и</w:t>
      </w:r>
      <w:r>
        <w:br/>
      </w:r>
      <w:r>
        <w:rPr>
          <w:rFonts w:ascii="Times New Roman"/>
          <w:b/>
          <w:i w:val="false"/>
          <w:color w:val="000000"/>
        </w:rPr>
        <w:t>подстанций"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"Согласование проектирования и строительства дублирующих (шунтирующих) линий электропередачи и подстанций" (далее – государственная услуга) оказывается на основании стандарта государственной услуги "Согласование проектирования и строительства дублирующих (шунтирующих) линий электропередачи и подстанций",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мая 2015 года № 341 (зарегистрированный в Реестре государственной регистрации нормативных правовых актов за № 11462) (далее - Стандарт)", Министерством энергетики Республики Казахстан (далее - услугодатель).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а также веб-портал www.e-lisence.kz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энергетики РК от 13.11.2017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 - электронная (частично автоматизированная) и (или) бумажная.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письмо-согласование проектирования и строительства дублирующих (шунтирующих) линий электропередачи и подстанций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энергетики РК от 13.11.2017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действия, услугодатель отказывает в приеме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энергетики РК от 13.11.2017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Порядок действий работников структурных подразделений при оказании государственной услуги, процедур (действия), и последовательность выполнения, в том числе этапы прохождения всех процедур (действий) в разрезе каждого структурного подразделения: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ответственный сотрудник канцелярии услугодателя осуществляет прием и регистрацию документов, направляет их руководству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директор департамента определяет ответственного исполнителя департамента и передает ему документы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полнота представленного услугополучателем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специалист департамента рассматривает документы услугополучателя на предмет полноты представленных документов, в случае - неполного представления документов в течение двух рабочих дней дается письменный мотивированный отказ в дальнейшем рассмотрении заявления, подготавливает и вносит результат оказания государственной услуги на рассмотрение директору департамента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7 и 8 -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в электронном виде в течение 1 рабочего дня.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(действия),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документов руководству для наложения резолюции;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наложение резолюции;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наложение резолюции, отправка ответственному исполнителю;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письма-согласования с материалами директору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визированной копии письма-согласования ответственному исполнителю;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передача подписанного письма-согласования на фирменном бланке ответственному исполнителю;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подписанного письма-согласования в канцелярию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выдача письма-согласования потребителю в электронном виде.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структурных подразделений (работников) услугодателя, которые участвуют в процедуре оказания государственной услуги: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ответственный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директор департамента;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департамента.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Блок-схема процесса (действий) между структурными подразделениями (работниками)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ответственный сотрудник канцелярии услугодателя осуществляет прием и регистрацию документов, направляет их руководству.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руководство услугодателя налагает резолюцию и направляет их на рассмотрение директору департамента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директор департамента определяет ответственного исполнителя департамента и передает ему документы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полнота представленного услугополучателем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специалист департамента рассматривает документы услугополучателя на предмет полноты представленных документов, подготавливает и вносит результат оказания государственной услуги на рассмотрение директору департамента в течение 2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директор департамента визирует результат оказания государственной услуги и передает на подпись руководству услугодателя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руководство услугодателя подписывает результат оказания государственной услуги и передает его специалисту департамента в течение 1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процедуры 7 и 8 - специалист департамента направляет результат оказания государственной услуги для регистрации в канцелярию услугодателя, специалист канцелярии услугодателя регистрирует и выдает результат оказания государственной услуги услугополучателю нарочно или направляет по почте в течение 1 рабочего дня.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последовательности процедур (действий)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ввод сотрудником услугодателя логина и пароля (процедура авторизации) в информационную систему государственной базы данных (далее - ИС ГБД) "Е-лицензирование"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в ИС ГБД "Е-лицензирование" подлинности данных о зарегистрированном сотруднике услугодателя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наличия данных услугополучателя в ГБД юридических лиц (далее - ГБД ЮЛ);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формирование сообщения о невозможности получения данных в связи с отсутствием данных услугополучателя в ГБД ЮЛ;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регистрация запроса в ИС ГБД "Е-лицензирование" и обработка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услугополучателя требованиям и основаниям для выдачи письма-согласования;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получение услугополучателем результата государственной услуги (электронная лицензия), сформированной ИС ГБД "Е-лицензирование". Электронный документ формируется с использованием электронной цифровой подписи (далее - ЭЦП)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порядка обращения и последовательности процедур (действий) услугополучателя: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1 - прикрепление в интернет-браузер компьютера услугополучателя регистрационного свидетельства ЭЦП, процедура ввода услугополучателем пароля (процедура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портале подлинности данных о зарегистрированном услугополучателе через логин (бизнес-идентификационный номер (далее - 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2 -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3 -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4 -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5 - формирование сообщения об отказе в запрашиваемой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7 -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услугополучателя требованиям и основаниям для выдачи письма-согласования;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8 -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9 -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4 - проверка услугодателем соответствия услугополучателя требованиям и основаниям для выдачи письма-согласования;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10 -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11 -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порядка обращения и последовательности процесса (действий) услугодателя и услугополучателя при оказании государственной услуги через портал указано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государственной-услуги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процедуры (действия) по оказанию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который служит основанием для</w:t>
      </w:r>
      <w:r>
        <w:br/>
      </w:r>
      <w:r>
        <w:rPr>
          <w:rFonts w:ascii="Times New Roman"/>
          <w:b/>
          <w:i w:val="false"/>
          <w:color w:val="000000"/>
        </w:rPr>
        <w:t>начала выполнения следующей процедуры (действия)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1"/>
        <w:gridCol w:w="1704"/>
        <w:gridCol w:w="822"/>
        <w:gridCol w:w="1264"/>
        <w:gridCol w:w="1165"/>
        <w:gridCol w:w="1165"/>
        <w:gridCol w:w="1459"/>
        <w:gridCol w:w="1165"/>
        <w:gridCol w:w="1755"/>
      </w:tblGrid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 функциональной единицы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канцелярии услугодателя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Департамента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услугодателя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Департамента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(процедура, операции) и их описание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документов, направление документов руководству для наложения резолюции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ответственного структурного подразделения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корреспонденцией определение ответственного исполнителя для рассмотрения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письма-согласования на фирменном бланке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Визирование копии письма-согласования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письма-согласования на фирменном бланке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подписанного письма-согласования в канцелярию услугодателя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письма-согласования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 распорядительное решение)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документов руководству для наложения резолюции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Наложение резолюции, отправка ответственному исполнителю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письма-согласования с материалами Директору Департамента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визированной копии письма-согласования ответственному исполнителю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подписанного письма-согласования на фирменном бланке ответственному исполнителю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подписанного письма-согласования в канцелярию услугодателя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письма- согласования потребителю нарочно или по средствам почтовой связи</w:t>
            </w:r>
          </w:p>
        </w:tc>
      </w:tr>
      <w:tr>
        <w:trPr>
          <w:trHeight w:val="30" w:hRule="atLeast"/>
        </w:trPr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рабочих дня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рабочий день,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с указанием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длительности каждой процедуры (действия) 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проектирования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 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подстанций"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процесса</w:t>
      </w:r>
      <w:r>
        <w:br/>
      </w:r>
      <w:r>
        <w:rPr>
          <w:rFonts w:ascii="Times New Roman"/>
          <w:b/>
          <w:i w:val="false"/>
          <w:color w:val="000000"/>
        </w:rPr>
        <w:t>(действий) услугодателя и услугополучателя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через портал</w:t>
      </w:r>
      <w:r>
        <w:br/>
      </w:r>
      <w:r>
        <w:rPr>
          <w:rFonts w:ascii="Times New Roman"/>
          <w:b/>
          <w:i w:val="false"/>
          <w:color w:val="000000"/>
        </w:rPr>
        <w:t>Диаграмма 1</w:t>
      </w:r>
      <w:r>
        <w:br/>
      </w:r>
      <w:r>
        <w:rPr>
          <w:rFonts w:ascii="Times New Roman"/>
          <w:b/>
          <w:i w:val="false"/>
          <w:color w:val="000000"/>
        </w:rPr>
        <w:t>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услугодателя 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2</w:t>
      </w:r>
      <w:r>
        <w:br/>
      </w:r>
      <w:r>
        <w:rPr>
          <w:rFonts w:ascii="Times New Roman"/>
          <w:b/>
          <w:i w:val="false"/>
          <w:color w:val="000000"/>
        </w:rPr>
        <w:t>Функциональное взаимодействие информационных систем при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оказании государственной услуги через услугополучателя 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