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7264" w14:textId="eaf7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начале 2015 - 2016 учебного года в общеобразовательных учебных заведениях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8 июня 2015 года № 364. Зарегистрирован в Министерстве юстиции Республики Казахстан 3 июля 2015 года № 11548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пунктом 37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общеобязательного стандарта среднего образования Республики Казахстан (начального, основного среднего, общего среднего образования), утвержденного постановлением Правительства Республики Казахстан от 23 августа 2012 года № 1080,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1 сентября 2015 года началом 2015 - 2016 учебного года в общеобразовательных учебных заведениях независимо от форм собственности и ведомственной подчиненности.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учебного года в предшкольных классах – 32 учебные недели, 1 классах – 33 учебные недели, во 2-11(12) классах - 34 учебные недели.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учебного года устанавливаются каникулы: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1-11 классах: осенние – 8 дней (с 4 по 11 ноября 2015 года включительно), зимние – 10 дней (с 30 декабря 2015 года по 8 января 2016 года включительно), весенние – 12 дней (с 21 марта по 1 апреля 2016 года включительно);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предшкольных классах: осенние – 8 дней (с 4 по 11 ноября 2015 года включительно), зимние – 14 дней (с 28 декабря 2015 года по 10 января 2016 года включительно), весенние – 15 дней (с 21 марта по 4 апреля 2016 года включительно);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предшкольных и 1 классах: дополнительные каникулы – 7 дней (с 1 по 7 февраля 2016 года включительно).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1 сентября 2015 года во всех общеобразовательных организациях провести торжественную линейку, посвященную 20-летию Ассамблеи народа Казахстана и Конституции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дошкольного и среднего образования, информационных технологий (Жонтаева Ж.А.)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официальное опубликование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образования и науки Республики Казахстан Имангалиева Е.Н.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Саринжипов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