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f59e" w14:textId="63af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надлежащих фармацевтических практик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27 мая 2015 года № 392. Зарегистрирован в Министерстве юстиции Республики Казахстан 30 июня 2015 года № 11506. Утратил силу приказом и.о. Министра здравоохранения Республики Казахстан от 4 февраля 2021 года № ҚР ДСМ-15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04.02.2021 </w:t>
      </w:r>
      <w:r>
        <w:rPr>
          <w:rFonts w:ascii="Times New Roman"/>
          <w:b w:val="false"/>
          <w:i w:val="false"/>
          <w:color w:val="ff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Стандарт надлежащей лабораторной практики (GLP)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Стандарт надлежащей клинической практики (GCP)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Стандарт надлежащей производственной практики (GMP)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Стандарт надлежащей дистрибьюторской практики (GDP)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Стандарт надлежащей аптечной практики (GPP)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xml:space="preserve">
      6) Стандарт надлежащей практики фармаконадзора (GVP)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и социального развития Республики Казахстан обеспечить:</w:t>
      </w:r>
    </w:p>
    <w:bookmarkEnd w:id="8"/>
    <w:bookmarkStart w:name="z10"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1" w:id="10"/>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bookmarkEnd w:id="10"/>
    <w:bookmarkStart w:name="z12"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End w:id="11"/>
    <w:bookmarkStart w:name="z13" w:id="1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A.В.</w:t>
      </w:r>
    </w:p>
    <w:bookmarkEnd w:id="12"/>
    <w:bookmarkStart w:name="z14"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социальной защиты Республики Казахстан</w:t>
            </w:r>
            <w:r>
              <w:br/>
            </w:r>
            <w:r>
              <w:rPr>
                <w:rFonts w:ascii="Times New Roman"/>
                <w:b w:val="false"/>
                <w:i w:val="false"/>
                <w:color w:val="000000"/>
                <w:sz w:val="20"/>
              </w:rPr>
              <w:t>от 27 мая 2015 года № 392</w:t>
            </w:r>
          </w:p>
        </w:tc>
      </w:tr>
    </w:tbl>
    <w:bookmarkStart w:name="z16" w:id="14"/>
    <w:p>
      <w:pPr>
        <w:spacing w:after="0"/>
        <w:ind w:left="0"/>
        <w:jc w:val="left"/>
      </w:pPr>
      <w:r>
        <w:rPr>
          <w:rFonts w:ascii="Times New Roman"/>
          <w:b/>
          <w:i w:val="false"/>
          <w:color w:val="000000"/>
        </w:rPr>
        <w:t xml:space="preserve"> Стандарт надлежащей лабораторной практики (GLP)</w:t>
      </w:r>
    </w:p>
    <w:bookmarkEnd w:id="14"/>
    <w:p>
      <w:pPr>
        <w:spacing w:after="0"/>
        <w:ind w:left="0"/>
        <w:jc w:val="both"/>
      </w:pPr>
      <w:r>
        <w:rPr>
          <w:rFonts w:ascii="Times New Roman"/>
          <w:b w:val="false"/>
          <w:i w:val="false"/>
          <w:color w:val="ff0000"/>
          <w:sz w:val="28"/>
        </w:rPr>
        <w:t xml:space="preserve">
      Сноска. Стандарт с изменениями, внесенными приказом Министра здравоохранения РК от 08.05.2019 </w:t>
      </w:r>
      <w:r>
        <w:rPr>
          <w:rFonts w:ascii="Times New Roman"/>
          <w:b w:val="false"/>
          <w:i w:val="false"/>
          <w:color w:val="ff0000"/>
          <w:sz w:val="28"/>
        </w:rPr>
        <w:t>№ ҚР ДСМ-71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1717"/>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Введение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надлежащей лабораторной практики (далее – Стандарт) применяются в доклинических (неклинических) исследованиях по безопасности лекарственных средств и (или) веществ, содержащихся в лекарственных препаратах.</w:t>
            </w:r>
          </w:p>
          <w:p>
            <w:pPr>
              <w:spacing w:after="20"/>
              <w:ind w:left="20"/>
              <w:jc w:val="both"/>
            </w:pPr>
            <w:r>
              <w:rPr>
                <w:rFonts w:ascii="Times New Roman"/>
                <w:b w:val="false"/>
                <w:i w:val="false"/>
                <w:color w:val="000000"/>
                <w:sz w:val="20"/>
              </w:rPr>
              <w:t>
   Целью исследования является получение данных об их свойствах и (или) безопасности для здоровья человека и окружающей среды.</w:t>
            </w:r>
          </w:p>
          <w:p>
            <w:pPr>
              <w:spacing w:after="20"/>
              <w:ind w:left="20"/>
              <w:jc w:val="both"/>
            </w:pPr>
            <w:r>
              <w:rPr>
                <w:rFonts w:ascii="Times New Roman"/>
                <w:b w:val="false"/>
                <w:i w:val="false"/>
                <w:color w:val="000000"/>
                <w:sz w:val="20"/>
              </w:rPr>
              <w:t>
   Цель Стандарта – содействие обеспечению качества результатов исследований. Стандарт следует применять в неклинических исследованиях по безопасности испытуемых веществ, содержащихся в лекарственных средствах, медицинских изделий. Эти испытуемые вещества часто являются синтетическими химикатами, либо натурального или биологического происхождения, а в некоторых случаях, живыми организмами. Целью исследования этих испытуемых веществ является получение данных об их свойствах и (или) безопасности для здоровья человека и окружающей среды.</w:t>
            </w:r>
          </w:p>
          <w:p>
            <w:pPr>
              <w:spacing w:after="20"/>
              <w:ind w:left="20"/>
              <w:jc w:val="both"/>
            </w:pPr>
            <w:r>
              <w:rPr>
                <w:rFonts w:ascii="Times New Roman"/>
                <w:b w:val="false"/>
                <w:i w:val="false"/>
                <w:color w:val="000000"/>
                <w:sz w:val="20"/>
              </w:rPr>
              <w:t>
  Применение принципов Стандарта оказывает помощь в устранении создания технических барьеров в торговле, и дальнейшего улучшения защиты здоровья человека и окружающей среды.</w:t>
            </w:r>
          </w:p>
          <w:p>
            <w:pPr>
              <w:spacing w:after="20"/>
              <w:ind w:left="20"/>
              <w:jc w:val="both"/>
            </w:pPr>
            <w:r>
              <w:rPr>
                <w:rFonts w:ascii="Times New Roman"/>
                <w:b w:val="false"/>
                <w:i w:val="false"/>
                <w:color w:val="000000"/>
                <w:sz w:val="20"/>
              </w:rPr>
              <w:t>
  Доклинические (неклинические) исследования безопасности для здоровья человека и окружающей среды, к которым применяется Стандарт, включают работу, проводимую в лаборатории и условиях вивария.</w:t>
            </w:r>
          </w:p>
          <w:p>
            <w:pPr>
              <w:spacing w:after="20"/>
              <w:ind w:left="20"/>
              <w:jc w:val="both"/>
            </w:pPr>
            <w:r>
              <w:rPr>
                <w:rFonts w:ascii="Times New Roman"/>
                <w:b w:val="false"/>
                <w:i w:val="false"/>
                <w:color w:val="000000"/>
                <w:sz w:val="20"/>
              </w:rPr>
              <w:t xml:space="preserve">
 Стандарт применяется ко всем доклиническим и неклиническим исследованиям безопасности для здоровья человека и окружающей среды, проведение которых требуется в соответствии с Правилами проведения экспертизы лекарственных средств и медицинских изделий согласно </w:t>
            </w:r>
            <w:r>
              <w:rPr>
                <w:rFonts w:ascii="Times New Roman"/>
                <w:b w:val="false"/>
                <w:i w:val="false"/>
                <w:color w:val="000000"/>
                <w:sz w:val="20"/>
              </w:rPr>
              <w:t>пункту 1</w:t>
            </w:r>
            <w:r>
              <w:rPr>
                <w:rFonts w:ascii="Times New Roman"/>
                <w:b w:val="false"/>
                <w:i w:val="false"/>
                <w:color w:val="000000"/>
                <w:sz w:val="20"/>
              </w:rPr>
              <w:t xml:space="preserve"> статьи 63 Кодекса Республики Казахстан от 18 сентября 2009 года "О здоровье народа и системе здравоохранения".</w:t>
            </w:r>
          </w:p>
          <w:p>
            <w:pPr>
              <w:spacing w:after="20"/>
              <w:ind w:left="20"/>
              <w:jc w:val="both"/>
            </w:pPr>
            <w:r>
              <w:rPr>
                <w:rFonts w:ascii="Times New Roman"/>
                <w:b w:val="false"/>
                <w:i w:val="false"/>
                <w:color w:val="000000"/>
                <w:sz w:val="20"/>
              </w:rPr>
              <w:t>
  Стандарт пересматривается на регулярной основе с учетом опыта их применения в Республике Казахстан, а также в случае изменений положений международных норм проведения доклинических (неклинических) исследований с внесением необходимых изменений и дополнений не реже 1 раза в 5 лет.</w:t>
            </w:r>
          </w:p>
          <w:p>
            <w:pPr>
              <w:spacing w:after="20"/>
              <w:ind w:left="20"/>
              <w:jc w:val="both"/>
            </w:pPr>
            <w:r>
              <w:rPr>
                <w:rFonts w:ascii="Times New Roman"/>
                <w:b w:val="false"/>
                <w:i w:val="false"/>
                <w:color w:val="000000"/>
                <w:sz w:val="20"/>
              </w:rPr>
              <w:t>
  Стандарт применяется также в целях исследования других веществ и видов продукции.</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Термины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Стандарте применяются следующие термины:</w:t>
            </w:r>
          </w:p>
          <w:p>
            <w:pPr>
              <w:spacing w:after="20"/>
              <w:ind w:left="20"/>
              <w:jc w:val="both"/>
            </w:pPr>
            <w:r>
              <w:rPr>
                <w:rFonts w:ascii="Times New Roman"/>
                <w:b w:val="false"/>
                <w:i w:val="false"/>
                <w:color w:val="000000"/>
                <w:sz w:val="20"/>
              </w:rPr>
              <w:t>
   1.1. аппаратное обеспечение - физические компоненты компьютеризированной системы, включая как сам компьютер, так и его периферийные компоненты;</w:t>
            </w:r>
          </w:p>
          <w:p>
            <w:pPr>
              <w:spacing w:after="20"/>
              <w:ind w:left="20"/>
              <w:jc w:val="both"/>
            </w:pPr>
            <w:r>
              <w:rPr>
                <w:rFonts w:ascii="Times New Roman"/>
                <w:b w:val="false"/>
                <w:i w:val="false"/>
                <w:color w:val="000000"/>
                <w:sz w:val="20"/>
              </w:rPr>
              <w:t>
   1.2. асептические условия - условия, предоставляемые или существующие в рабочей среде, при которых возможность микробного и (или) вирусного заражения сведена к минимуму;</w:t>
            </w:r>
          </w:p>
          <w:p>
            <w:pPr>
              <w:spacing w:after="20"/>
              <w:ind w:left="20"/>
              <w:jc w:val="both"/>
            </w:pPr>
            <w:r>
              <w:rPr>
                <w:rFonts w:ascii="Times New Roman"/>
                <w:b w:val="false"/>
                <w:i w:val="false"/>
                <w:color w:val="000000"/>
                <w:sz w:val="20"/>
              </w:rPr>
              <w:t>
   1.3. аудит исследования - систематическое, независимое и документированное сравнение исходных данных и имеющей к ним отношение информации с промежуточным и заключительным отчетом с целью определения точности предоставления исходных данных, проведения испытания согласно протоколу, плану, программе исследования и стандартным операционным процедурам, получения дополнительной информации, не описанной в отчете, и определения, повлияли ли методы, применяемые при получении данных, на их достоверность у всех вовлеченных в исследование сторон;</w:t>
            </w:r>
          </w:p>
          <w:p>
            <w:pPr>
              <w:spacing w:after="20"/>
              <w:ind w:left="20"/>
              <w:jc w:val="both"/>
            </w:pPr>
            <w:r>
              <w:rPr>
                <w:rFonts w:ascii="Times New Roman"/>
                <w:b w:val="false"/>
                <w:i w:val="false"/>
                <w:color w:val="000000"/>
                <w:sz w:val="20"/>
              </w:rPr>
              <w:t>
   1.4. валидация – подтверждение на основе предстваления объективных свидетельств того, что требования, предназначенные для конкретного использования или применения, выполнены;</w:t>
            </w:r>
          </w:p>
          <w:p>
            <w:pPr>
              <w:spacing w:after="20"/>
              <w:ind w:left="20"/>
              <w:jc w:val="both"/>
            </w:pPr>
            <w:r>
              <w:rPr>
                <w:rFonts w:ascii="Times New Roman"/>
                <w:b w:val="false"/>
                <w:i w:val="false"/>
                <w:color w:val="000000"/>
                <w:sz w:val="20"/>
              </w:rPr>
              <w:t>
   1.5. валидация компьютеризированной системы - подтверждение того, что компьютерная система подходит для предусмотренной области применения;</w:t>
            </w:r>
          </w:p>
          <w:p>
            <w:pPr>
              <w:spacing w:after="20"/>
              <w:ind w:left="20"/>
              <w:jc w:val="both"/>
            </w:pPr>
            <w:r>
              <w:rPr>
                <w:rFonts w:ascii="Times New Roman"/>
                <w:b w:val="false"/>
                <w:i w:val="false"/>
                <w:color w:val="000000"/>
                <w:sz w:val="20"/>
              </w:rPr>
              <w:t>
   1.6. виварий - место содержания и (или) разведения, использования животных при проведении доклинических (неклинических) исследований;</w:t>
            </w:r>
          </w:p>
          <w:p>
            <w:pPr>
              <w:spacing w:after="20"/>
              <w:ind w:left="20"/>
              <w:jc w:val="both"/>
            </w:pPr>
            <w:r>
              <w:rPr>
                <w:rFonts w:ascii="Times New Roman"/>
                <w:b w:val="false"/>
                <w:i w:val="false"/>
                <w:color w:val="000000"/>
                <w:sz w:val="20"/>
              </w:rPr>
              <w:t>
   1.7. ведущий исследователь (ответственный исследователь) - лицо, которое, в случае проведения исследований на нескольких площадках (мультицентровое исследование), действует от имени руководителя исследования и несет ответственность за переданные в его ведение фазы исследования;</w:t>
            </w:r>
          </w:p>
          <w:p>
            <w:pPr>
              <w:spacing w:after="20"/>
              <w:ind w:left="20"/>
              <w:jc w:val="both"/>
            </w:pPr>
            <w:r>
              <w:rPr>
                <w:rFonts w:ascii="Times New Roman"/>
                <w:b w:val="false"/>
                <w:i w:val="false"/>
                <w:color w:val="000000"/>
                <w:sz w:val="20"/>
              </w:rPr>
              <w:t>
   1.8. генная трансфекция - введение чужеродной, дополнительной дезоксирибонуклейновой кислотой (далее - ДНК) (одиночные или множественные гены) в клетку-хозяина;</w:t>
            </w:r>
          </w:p>
          <w:p>
            <w:pPr>
              <w:spacing w:after="20"/>
              <w:ind w:left="20"/>
              <w:jc w:val="both"/>
            </w:pPr>
            <w:r>
              <w:rPr>
                <w:rFonts w:ascii="Times New Roman"/>
                <w:b w:val="false"/>
                <w:i w:val="false"/>
                <w:color w:val="000000"/>
                <w:sz w:val="20"/>
              </w:rPr>
              <w:t>
   1.9. дата начала исследования - дата подписания протокола, плана, программы исследования руководителем исследования;</w:t>
            </w:r>
          </w:p>
          <w:p>
            <w:pPr>
              <w:spacing w:after="20"/>
              <w:ind w:left="20"/>
              <w:jc w:val="both"/>
            </w:pPr>
            <w:r>
              <w:rPr>
                <w:rFonts w:ascii="Times New Roman"/>
                <w:b w:val="false"/>
                <w:i w:val="false"/>
                <w:color w:val="000000"/>
                <w:sz w:val="20"/>
              </w:rPr>
              <w:t>
   1.10. дата начала эксперимента - дата получения первых специфических данных исследования;</w:t>
            </w:r>
          </w:p>
          <w:p>
            <w:pPr>
              <w:spacing w:after="20"/>
              <w:ind w:left="20"/>
              <w:jc w:val="both"/>
            </w:pPr>
            <w:r>
              <w:rPr>
                <w:rFonts w:ascii="Times New Roman"/>
                <w:b w:val="false"/>
                <w:i w:val="false"/>
                <w:color w:val="000000"/>
                <w:sz w:val="20"/>
              </w:rPr>
              <w:t>
   1.11. дата окончания исследования - дата подписания заключительного отчета руководителем исследования;</w:t>
            </w:r>
          </w:p>
          <w:p>
            <w:pPr>
              <w:spacing w:after="20"/>
              <w:ind w:left="20"/>
              <w:jc w:val="both"/>
            </w:pPr>
            <w:r>
              <w:rPr>
                <w:rFonts w:ascii="Times New Roman"/>
                <w:b w:val="false"/>
                <w:i w:val="false"/>
                <w:color w:val="000000"/>
                <w:sz w:val="20"/>
              </w:rPr>
              <w:t>
   1.12. дата окончания эксперимента - последний день получения данных в исследовании;</w:t>
            </w:r>
          </w:p>
          <w:p>
            <w:pPr>
              <w:spacing w:after="20"/>
              <w:ind w:left="20"/>
              <w:jc w:val="both"/>
            </w:pPr>
            <w:r>
              <w:rPr>
                <w:rFonts w:ascii="Times New Roman"/>
                <w:b w:val="false"/>
                <w:i w:val="false"/>
                <w:color w:val="000000"/>
                <w:sz w:val="20"/>
              </w:rPr>
              <w:t>
   1.13. договор - письменное, датированное и подписанное соглашение между двумя или более сторонами, определяющее договоренности, касающиеся распределения объема работ, прав, обязанностей, и, при необходимости, финансовые вопросы;</w:t>
            </w:r>
          </w:p>
          <w:p>
            <w:pPr>
              <w:spacing w:after="20"/>
              <w:ind w:left="20"/>
              <w:jc w:val="both"/>
            </w:pPr>
            <w:r>
              <w:rPr>
                <w:rFonts w:ascii="Times New Roman"/>
                <w:b w:val="false"/>
                <w:i w:val="false"/>
                <w:color w:val="000000"/>
                <w:sz w:val="20"/>
              </w:rPr>
              <w:t>
   1.14. доклиническое (неклиническое) исследование - химические, физические, биологические, микробиологические, фармакологические, токсикологические и другие экспериментальные исследования или серия исследований по изучению исследуемого вещества (лекарственного средства) или физического воздействия, средств, методов и технологий профилактики, диагностики и лечения заболеваний путем применения научных методов оценок в целях изучения специфического действия и (или) доказательств безопасности для здоровья человека;</w:t>
            </w:r>
          </w:p>
          <w:p>
            <w:pPr>
              <w:spacing w:after="20"/>
              <w:ind w:left="20"/>
              <w:jc w:val="both"/>
            </w:pPr>
            <w:r>
              <w:rPr>
                <w:rFonts w:ascii="Times New Roman"/>
                <w:b w:val="false"/>
                <w:i w:val="false"/>
                <w:color w:val="000000"/>
                <w:sz w:val="20"/>
              </w:rPr>
              <w:t>
   1.15. документация - записи в любой форме, описывающие, либо регистрирующие методы, организацию и (или) результаты доклинического (неклинического) исследования лекарственного средства, факторы, влияющие на исследование и принятые меры;</w:t>
            </w:r>
          </w:p>
          <w:p>
            <w:pPr>
              <w:spacing w:after="20"/>
              <w:ind w:left="20"/>
              <w:jc w:val="both"/>
            </w:pPr>
            <w:r>
              <w:rPr>
                <w:rFonts w:ascii="Times New Roman"/>
                <w:b w:val="false"/>
                <w:i w:val="false"/>
                <w:color w:val="000000"/>
                <w:sz w:val="20"/>
              </w:rPr>
              <w:t>
   1.16. изменения протокола, плана, программы исследования - преднамеренные поправки (внесение изменений) в протокол, план, программу исследования после даты начала исследования;</w:t>
            </w:r>
          </w:p>
          <w:p>
            <w:pPr>
              <w:spacing w:after="20"/>
              <w:ind w:left="20"/>
              <w:jc w:val="both"/>
            </w:pPr>
            <w:r>
              <w:rPr>
                <w:rFonts w:ascii="Times New Roman"/>
                <w:b w:val="false"/>
                <w:i w:val="false"/>
                <w:color w:val="000000"/>
                <w:sz w:val="20"/>
              </w:rPr>
              <w:t>
   1.17. инспектор - лицо, выполняющее инспекции испытательных лабораторий и аудиты доклинических (неклинических) исследований лекарственных средств;</w:t>
            </w:r>
          </w:p>
          <w:p>
            <w:pPr>
              <w:spacing w:after="20"/>
              <w:ind w:left="20"/>
              <w:jc w:val="both"/>
            </w:pPr>
            <w:r>
              <w:rPr>
                <w:rFonts w:ascii="Times New Roman"/>
                <w:b w:val="false"/>
                <w:i w:val="false"/>
                <w:color w:val="000000"/>
                <w:sz w:val="20"/>
              </w:rPr>
              <w:t>
   1.18. инспекция испытательной лаборатории - проверка на месте процедур и практических действий лаборатории для оценки степени соответствия принципам Стандарта;</w:t>
            </w:r>
          </w:p>
          <w:p>
            <w:pPr>
              <w:spacing w:after="20"/>
              <w:ind w:left="20"/>
              <w:jc w:val="both"/>
            </w:pPr>
            <w:r>
              <w:rPr>
                <w:rFonts w:ascii="Times New Roman"/>
                <w:b w:val="false"/>
                <w:i w:val="false"/>
                <w:color w:val="000000"/>
                <w:sz w:val="20"/>
              </w:rPr>
              <w:t>
   1.19. исследования in vitro(ин витро)</w:t>
            </w:r>
            <w:r>
              <w:rPr>
                <w:rFonts w:ascii="Times New Roman"/>
                <w:b w:val="false"/>
                <w:i/>
                <w:color w:val="000000"/>
                <w:sz w:val="20"/>
              </w:rPr>
              <w:t xml:space="preserve"> - </w:t>
            </w:r>
            <w:r>
              <w:rPr>
                <w:rFonts w:ascii="Times New Roman"/>
                <w:b w:val="false"/>
                <w:i w:val="false"/>
                <w:color w:val="000000"/>
                <w:sz w:val="20"/>
              </w:rPr>
              <w:t>исследования, в которых в качестве тест-систем используют не многоклеточные целостные организмы, а микроорганизмы или материал, изолированный от целостных организмов, или их имитации;</w:t>
            </w:r>
          </w:p>
          <w:p>
            <w:pPr>
              <w:spacing w:after="20"/>
              <w:ind w:left="20"/>
              <w:jc w:val="both"/>
            </w:pPr>
            <w:r>
              <w:rPr>
                <w:rFonts w:ascii="Times New Roman"/>
                <w:b w:val="false"/>
                <w:i w:val="false"/>
                <w:color w:val="000000"/>
                <w:sz w:val="20"/>
              </w:rPr>
              <w:t>
   1.20. испытательная лаборатория – лаборатория, организация, имеющая материально-техническую базу и квалифицированный персонал для проведения доклинических (неклинических) исследований лекарственных средств в соответствующей области;</w:t>
            </w:r>
          </w:p>
          <w:p>
            <w:pPr>
              <w:spacing w:after="20"/>
              <w:ind w:left="20"/>
              <w:jc w:val="both"/>
            </w:pPr>
            <w:r>
              <w:rPr>
                <w:rFonts w:ascii="Times New Roman"/>
                <w:b w:val="false"/>
                <w:i w:val="false"/>
                <w:color w:val="000000"/>
                <w:sz w:val="20"/>
              </w:rPr>
              <w:t>
   1.21. исследуемое вещество (лекарственное средство) - вещество (лекарственное средство), подлежащее исследованию;</w:t>
            </w:r>
          </w:p>
          <w:p>
            <w:pPr>
              <w:spacing w:after="20"/>
              <w:ind w:left="20"/>
              <w:jc w:val="both"/>
            </w:pPr>
            <w:r>
              <w:rPr>
                <w:rFonts w:ascii="Times New Roman"/>
                <w:b w:val="false"/>
                <w:i w:val="false"/>
                <w:color w:val="000000"/>
                <w:sz w:val="20"/>
              </w:rPr>
              <w:t>
   1.22. испытательная площадка - место проведения какого-либо этапа исследования;</w:t>
            </w:r>
          </w:p>
          <w:p>
            <w:pPr>
              <w:spacing w:after="20"/>
              <w:ind w:left="20"/>
              <w:jc w:val="both"/>
            </w:pPr>
            <w:r>
              <w:rPr>
                <w:rFonts w:ascii="Times New Roman"/>
                <w:b w:val="false"/>
                <w:i w:val="false"/>
                <w:color w:val="000000"/>
                <w:sz w:val="20"/>
              </w:rPr>
              <w:t>
   1.23. исходные данные -  исходные записи и документация или их заверенные копии, которые являются результатом первоначальных наблюдений и видов деятельности в исследовании;</w:t>
            </w:r>
          </w:p>
          <w:p>
            <w:pPr>
              <w:spacing w:after="20"/>
              <w:ind w:left="20"/>
              <w:jc w:val="both"/>
            </w:pPr>
            <w:r>
              <w:rPr>
                <w:rFonts w:ascii="Times New Roman"/>
                <w:b w:val="false"/>
                <w:i w:val="false"/>
                <w:color w:val="000000"/>
                <w:sz w:val="20"/>
              </w:rPr>
              <w:t>
   1.24. исходный код - оригинальная компьютерная программа, выраженная в пригодной для чтения человеком форме (язык программирования), которую переводят в машиночитаемую форму, прежде чем выполняется компьютером;</w:t>
            </w:r>
          </w:p>
          <w:p>
            <w:pPr>
              <w:spacing w:after="20"/>
              <w:ind w:left="20"/>
              <w:jc w:val="both"/>
            </w:pPr>
            <w:r>
              <w:rPr>
                <w:rFonts w:ascii="Times New Roman"/>
                <w:b w:val="false"/>
                <w:i w:val="false"/>
                <w:color w:val="000000"/>
                <w:sz w:val="20"/>
              </w:rPr>
              <w:t>
   1.25. калибровка – установление зависимости между показаниями средства измерительной техники (прибора) и размером измеряемой (входной) величины;</w:t>
            </w:r>
          </w:p>
          <w:p>
            <w:pPr>
              <w:spacing w:after="20"/>
              <w:ind w:left="20"/>
              <w:jc w:val="both"/>
            </w:pPr>
            <w:r>
              <w:rPr>
                <w:rFonts w:ascii="Times New Roman"/>
                <w:b w:val="false"/>
                <w:i w:val="false"/>
                <w:color w:val="000000"/>
                <w:sz w:val="20"/>
              </w:rPr>
              <w:t>
   1.26. клеточные линии - клетки, которые подверглись генетическому изменению до иммортализации и которые, вследствие этого, способны размножаться в течение продленных периодов in vitro (ин витро), увеличиваться и подвергаться криоконсервации в банке клеток;</w:t>
            </w:r>
          </w:p>
          <w:p>
            <w:pPr>
              <w:spacing w:after="20"/>
              <w:ind w:left="20"/>
              <w:jc w:val="both"/>
            </w:pPr>
            <w:r>
              <w:rPr>
                <w:rFonts w:ascii="Times New Roman"/>
                <w:b w:val="false"/>
                <w:i w:val="false"/>
                <w:color w:val="000000"/>
                <w:sz w:val="20"/>
              </w:rPr>
              <w:t>
   1.27. компьютеризированная система - группа компонентов аппаратных средств и связанного с ними программного обеспечения, разработанных и собранных для выполнения определенной функции или группы функций;</w:t>
            </w:r>
          </w:p>
          <w:p>
            <w:pPr>
              <w:spacing w:after="20"/>
              <w:ind w:left="20"/>
              <w:jc w:val="both"/>
            </w:pPr>
            <w:r>
              <w:rPr>
                <w:rFonts w:ascii="Times New Roman"/>
                <w:b w:val="false"/>
                <w:i w:val="false"/>
                <w:color w:val="000000"/>
                <w:sz w:val="20"/>
              </w:rPr>
              <w:t>
   1.28. контроль изменений - постоянная оценка и документирование системных операций и изменений с целью определения необходимости процесса валидации после появления в компьютеризированной системе каких-либо изменений;</w:t>
            </w:r>
          </w:p>
          <w:p>
            <w:pPr>
              <w:spacing w:after="20"/>
              <w:ind w:left="20"/>
              <w:jc w:val="both"/>
            </w:pPr>
            <w:r>
              <w:rPr>
                <w:rFonts w:ascii="Times New Roman"/>
                <w:b w:val="false"/>
                <w:i w:val="false"/>
                <w:color w:val="000000"/>
                <w:sz w:val="20"/>
              </w:rPr>
              <w:t>
   1.29. конфиденциальность - хранение в тайне информации, принадлежащей спонсору и (или) испытательной лаборатории, от неуполномоченных лиц;</w:t>
            </w:r>
          </w:p>
          <w:p>
            <w:pPr>
              <w:spacing w:after="20"/>
              <w:ind w:left="20"/>
              <w:jc w:val="both"/>
            </w:pPr>
            <w:r>
              <w:rPr>
                <w:rFonts w:ascii="Times New Roman"/>
                <w:b w:val="false"/>
                <w:i w:val="false"/>
                <w:color w:val="000000"/>
                <w:sz w:val="20"/>
              </w:rPr>
              <w:t>
   1.30. компьютерная безопасность - защита компьютерного аппаратного и программного обеспечения от случайного или предумышленного доступа, использования, модификации, уничтожения или разглашения. Также безопасность относится к персоналу, данным, коммуникационным связям и физической и логической защите компьютерных инсталляций;</w:t>
            </w:r>
          </w:p>
          <w:p>
            <w:pPr>
              <w:spacing w:after="20"/>
              <w:ind w:left="20"/>
              <w:jc w:val="both"/>
            </w:pPr>
            <w:r>
              <w:rPr>
                <w:rFonts w:ascii="Times New Roman"/>
                <w:b w:val="false"/>
                <w:i w:val="false"/>
                <w:color w:val="000000"/>
                <w:sz w:val="20"/>
              </w:rPr>
              <w:t>
   1.31. краткосрочное исследование - исследование с коротким временем проведения и широко применимыми стандартными методами;</w:t>
            </w:r>
          </w:p>
          <w:p>
            <w:pPr>
              <w:spacing w:after="20"/>
              <w:ind w:left="20"/>
              <w:jc w:val="both"/>
            </w:pPr>
            <w:r>
              <w:rPr>
                <w:rFonts w:ascii="Times New Roman"/>
                <w:b w:val="false"/>
                <w:i w:val="false"/>
                <w:color w:val="000000"/>
                <w:sz w:val="20"/>
              </w:rPr>
              <w:t>
   1.32. критерии приемки - документированные критерии, соответствие которым обеспечивает успешное завершение этапа испытания или выполнения требований поставки;</w:t>
            </w:r>
          </w:p>
          <w:p>
            <w:pPr>
              <w:spacing w:after="20"/>
              <w:ind w:left="20"/>
              <w:jc w:val="both"/>
            </w:pPr>
            <w:r>
              <w:rPr>
                <w:rFonts w:ascii="Times New Roman"/>
                <w:b w:val="false"/>
                <w:i w:val="false"/>
                <w:color w:val="000000"/>
                <w:sz w:val="20"/>
              </w:rPr>
              <w:t>
   1.33. критические фазы - отдельные определенные процедуры или виды деятельности в рамках исследования, от исполнения которых критически зависит качество, действительность и надежность исследования;</w:t>
            </w:r>
          </w:p>
          <w:p>
            <w:pPr>
              <w:spacing w:after="20"/>
              <w:ind w:left="20"/>
              <w:jc w:val="both"/>
            </w:pPr>
            <w:r>
              <w:rPr>
                <w:rFonts w:ascii="Times New Roman"/>
                <w:b w:val="false"/>
                <w:i w:val="false"/>
                <w:color w:val="000000"/>
                <w:sz w:val="20"/>
              </w:rPr>
              <w:t>
   1.34. монитор - представитель спонсора, заказчика, разработчика лекарственного средства (его уполномоченного лица), ответственный за проведение мониторинга доклинического (неклинического) исследования;</w:t>
            </w:r>
          </w:p>
          <w:p>
            <w:pPr>
              <w:spacing w:after="20"/>
              <w:ind w:left="20"/>
              <w:jc w:val="both"/>
            </w:pPr>
            <w:r>
              <w:rPr>
                <w:rFonts w:ascii="Times New Roman"/>
                <w:b w:val="false"/>
                <w:i w:val="false"/>
                <w:color w:val="000000"/>
                <w:sz w:val="20"/>
              </w:rPr>
              <w:t>
   1.35. мониторинг - процедура контроля выполнения доклинического (неклинического) исследования и обеспечения его проведения, сбора данных и представления результатов исследования согласно протоколу, плану, программе, стандартным операционным процедурам и Стандарту;</w:t>
            </w:r>
          </w:p>
          <w:p>
            <w:pPr>
              <w:spacing w:after="20"/>
              <w:ind w:left="20"/>
              <w:jc w:val="both"/>
            </w:pPr>
            <w:r>
              <w:rPr>
                <w:rFonts w:ascii="Times New Roman"/>
                <w:b w:val="false"/>
                <w:i w:val="false"/>
                <w:color w:val="000000"/>
                <w:sz w:val="20"/>
              </w:rPr>
              <w:t>
   1.36. многоцентровое исследование - исследование, фазы которого проводятся более чем на одной площадке;</w:t>
            </w:r>
          </w:p>
          <w:p>
            <w:pPr>
              <w:spacing w:after="20"/>
              <w:ind w:left="20"/>
              <w:jc w:val="both"/>
            </w:pPr>
            <w:r>
              <w:rPr>
                <w:rFonts w:ascii="Times New Roman"/>
                <w:b w:val="false"/>
                <w:i w:val="false"/>
                <w:color w:val="000000"/>
                <w:sz w:val="20"/>
              </w:rPr>
              <w:t>
   1.37. надлежащая лабораторная практика (стандарт лабораторной практики) - система требований к организации, планированию и проведению доклинических (неклинических) исследований веществ (лекарственных средств), оформлению результатов и контролю качества указанных исследований;</w:t>
            </w:r>
          </w:p>
          <w:p>
            <w:pPr>
              <w:spacing w:after="20"/>
              <w:ind w:left="20"/>
              <w:jc w:val="both"/>
            </w:pPr>
            <w:r>
              <w:rPr>
                <w:rFonts w:ascii="Times New Roman"/>
                <w:b w:val="false"/>
                <w:i w:val="false"/>
                <w:color w:val="000000"/>
                <w:sz w:val="20"/>
              </w:rPr>
              <w:t>
   1.38. неклиническое исследование безопасности для здоровья человека и окружающей среды - опыт или серия опытов, в которых исследуемое вещество проходит проверку в лабораторных условиях или в окружающей среде с целью получения данных о его свойствах и (или) безопасности, которые направляются в уполномоченный орган;</w:t>
            </w:r>
          </w:p>
          <w:p>
            <w:pPr>
              <w:spacing w:after="20"/>
              <w:ind w:left="20"/>
              <w:jc w:val="both"/>
            </w:pPr>
            <w:r>
              <w:rPr>
                <w:rFonts w:ascii="Times New Roman"/>
                <w:b w:val="false"/>
                <w:i w:val="false"/>
                <w:color w:val="000000"/>
                <w:sz w:val="20"/>
              </w:rPr>
              <w:t>
   1.39. носитель или растворитель - вещество, используемое для смешивания, диспергирования или растворения исследуемого вещества (лекарственного средства) или образца сравнения или контрольного образца и позволяющее облегчить его введение в тест-систему;</w:t>
            </w:r>
          </w:p>
          <w:p>
            <w:pPr>
              <w:spacing w:after="20"/>
              <w:ind w:left="20"/>
              <w:jc w:val="both"/>
            </w:pPr>
            <w:r>
              <w:rPr>
                <w:rFonts w:ascii="Times New Roman"/>
                <w:b w:val="false"/>
                <w:i w:val="false"/>
                <w:color w:val="000000"/>
                <w:sz w:val="20"/>
              </w:rPr>
              <w:t>
   1.40. обеспечение качества - совокупность систематических и планомерных действий, обеспечивающих соответствие проведения исследования Стандарту;</w:t>
            </w:r>
          </w:p>
          <w:p>
            <w:pPr>
              <w:spacing w:after="20"/>
              <w:ind w:left="20"/>
              <w:jc w:val="both"/>
            </w:pPr>
            <w:r>
              <w:rPr>
                <w:rFonts w:ascii="Times New Roman"/>
                <w:b w:val="false"/>
                <w:i w:val="false"/>
                <w:color w:val="000000"/>
                <w:sz w:val="20"/>
              </w:rPr>
              <w:t>
   1.41. образец сравнения (контрольный образец) - образец вещества (лекарственного средства), используемый в качестве основы для сравнения с исследуемым веществом (лекарственным средством). Вещество (лекарственное средство), которое используется для оценки научными методами безопасности исследуемого вещества (лекарственного средства) на основе сравнения их физических, химических, биологических и фармацевтических свойств;</w:t>
            </w:r>
          </w:p>
          <w:p>
            <w:pPr>
              <w:spacing w:after="20"/>
              <w:ind w:left="20"/>
              <w:jc w:val="both"/>
            </w:pPr>
            <w:r>
              <w:rPr>
                <w:rFonts w:ascii="Times New Roman"/>
                <w:b w:val="false"/>
                <w:i w:val="false"/>
                <w:color w:val="000000"/>
                <w:sz w:val="20"/>
              </w:rPr>
              <w:t>
   1.42. образцы (пробы) - материалы, полученные из испытательной тест-системы с целью изучения, анализа или сохранения;</w:t>
            </w:r>
          </w:p>
          <w:p>
            <w:pPr>
              <w:spacing w:after="20"/>
              <w:ind w:left="20"/>
              <w:jc w:val="both"/>
            </w:pPr>
            <w:r>
              <w:rPr>
                <w:rFonts w:ascii="Times New Roman"/>
                <w:b w:val="false"/>
                <w:i w:val="false"/>
                <w:color w:val="000000"/>
                <w:sz w:val="20"/>
              </w:rPr>
              <w:t>
   1.43. общепризнанные технические стандарты - стандарты, распространенные национальными или международными органами по стандартизации;</w:t>
            </w:r>
          </w:p>
          <w:p>
            <w:pPr>
              <w:spacing w:after="20"/>
              <w:ind w:left="20"/>
              <w:jc w:val="both"/>
            </w:pPr>
            <w:r>
              <w:rPr>
                <w:rFonts w:ascii="Times New Roman"/>
                <w:b w:val="false"/>
                <w:i w:val="false"/>
                <w:color w:val="000000"/>
                <w:sz w:val="20"/>
              </w:rPr>
              <w:t>
   1.44. уполномоченный орган – государственный орган в сфере обращения лекарственных средств и медицинских изделий, проводящий контроль соблюдения Стандарта испытательными лабораториями на территории Республики Казахстан при проведении доклинических (неклинических) исследований лекарственных средств и инспекции (далее – уполномоченный орган);</w:t>
            </w:r>
          </w:p>
          <w:p>
            <w:pPr>
              <w:spacing w:after="20"/>
              <w:ind w:left="20"/>
              <w:jc w:val="both"/>
            </w:pPr>
            <w:r>
              <w:rPr>
                <w:rFonts w:ascii="Times New Roman"/>
                <w:b w:val="false"/>
                <w:i w:val="false"/>
                <w:color w:val="000000"/>
                <w:sz w:val="20"/>
              </w:rPr>
              <w:t>
   1.45. основной график - система распределения и планирования ресурсов;</w:t>
            </w:r>
          </w:p>
          <w:p>
            <w:pPr>
              <w:spacing w:after="20"/>
              <w:ind w:left="20"/>
              <w:jc w:val="both"/>
            </w:pPr>
            <w:r>
              <w:rPr>
                <w:rFonts w:ascii="Times New Roman"/>
                <w:b w:val="false"/>
                <w:i w:val="false"/>
                <w:color w:val="000000"/>
                <w:sz w:val="20"/>
              </w:rPr>
              <w:t>
   1.46. отклонения от протокола, плана, программы исследования - непреднамеренное отступление от протокола, плана, программы исследования после даты начала исследования;</w:t>
            </w:r>
          </w:p>
          <w:p>
            <w:pPr>
              <w:spacing w:after="20"/>
              <w:ind w:left="20"/>
              <w:jc w:val="both"/>
            </w:pPr>
            <w:r>
              <w:rPr>
                <w:rFonts w:ascii="Times New Roman"/>
                <w:b w:val="false"/>
                <w:i w:val="false"/>
                <w:color w:val="000000"/>
                <w:sz w:val="20"/>
              </w:rPr>
              <w:t>
   1.47. патентованный материал - материал, защищенный законодательством от незаконного использования;</w:t>
            </w:r>
          </w:p>
          <w:p>
            <w:pPr>
              <w:spacing w:after="20"/>
              <w:ind w:left="20"/>
              <w:jc w:val="both"/>
            </w:pPr>
            <w:r>
              <w:rPr>
                <w:rFonts w:ascii="Times New Roman"/>
                <w:b w:val="false"/>
                <w:i w:val="false"/>
                <w:color w:val="000000"/>
                <w:sz w:val="20"/>
              </w:rPr>
              <w:t>
   1.48. первичные клетки - клетки, изолированные из животного или растительного источника, имеющие ограниченную продолжительность жизни;</w:t>
            </w:r>
          </w:p>
          <w:p>
            <w:pPr>
              <w:spacing w:after="20"/>
              <w:ind w:left="20"/>
              <w:jc w:val="both"/>
            </w:pPr>
            <w:r>
              <w:rPr>
                <w:rFonts w:ascii="Times New Roman"/>
                <w:b w:val="false"/>
                <w:i w:val="false"/>
                <w:color w:val="000000"/>
                <w:sz w:val="20"/>
              </w:rPr>
              <w:t>
   1.49. перекрестное загрязнение - загрязнение исследуемого вещества другим исследуемым веществом или тест-системы другим исследуемым веществом или другой тест-системой, которые вносятся непреднамеренно и загрязняют исследуемое вещество или повреждают тест-систему;</w:t>
            </w:r>
          </w:p>
          <w:p>
            <w:pPr>
              <w:spacing w:after="20"/>
              <w:ind w:left="20"/>
              <w:jc w:val="both"/>
            </w:pPr>
            <w:r>
              <w:rPr>
                <w:rFonts w:ascii="Times New Roman"/>
                <w:b w:val="false"/>
                <w:i w:val="false"/>
                <w:color w:val="000000"/>
                <w:sz w:val="20"/>
              </w:rPr>
              <w:t>
   1.50. периферические  компоненты - любое связанное с помощью интерфейса оборудование или вспомогательные или удаленные компоненты;</w:t>
            </w:r>
          </w:p>
          <w:p>
            <w:pPr>
              <w:spacing w:after="20"/>
              <w:ind w:left="20"/>
              <w:jc w:val="both"/>
            </w:pPr>
            <w:r>
              <w:rPr>
                <w:rFonts w:ascii="Times New Roman"/>
                <w:b w:val="false"/>
                <w:i w:val="false"/>
                <w:color w:val="000000"/>
                <w:sz w:val="20"/>
              </w:rPr>
              <w:t>
   1.51. поверка средства измерений - совокупность операций,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средства измерений установленным техническим и метрологическим требованиям;</w:t>
            </w:r>
          </w:p>
          <w:p>
            <w:pPr>
              <w:spacing w:after="20"/>
              <w:ind w:left="20"/>
              <w:jc w:val="both"/>
            </w:pPr>
            <w:r>
              <w:rPr>
                <w:rFonts w:ascii="Times New Roman"/>
                <w:b w:val="false"/>
                <w:i w:val="false"/>
                <w:color w:val="000000"/>
                <w:sz w:val="20"/>
              </w:rPr>
              <w:t>
   1.52. поставщик -  юридическое лицо, выполняющее в рамках договора с испытательной лабораторией обязательства по обеспечению доклинических (неклинических) исследований оборудованием, реактивами, расходными материалами, тест-системами;</w:t>
            </w:r>
          </w:p>
          <w:p>
            <w:pPr>
              <w:spacing w:after="20"/>
              <w:ind w:left="20"/>
              <w:jc w:val="both"/>
            </w:pPr>
            <w:r>
              <w:rPr>
                <w:rFonts w:ascii="Times New Roman"/>
                <w:b w:val="false"/>
                <w:i w:val="false"/>
                <w:color w:val="000000"/>
                <w:sz w:val="20"/>
              </w:rPr>
              <w:t>
   1.53. приемочные испытания - выполненное испытание компьютеризированной системы в предполагаемой рабочей среде с целью определения соответствия критериям приемки испытательной лаборатории, а также приемлемости системы для эксплуатации;</w:t>
            </w:r>
          </w:p>
          <w:p>
            <w:pPr>
              <w:spacing w:after="20"/>
              <w:ind w:left="20"/>
              <w:jc w:val="both"/>
            </w:pPr>
            <w:r>
              <w:rPr>
                <w:rFonts w:ascii="Times New Roman"/>
                <w:b w:val="false"/>
                <w:i w:val="false"/>
                <w:color w:val="000000"/>
                <w:sz w:val="20"/>
              </w:rPr>
              <w:t>
   1.54. программное обеспечение - операционная система, программа или набор программ, стандартных (рутинных) программ и подпрограмм, контролирующих работу компьютера;</w:t>
            </w:r>
          </w:p>
          <w:p>
            <w:pPr>
              <w:spacing w:after="20"/>
              <w:ind w:left="20"/>
              <w:jc w:val="both"/>
            </w:pPr>
            <w:r>
              <w:rPr>
                <w:rFonts w:ascii="Times New Roman"/>
                <w:b w:val="false"/>
                <w:i w:val="false"/>
                <w:color w:val="000000"/>
                <w:sz w:val="20"/>
              </w:rPr>
              <w:t>
   1.55. программное обеспечение – программа, приобретенная или разработанная, адаптированная или приспособленная к требованиям испытательной лаборатории с целью контроля процессов, сбора, обработки, представления данных и (или) архивирования;</w:t>
            </w:r>
          </w:p>
          <w:p>
            <w:pPr>
              <w:spacing w:after="20"/>
              <w:ind w:left="20"/>
              <w:jc w:val="both"/>
            </w:pPr>
            <w:r>
              <w:rPr>
                <w:rFonts w:ascii="Times New Roman"/>
                <w:b w:val="false"/>
                <w:i w:val="false"/>
                <w:color w:val="000000"/>
                <w:sz w:val="20"/>
              </w:rPr>
              <w:t>
   1.56. протокол, план, программа исследования - документ, содержащий основные задачи, методологию, процедуры, статистические аспекты, организацию и планирование ресурсов доклинического (неклинического) исследования (включая его этапы и части), а также меры по обеспечению безопасности участвующих в нем систем;</w:t>
            </w:r>
          </w:p>
          <w:p>
            <w:pPr>
              <w:spacing w:after="20"/>
              <w:ind w:left="20"/>
              <w:jc w:val="both"/>
            </w:pPr>
            <w:r>
              <w:rPr>
                <w:rFonts w:ascii="Times New Roman"/>
                <w:b w:val="false"/>
                <w:i w:val="false"/>
                <w:color w:val="000000"/>
                <w:sz w:val="20"/>
              </w:rPr>
              <w:t>
   1.57. резервное копирование - меры, предпринимаемые для восстановления файлов данных и программного обеспечения, возобновления обработки данных или использования альтернативного компьютерного оборудования после системного сбоя или аварии;</w:t>
            </w:r>
          </w:p>
          <w:p>
            <w:pPr>
              <w:spacing w:after="20"/>
              <w:ind w:left="20"/>
              <w:jc w:val="both"/>
            </w:pPr>
            <w:r>
              <w:rPr>
                <w:rFonts w:ascii="Times New Roman"/>
                <w:b w:val="false"/>
                <w:i w:val="false"/>
                <w:color w:val="000000"/>
                <w:sz w:val="20"/>
              </w:rPr>
              <w:t>
   1.58. резюме (автобиография) - документ, подтверждающий образование, профессиональную подготовку и опыт;</w:t>
            </w:r>
          </w:p>
          <w:p>
            <w:pPr>
              <w:spacing w:after="20"/>
              <w:ind w:left="20"/>
              <w:jc w:val="both"/>
            </w:pPr>
            <w:r>
              <w:rPr>
                <w:rFonts w:ascii="Times New Roman"/>
                <w:b w:val="false"/>
                <w:i w:val="false"/>
                <w:color w:val="000000"/>
                <w:sz w:val="20"/>
              </w:rPr>
              <w:t xml:space="preserve">
   1.59. руководитель исследования - лицо, ответственное за общее проведение неклинического исследования безопасности для здоровья человека и окружающей среды; </w:t>
            </w:r>
          </w:p>
          <w:p>
            <w:pPr>
              <w:spacing w:after="20"/>
              <w:ind w:left="20"/>
              <w:jc w:val="both"/>
            </w:pPr>
            <w:r>
              <w:rPr>
                <w:rFonts w:ascii="Times New Roman"/>
                <w:b w:val="false"/>
                <w:i w:val="false"/>
                <w:color w:val="000000"/>
                <w:sz w:val="20"/>
              </w:rPr>
              <w:t>
   1.60. руководство испытательного участка (при его назначении) - лицо, ответственное за контроль стадии (стадий) исследования, за которое несет ответственность, и проведение исследования согласно Стандарту;</w:t>
            </w:r>
          </w:p>
          <w:p>
            <w:pPr>
              <w:spacing w:after="20"/>
              <w:ind w:left="20"/>
              <w:jc w:val="both"/>
            </w:pPr>
            <w:r>
              <w:rPr>
                <w:rFonts w:ascii="Times New Roman"/>
                <w:b w:val="false"/>
                <w:i w:val="false"/>
                <w:color w:val="000000"/>
                <w:sz w:val="20"/>
              </w:rPr>
              <w:t>
   1.61. руководство испытательной лаборатории -  лицо, у которого есть полномочия и официальная ответственность за организацию и функционирование испытательной лаборатории согласно Стандарта;</w:t>
            </w:r>
          </w:p>
          <w:p>
            <w:pPr>
              <w:spacing w:after="20"/>
              <w:ind w:left="20"/>
              <w:jc w:val="both"/>
            </w:pPr>
            <w:r>
              <w:rPr>
                <w:rFonts w:ascii="Times New Roman"/>
                <w:b w:val="false"/>
                <w:i w:val="false"/>
                <w:color w:val="000000"/>
                <w:sz w:val="20"/>
              </w:rPr>
              <w:t>
   1.62. серия - определенное количество или партия исследуемого вещества, произведенного в течение определенного производственного цикла в такой форме, когда предполагается однородность его содержания и характеризоваться как таковое;</w:t>
            </w:r>
          </w:p>
          <w:p>
            <w:pPr>
              <w:spacing w:after="20"/>
              <w:ind w:left="20"/>
              <w:jc w:val="both"/>
            </w:pPr>
            <w:r>
              <w:rPr>
                <w:rFonts w:ascii="Times New Roman"/>
                <w:b w:val="false"/>
                <w:i w:val="false"/>
                <w:color w:val="000000"/>
                <w:sz w:val="20"/>
              </w:rPr>
              <w:t>
   1.63. система обеспечения качества - комплекс мер, направленный на соблюдение Стандарта со стороны персонала и предназначен для обеспечения управления испытательной лабораторией;</w:t>
            </w:r>
          </w:p>
          <w:p>
            <w:pPr>
              <w:spacing w:after="20"/>
              <w:ind w:left="20"/>
              <w:jc w:val="both"/>
            </w:pPr>
            <w:r>
              <w:rPr>
                <w:rFonts w:ascii="Times New Roman"/>
                <w:b w:val="false"/>
                <w:i w:val="false"/>
                <w:color w:val="000000"/>
                <w:sz w:val="20"/>
              </w:rPr>
              <w:t>
   1.64. спецификация на исследуемое вещество (лекарственное средство) - документ, устанавливающий требования к исследуемому веществу (лекарственному средству);</w:t>
            </w:r>
          </w:p>
          <w:p>
            <w:pPr>
              <w:spacing w:after="20"/>
              <w:ind w:left="20"/>
              <w:jc w:val="both"/>
            </w:pPr>
            <w:r>
              <w:rPr>
                <w:rFonts w:ascii="Times New Roman"/>
                <w:b w:val="false"/>
                <w:i w:val="false"/>
                <w:color w:val="000000"/>
                <w:sz w:val="20"/>
              </w:rPr>
              <w:t>
   1.65. спецификация на тест-системы - документ, устанавливающий требования к тест-системам;</w:t>
            </w:r>
          </w:p>
          <w:p>
            <w:pPr>
              <w:spacing w:after="20"/>
              <w:ind w:left="20"/>
              <w:jc w:val="both"/>
            </w:pPr>
            <w:r>
              <w:rPr>
                <w:rFonts w:ascii="Times New Roman"/>
                <w:b w:val="false"/>
                <w:i w:val="false"/>
                <w:color w:val="000000"/>
                <w:sz w:val="20"/>
              </w:rPr>
              <w:t xml:space="preserve">
   1.66. спонсор (разработчик) лекарственного средства - юридическое лицо, которое заказывает, оказывает финансовую поддержку и (или) запрашивает проведение доклинического, неклинического исследования безопасности для здоровья человека и окружающей среды; </w:t>
            </w:r>
          </w:p>
          <w:p>
            <w:pPr>
              <w:spacing w:after="20"/>
              <w:ind w:left="20"/>
              <w:jc w:val="both"/>
            </w:pPr>
            <w:r>
              <w:rPr>
                <w:rFonts w:ascii="Times New Roman"/>
                <w:b w:val="false"/>
                <w:i w:val="false"/>
                <w:color w:val="000000"/>
                <w:sz w:val="20"/>
              </w:rPr>
              <w:t>
   1.67. стандартные операционные процедуры (далее - СОП) - документально оформленные процедуры, в которых описано, как проводить исследования или виды деятельности, обычно не указанные подробно в протоколах, планах, программах или указаниях по проведению исследований;</w:t>
            </w:r>
          </w:p>
          <w:p>
            <w:pPr>
              <w:spacing w:after="20"/>
              <w:ind w:left="20"/>
              <w:jc w:val="both"/>
            </w:pPr>
            <w:r>
              <w:rPr>
                <w:rFonts w:ascii="Times New Roman"/>
                <w:b w:val="false"/>
                <w:i w:val="false"/>
                <w:color w:val="000000"/>
                <w:sz w:val="20"/>
              </w:rPr>
              <w:t>
   1.68. тест-система - используемая в исследовании биологическая, химическая, физическая система, аналитическое оборудование или их комбинация;</w:t>
            </w:r>
          </w:p>
          <w:p>
            <w:pPr>
              <w:spacing w:after="20"/>
              <w:ind w:left="20"/>
              <w:jc w:val="both"/>
            </w:pPr>
            <w:r>
              <w:rPr>
                <w:rFonts w:ascii="Times New Roman"/>
                <w:b w:val="false"/>
                <w:i w:val="false"/>
                <w:color w:val="000000"/>
                <w:sz w:val="20"/>
              </w:rPr>
              <w:t>
   1.69. токсикогеномика -  исследование реакции генома на стресс-факторы окружающей среды или токсичные вещества, с целью определения соотношения между токсическими реакциями на токсичные вещества и изменениями в генетических профилях объектов, подвергшихся воздействию этих токсичных веществ;</w:t>
            </w:r>
          </w:p>
          <w:p>
            <w:pPr>
              <w:spacing w:after="20"/>
              <w:ind w:left="20"/>
              <w:jc w:val="both"/>
            </w:pPr>
            <w:r>
              <w:rPr>
                <w:rFonts w:ascii="Times New Roman"/>
                <w:b w:val="false"/>
                <w:i w:val="false"/>
                <w:color w:val="000000"/>
                <w:sz w:val="20"/>
              </w:rPr>
              <w:t>
   1.70. токсикометабономика - количественное измерение зависящей от времени, многопараметрической метаболической реакции живых систем на патофизиологические стимулы или генетическую модификацию путем систематического изучения состава биожидкости с использованием технологии ядерно-магнетического резонанса (далее – ЯМР), распознавания набора, для определения связи токсичности органа-мишени со спектральными наборами ЯМР и определения новых суррогатных маркеров токсичности;</w:t>
            </w:r>
          </w:p>
          <w:p>
            <w:pPr>
              <w:spacing w:after="20"/>
              <w:ind w:left="20"/>
              <w:jc w:val="both"/>
            </w:pPr>
            <w:r>
              <w:rPr>
                <w:rFonts w:ascii="Times New Roman"/>
                <w:b w:val="false"/>
                <w:i w:val="false"/>
                <w:color w:val="000000"/>
                <w:sz w:val="20"/>
              </w:rPr>
              <w:t>
   1.71. токсичность - мера вредного воздействия исследуемого материала на организм в условиях однократного или многократного введения;</w:t>
            </w:r>
          </w:p>
          <w:p>
            <w:pPr>
              <w:spacing w:after="20"/>
              <w:ind w:left="20"/>
              <w:jc w:val="both"/>
            </w:pPr>
            <w:r>
              <w:rPr>
                <w:rFonts w:ascii="Times New Roman"/>
                <w:b w:val="false"/>
                <w:i w:val="false"/>
                <w:color w:val="000000"/>
                <w:sz w:val="20"/>
              </w:rPr>
              <w:t>
   1.72. трансгенные клетки - клетки, получившие трансфекцию одного или более чужеродного гена, которые впоследствии имеют характеристики и функции, которые в родительской клетке отсутствуют или присутствуют только с низкими уровнями экспрессии;</w:t>
            </w:r>
          </w:p>
          <w:p>
            <w:pPr>
              <w:spacing w:after="20"/>
              <w:ind w:left="20"/>
              <w:jc w:val="both"/>
            </w:pPr>
            <w:r>
              <w:rPr>
                <w:rFonts w:ascii="Times New Roman"/>
                <w:b w:val="false"/>
                <w:i w:val="false"/>
                <w:color w:val="000000"/>
                <w:sz w:val="20"/>
              </w:rPr>
              <w:t>
   1.73. фаза (этап) - определенный вид доклинического (неклинического) исследования, проводимый одной из испытательных площадок при проведении многоцентрового исследования;</w:t>
            </w:r>
          </w:p>
          <w:p>
            <w:pPr>
              <w:spacing w:after="20"/>
              <w:ind w:left="20"/>
              <w:jc w:val="both"/>
            </w:pPr>
            <w:r>
              <w:rPr>
                <w:rFonts w:ascii="Times New Roman"/>
                <w:b w:val="false"/>
                <w:i w:val="false"/>
                <w:color w:val="000000"/>
                <w:sz w:val="20"/>
              </w:rPr>
              <w:t>
   1.74. электронная подпись - запись в виде магнитных импульсов или трансляция (компиляция) компьютерных данных любого символа или последовательностей символов, выполняемых, адаптированных или авторизованных определенным лицом в качестве эквивалента собственноручной подписи данного лица.</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Основные положения</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Система обеспечения качества.</w:t>
            </w:r>
          </w:p>
          <w:p>
            <w:pPr>
              <w:spacing w:after="20"/>
              <w:ind w:left="20"/>
              <w:jc w:val="both"/>
            </w:pPr>
            <w:r>
              <w:rPr>
                <w:rFonts w:ascii="Times New Roman"/>
                <w:b w:val="false"/>
                <w:i w:val="false"/>
                <w:color w:val="000000"/>
                <w:sz w:val="20"/>
              </w:rPr>
              <w:t>
   2.1.1 Общая информация</w:t>
            </w:r>
          </w:p>
          <w:p>
            <w:pPr>
              <w:spacing w:after="20"/>
              <w:ind w:left="20"/>
              <w:jc w:val="both"/>
            </w:pPr>
            <w:r>
              <w:rPr>
                <w:rFonts w:ascii="Times New Roman"/>
                <w:b w:val="false"/>
                <w:i w:val="false"/>
                <w:color w:val="000000"/>
                <w:sz w:val="20"/>
              </w:rPr>
              <w:t>
   2.1.1.1 Испытательная лаборатория, проводящая доклинические (неклинические) исследования имеет действующую документально оформленную систему обеспечения качества для гарантии того, что исследования проводятся согласно Стандарту.</w:t>
            </w:r>
          </w:p>
          <w:p>
            <w:pPr>
              <w:spacing w:after="20"/>
              <w:ind w:left="20"/>
              <w:jc w:val="both"/>
            </w:pPr>
            <w:r>
              <w:rPr>
                <w:rFonts w:ascii="Times New Roman"/>
                <w:b w:val="false"/>
                <w:i w:val="false"/>
                <w:color w:val="000000"/>
                <w:sz w:val="20"/>
              </w:rPr>
              <w:t>
   2.1.1.2 Система обеспечения качества имеет в наличии утвержденные СОП, в которых подробно и последовательно описан порядок осуществления (выполнения) всех лабораторных и производственных операций, включая:</w:t>
            </w:r>
          </w:p>
          <w:p>
            <w:pPr>
              <w:spacing w:after="20"/>
              <w:ind w:left="20"/>
              <w:jc w:val="both"/>
            </w:pPr>
            <w:r>
              <w:rPr>
                <w:rFonts w:ascii="Times New Roman"/>
                <w:b w:val="false"/>
                <w:i w:val="false"/>
                <w:color w:val="000000"/>
                <w:sz w:val="20"/>
              </w:rPr>
              <w:t>
   а) поступление, идентификацию, маркировку, обработку, отбор проб, использование, хранения и уничтожение (утилизацию) исследуемых веществ (лекарственных средств) и образцов сравнения;</w:t>
            </w:r>
          </w:p>
          <w:p>
            <w:pPr>
              <w:spacing w:after="20"/>
              <w:ind w:left="20"/>
              <w:jc w:val="both"/>
            </w:pPr>
            <w:r>
              <w:rPr>
                <w:rFonts w:ascii="Times New Roman"/>
                <w:b w:val="false"/>
                <w:i w:val="false"/>
                <w:color w:val="000000"/>
                <w:sz w:val="20"/>
              </w:rPr>
              <w:t>
   б) обслуживание и поверку измерительных приборов и оборудования;</w:t>
            </w:r>
          </w:p>
          <w:p>
            <w:pPr>
              <w:spacing w:after="20"/>
              <w:ind w:left="20"/>
              <w:jc w:val="both"/>
            </w:pPr>
            <w:r>
              <w:rPr>
                <w:rFonts w:ascii="Times New Roman"/>
                <w:b w:val="false"/>
                <w:i w:val="false"/>
                <w:color w:val="000000"/>
                <w:sz w:val="20"/>
              </w:rPr>
              <w:t>
   в) приготовление реактивов, питательных сред, кормов;</w:t>
            </w:r>
          </w:p>
          <w:p>
            <w:pPr>
              <w:spacing w:after="20"/>
              <w:ind w:left="20"/>
              <w:jc w:val="both"/>
            </w:pPr>
            <w:r>
              <w:rPr>
                <w:rFonts w:ascii="Times New Roman"/>
                <w:b w:val="false"/>
                <w:i w:val="false"/>
                <w:color w:val="000000"/>
                <w:sz w:val="20"/>
              </w:rPr>
              <w:t>
   г) ведение записей, отчетов и их хранение;</w:t>
            </w:r>
          </w:p>
          <w:p>
            <w:pPr>
              <w:spacing w:after="20"/>
              <w:ind w:left="20"/>
              <w:jc w:val="both"/>
            </w:pPr>
            <w:r>
              <w:rPr>
                <w:rFonts w:ascii="Times New Roman"/>
                <w:b w:val="false"/>
                <w:i w:val="false"/>
                <w:color w:val="000000"/>
                <w:sz w:val="20"/>
              </w:rPr>
              <w:t>
   д) обслуживание всех помещений, задействованных в проведении исследования;</w:t>
            </w:r>
          </w:p>
          <w:p>
            <w:pPr>
              <w:spacing w:after="20"/>
              <w:ind w:left="20"/>
              <w:jc w:val="both"/>
            </w:pPr>
            <w:r>
              <w:rPr>
                <w:rFonts w:ascii="Times New Roman"/>
                <w:b w:val="false"/>
                <w:i w:val="false"/>
                <w:color w:val="000000"/>
                <w:sz w:val="20"/>
              </w:rPr>
              <w:t>
   е) прием, транспортировку, размещение, описание, идентификацию исследуемых веществ и тест-систем;</w:t>
            </w:r>
          </w:p>
          <w:p>
            <w:pPr>
              <w:spacing w:after="20"/>
              <w:ind w:left="20"/>
              <w:jc w:val="both"/>
            </w:pPr>
            <w:r>
              <w:rPr>
                <w:rFonts w:ascii="Times New Roman"/>
                <w:b w:val="false"/>
                <w:i w:val="false"/>
                <w:color w:val="000000"/>
                <w:sz w:val="20"/>
              </w:rPr>
              <w:t>
   ж) осуществление протокола, плана, программы по обеспечению качества доклинического (неклинического) исследования исследуемого вещества (лекарственного средства).</w:t>
            </w:r>
          </w:p>
          <w:p>
            <w:pPr>
              <w:spacing w:after="20"/>
              <w:ind w:left="20"/>
              <w:jc w:val="both"/>
            </w:pPr>
            <w:r>
              <w:rPr>
                <w:rFonts w:ascii="Times New Roman"/>
                <w:b w:val="false"/>
                <w:i w:val="false"/>
                <w:color w:val="000000"/>
                <w:sz w:val="20"/>
              </w:rPr>
              <w:t>
   2.1.1.3 Руководитель испытательной лаборатории назначает одного или нескольких лиц, несущих ответственность за систему обеспечения качества и обеспечивающих соблюдение ее другими сотрудниками испытательной лаборатории.</w:t>
            </w:r>
          </w:p>
          <w:p>
            <w:pPr>
              <w:spacing w:after="20"/>
              <w:ind w:left="20"/>
              <w:jc w:val="both"/>
            </w:pPr>
            <w:r>
              <w:rPr>
                <w:rFonts w:ascii="Times New Roman"/>
                <w:b w:val="false"/>
                <w:i w:val="false"/>
                <w:color w:val="000000"/>
                <w:sz w:val="20"/>
              </w:rPr>
              <w:t>
   2.1.1.4 Независимое лицо не участвует и не задействовано в проведении исследования с проверкой качества.</w:t>
            </w:r>
          </w:p>
          <w:p>
            <w:pPr>
              <w:spacing w:after="20"/>
              <w:ind w:left="20"/>
              <w:jc w:val="both"/>
            </w:pPr>
            <w:r>
              <w:rPr>
                <w:rFonts w:ascii="Times New Roman"/>
                <w:b w:val="false"/>
                <w:i w:val="false"/>
                <w:color w:val="000000"/>
                <w:sz w:val="20"/>
              </w:rPr>
              <w:t>
   2.1.1.5 Обязанности персонала, ответственного за обеспечение качества входят:</w:t>
            </w:r>
          </w:p>
          <w:p>
            <w:pPr>
              <w:spacing w:after="20"/>
              <w:ind w:left="20"/>
              <w:jc w:val="both"/>
            </w:pPr>
            <w:r>
              <w:rPr>
                <w:rFonts w:ascii="Times New Roman"/>
                <w:b w:val="false"/>
                <w:i w:val="false"/>
                <w:color w:val="000000"/>
                <w:sz w:val="20"/>
              </w:rPr>
              <w:t>
   а) ответственность за разработку СОП, их внедрение в испытательной лаборатории, включая систематическую проверку их соблюдения;</w:t>
            </w:r>
          </w:p>
          <w:p>
            <w:pPr>
              <w:spacing w:after="20"/>
              <w:ind w:left="20"/>
              <w:jc w:val="both"/>
            </w:pPr>
            <w:r>
              <w:rPr>
                <w:rFonts w:ascii="Times New Roman"/>
                <w:b w:val="false"/>
                <w:i w:val="false"/>
                <w:color w:val="000000"/>
                <w:sz w:val="20"/>
              </w:rPr>
              <w:t>
   б) проведение инспекции с целью подтверждения соответствия исследования Стандарту, доступности персоналу исследования протокола, плана, программы исследования и СОП, а также подтверждение факта их исполнения при проведении исследования.</w:t>
            </w:r>
          </w:p>
          <w:p>
            <w:pPr>
              <w:spacing w:after="20"/>
              <w:ind w:left="20"/>
              <w:jc w:val="both"/>
            </w:pPr>
            <w:r>
              <w:rPr>
                <w:rFonts w:ascii="Times New Roman"/>
                <w:b w:val="false"/>
                <w:i w:val="false"/>
                <w:color w:val="000000"/>
                <w:sz w:val="20"/>
              </w:rPr>
              <w:t>
   Инспекции на три вида, в соответствии с тем, как указано в программе обеспечения качества и стандартных операционных процедурах:</w:t>
            </w:r>
          </w:p>
          <w:p>
            <w:pPr>
              <w:spacing w:after="20"/>
              <w:ind w:left="20"/>
              <w:jc w:val="both"/>
            </w:pPr>
            <w:r>
              <w:rPr>
                <w:rFonts w:ascii="Times New Roman"/>
                <w:b w:val="false"/>
                <w:i w:val="false"/>
                <w:color w:val="000000"/>
                <w:sz w:val="20"/>
              </w:rPr>
              <w:t>
   1. инспекции исследований;</w:t>
            </w:r>
          </w:p>
          <w:p>
            <w:pPr>
              <w:spacing w:after="20"/>
              <w:ind w:left="20"/>
              <w:jc w:val="both"/>
            </w:pPr>
            <w:r>
              <w:rPr>
                <w:rFonts w:ascii="Times New Roman"/>
                <w:b w:val="false"/>
                <w:i w:val="false"/>
                <w:color w:val="000000"/>
                <w:sz w:val="20"/>
              </w:rPr>
              <w:t>
   2. инспекции испытательных площадок;</w:t>
            </w:r>
          </w:p>
          <w:p>
            <w:pPr>
              <w:spacing w:after="20"/>
              <w:ind w:left="20"/>
              <w:jc w:val="both"/>
            </w:pPr>
            <w:r>
              <w:rPr>
                <w:rFonts w:ascii="Times New Roman"/>
                <w:b w:val="false"/>
                <w:i w:val="false"/>
                <w:color w:val="000000"/>
                <w:sz w:val="20"/>
              </w:rPr>
              <w:t>
   3. инспекции процедур.</w:t>
            </w:r>
          </w:p>
          <w:p>
            <w:pPr>
              <w:spacing w:after="20"/>
              <w:ind w:left="20"/>
              <w:jc w:val="both"/>
            </w:pPr>
            <w:r>
              <w:rPr>
                <w:rFonts w:ascii="Times New Roman"/>
                <w:b w:val="false"/>
                <w:i w:val="false"/>
                <w:color w:val="000000"/>
                <w:sz w:val="20"/>
              </w:rPr>
              <w:t>
   Документация о таких инспекциях хранится согласно руководства по обеспечению качества в соответствии с разделом по обеспечению качества;</w:t>
            </w:r>
          </w:p>
          <w:p>
            <w:pPr>
              <w:spacing w:after="20"/>
              <w:ind w:left="20"/>
              <w:jc w:val="both"/>
            </w:pPr>
            <w:r>
              <w:rPr>
                <w:rFonts w:ascii="Times New Roman"/>
                <w:b w:val="false"/>
                <w:i w:val="false"/>
                <w:color w:val="000000"/>
                <w:sz w:val="20"/>
              </w:rPr>
              <w:t>
   в) проверка заключительных отчетов для подтверждения того, что методы, процедуры, наблюдения и результаты изложены точно и полностью и в полной мере отражают первичные данные исследований;</w:t>
            </w:r>
          </w:p>
          <w:p>
            <w:pPr>
              <w:spacing w:after="20"/>
              <w:ind w:left="20"/>
              <w:jc w:val="both"/>
            </w:pPr>
            <w:r>
              <w:rPr>
                <w:rFonts w:ascii="Times New Roman"/>
                <w:b w:val="false"/>
                <w:i w:val="false"/>
                <w:color w:val="000000"/>
                <w:sz w:val="20"/>
              </w:rPr>
              <w:t>
   г) сообщение в письменном виде о результатах проверок руководству испытательной лаборатории, руководителю исследования, ведущему исследователю и, при необходимости, другим руководящим работникам;</w:t>
            </w:r>
          </w:p>
          <w:p>
            <w:pPr>
              <w:spacing w:after="20"/>
              <w:ind w:left="20"/>
              <w:jc w:val="both"/>
            </w:pPr>
            <w:r>
              <w:rPr>
                <w:rFonts w:ascii="Times New Roman"/>
                <w:b w:val="false"/>
                <w:i w:val="false"/>
                <w:color w:val="000000"/>
                <w:sz w:val="20"/>
              </w:rPr>
              <w:t>
   д) подготовка и подписание заключения, прилагаемого к заключительному отчету, в котором указаны типы инспекционных проверок, даты их проведения, включая информацию об этапе проверяемого исследования, и даты передачи результатов инспектирования руководству испытательной лаборатории, руководителю исследования и ведущему исследователю. Заключение также содержить информацию о том, что первичные данные исследования отражены в заключительном отчете достоверно.</w:t>
            </w:r>
          </w:p>
          <w:p>
            <w:pPr>
              <w:spacing w:after="20"/>
              <w:ind w:left="20"/>
              <w:jc w:val="both"/>
            </w:pPr>
            <w:r>
              <w:rPr>
                <w:rFonts w:ascii="Times New Roman"/>
                <w:b w:val="false"/>
                <w:i w:val="false"/>
                <w:color w:val="000000"/>
                <w:sz w:val="20"/>
              </w:rPr>
              <w:t>
   2.2 Персонал испытательной лаборатории</w:t>
            </w:r>
          </w:p>
          <w:p>
            <w:pPr>
              <w:spacing w:after="20"/>
              <w:ind w:left="20"/>
              <w:jc w:val="both"/>
            </w:pPr>
            <w:r>
              <w:rPr>
                <w:rFonts w:ascii="Times New Roman"/>
                <w:b w:val="false"/>
                <w:i w:val="false"/>
                <w:color w:val="000000"/>
                <w:sz w:val="20"/>
              </w:rPr>
              <w:t>
   2.2.1 Обязанности руководства испытательной лаборатории</w:t>
            </w:r>
          </w:p>
          <w:p>
            <w:pPr>
              <w:spacing w:after="20"/>
              <w:ind w:left="20"/>
              <w:jc w:val="both"/>
            </w:pPr>
            <w:r>
              <w:rPr>
                <w:rFonts w:ascii="Times New Roman"/>
                <w:b w:val="false"/>
                <w:i w:val="false"/>
                <w:color w:val="000000"/>
                <w:sz w:val="20"/>
              </w:rPr>
              <w:t>
   2.2.1.1 Руководство испытательной лаборатории обеспечивает соответствие Стандарту.</w:t>
            </w:r>
          </w:p>
          <w:p>
            <w:pPr>
              <w:spacing w:after="20"/>
              <w:ind w:left="20"/>
              <w:jc w:val="both"/>
            </w:pPr>
            <w:r>
              <w:rPr>
                <w:rFonts w:ascii="Times New Roman"/>
                <w:b w:val="false"/>
                <w:i w:val="false"/>
                <w:color w:val="000000"/>
                <w:sz w:val="20"/>
              </w:rPr>
              <w:t>
   2.2.1.2 Руководство обеспечивает:</w:t>
            </w:r>
          </w:p>
          <w:p>
            <w:pPr>
              <w:spacing w:after="20"/>
              <w:ind w:left="20"/>
              <w:jc w:val="both"/>
            </w:pPr>
            <w:r>
              <w:rPr>
                <w:rFonts w:ascii="Times New Roman"/>
                <w:b w:val="false"/>
                <w:i w:val="false"/>
                <w:color w:val="000000"/>
                <w:sz w:val="20"/>
              </w:rPr>
              <w:t>
   а) наличие достаточного количества сотрудников, соответствующего оборудования, средств и материалов для своевременного и надлежащего проведения исследования;</w:t>
            </w:r>
          </w:p>
          <w:p>
            <w:pPr>
              <w:spacing w:after="20"/>
              <w:ind w:left="20"/>
              <w:jc w:val="both"/>
            </w:pPr>
            <w:r>
              <w:rPr>
                <w:rFonts w:ascii="Times New Roman"/>
                <w:b w:val="false"/>
                <w:i w:val="false"/>
                <w:color w:val="000000"/>
                <w:sz w:val="20"/>
              </w:rPr>
              <w:t>
   б) ведение учета квалификаций, обучения, опыта и описания работ каждого специалиста и технического персонала;</w:t>
            </w:r>
          </w:p>
          <w:p>
            <w:pPr>
              <w:spacing w:after="20"/>
              <w:ind w:left="20"/>
              <w:jc w:val="both"/>
            </w:pPr>
            <w:r>
              <w:rPr>
                <w:rFonts w:ascii="Times New Roman"/>
                <w:b w:val="false"/>
                <w:i w:val="false"/>
                <w:color w:val="000000"/>
                <w:sz w:val="20"/>
              </w:rPr>
              <w:t>
   в) понимание выполняемых функций и предоставление необходимого обучения;</w:t>
            </w:r>
          </w:p>
          <w:p>
            <w:pPr>
              <w:spacing w:after="20"/>
              <w:ind w:left="20"/>
              <w:jc w:val="both"/>
            </w:pPr>
            <w:r>
              <w:rPr>
                <w:rFonts w:ascii="Times New Roman"/>
                <w:b w:val="false"/>
                <w:i w:val="false"/>
                <w:color w:val="000000"/>
                <w:sz w:val="20"/>
              </w:rPr>
              <w:t>
   г) наличие и выполнение технически обоснованных СОП, утверждение СОП и изменения к ним;</w:t>
            </w:r>
          </w:p>
          <w:p>
            <w:pPr>
              <w:spacing w:after="20"/>
              <w:ind w:left="20"/>
              <w:jc w:val="both"/>
            </w:pPr>
            <w:r>
              <w:rPr>
                <w:rFonts w:ascii="Times New Roman"/>
                <w:b w:val="false"/>
                <w:i w:val="false"/>
                <w:color w:val="000000"/>
                <w:sz w:val="20"/>
              </w:rPr>
              <w:t>
   д) наличие системы обеспечения качества с ответственным персоналом;</w:t>
            </w:r>
          </w:p>
          <w:p>
            <w:pPr>
              <w:spacing w:after="20"/>
              <w:ind w:left="20"/>
              <w:jc w:val="both"/>
            </w:pPr>
            <w:r>
              <w:rPr>
                <w:rFonts w:ascii="Times New Roman"/>
                <w:b w:val="false"/>
                <w:i w:val="false"/>
                <w:color w:val="000000"/>
                <w:sz w:val="20"/>
              </w:rPr>
              <w:t>
   е) перед началом каждого исследования назначение сотрудника в качестве руководителя исследования с квалификацией, соответствующей целям исследования. Замена руководителя исследования проводится согласно утвержденным СОП и оформляется документально;</w:t>
            </w:r>
          </w:p>
          <w:p>
            <w:pPr>
              <w:spacing w:after="20"/>
              <w:ind w:left="20"/>
              <w:jc w:val="both"/>
            </w:pPr>
            <w:r>
              <w:rPr>
                <w:rFonts w:ascii="Times New Roman"/>
                <w:b w:val="false"/>
                <w:i w:val="false"/>
                <w:color w:val="000000"/>
                <w:sz w:val="20"/>
              </w:rPr>
              <w:t>
   ж) в случае многоцентрового исследования назначается ведущий исследователь с соответствующим образованием, квалификацией и опытом. Замена ведущего исследователя проводится согласно утвержденным СОП и оформляется документально;</w:t>
            </w:r>
          </w:p>
          <w:p>
            <w:pPr>
              <w:spacing w:after="20"/>
              <w:ind w:left="20"/>
              <w:jc w:val="both"/>
            </w:pPr>
            <w:r>
              <w:rPr>
                <w:rFonts w:ascii="Times New Roman"/>
                <w:b w:val="false"/>
                <w:i w:val="false"/>
                <w:color w:val="000000"/>
                <w:sz w:val="20"/>
              </w:rPr>
              <w:t>
   з) утверждение документально оформленного протокола, программы исследования руководителем исследования;</w:t>
            </w:r>
          </w:p>
          <w:p>
            <w:pPr>
              <w:spacing w:after="20"/>
              <w:ind w:left="20"/>
              <w:jc w:val="both"/>
            </w:pPr>
            <w:r>
              <w:rPr>
                <w:rFonts w:ascii="Times New Roman"/>
                <w:b w:val="false"/>
                <w:i w:val="false"/>
                <w:color w:val="000000"/>
                <w:sz w:val="20"/>
              </w:rPr>
              <w:t>
   и) контроль за предоставлением руководителем утвержденного протокола протокола, плана, программы исследования персоналу отдела обеспечения качества;</w:t>
            </w:r>
          </w:p>
          <w:p>
            <w:pPr>
              <w:spacing w:after="20"/>
              <w:ind w:left="20"/>
              <w:jc w:val="both"/>
            </w:pPr>
            <w:r>
              <w:rPr>
                <w:rFonts w:ascii="Times New Roman"/>
                <w:b w:val="false"/>
                <w:i w:val="false"/>
                <w:color w:val="000000"/>
                <w:sz w:val="20"/>
              </w:rPr>
              <w:t>
   к) ведение учета всех документов в соответствии с СОП;</w:t>
            </w:r>
          </w:p>
          <w:p>
            <w:pPr>
              <w:spacing w:after="20"/>
              <w:ind w:left="20"/>
              <w:jc w:val="both"/>
            </w:pPr>
            <w:r>
              <w:rPr>
                <w:rFonts w:ascii="Times New Roman"/>
                <w:b w:val="false"/>
                <w:i w:val="false"/>
                <w:color w:val="000000"/>
                <w:sz w:val="20"/>
              </w:rPr>
              <w:t>
   л) назначение сотрудника, ответственного за руководство архивом;</w:t>
            </w:r>
          </w:p>
          <w:p>
            <w:pPr>
              <w:spacing w:after="20"/>
              <w:ind w:left="20"/>
              <w:jc w:val="both"/>
            </w:pPr>
            <w:r>
              <w:rPr>
                <w:rFonts w:ascii="Times New Roman"/>
                <w:b w:val="false"/>
                <w:i w:val="false"/>
                <w:color w:val="000000"/>
                <w:sz w:val="20"/>
              </w:rPr>
              <w:t>
   м) ведение основного графика;</w:t>
            </w:r>
          </w:p>
          <w:p>
            <w:pPr>
              <w:spacing w:after="20"/>
              <w:ind w:left="20"/>
              <w:jc w:val="both"/>
            </w:pPr>
            <w:r>
              <w:rPr>
                <w:rFonts w:ascii="Times New Roman"/>
                <w:b w:val="false"/>
                <w:i w:val="false"/>
                <w:color w:val="000000"/>
                <w:sz w:val="20"/>
              </w:rPr>
              <w:t>
   н) в случае многоцентрового исследования осуществление тесной связи между руководителем исследования, ведущим исследователем, программой обеспечения качества и персоналом исследования;</w:t>
            </w:r>
          </w:p>
          <w:p>
            <w:pPr>
              <w:spacing w:after="20"/>
              <w:ind w:left="20"/>
              <w:jc w:val="both"/>
            </w:pPr>
            <w:r>
              <w:rPr>
                <w:rFonts w:ascii="Times New Roman"/>
                <w:b w:val="false"/>
                <w:i w:val="false"/>
                <w:color w:val="000000"/>
                <w:sz w:val="20"/>
              </w:rPr>
              <w:t>
   о) установление процедуры контроля использования компьютеризированных систем по предназначению, их валидацию, функционирование и обслуживание согласно Стандарту.</w:t>
            </w:r>
          </w:p>
          <w:p>
            <w:pPr>
              <w:spacing w:after="20"/>
              <w:ind w:left="20"/>
              <w:jc w:val="both"/>
            </w:pPr>
            <w:r>
              <w:rPr>
                <w:rFonts w:ascii="Times New Roman"/>
                <w:b w:val="false"/>
                <w:i w:val="false"/>
                <w:color w:val="000000"/>
                <w:sz w:val="20"/>
              </w:rPr>
              <w:t>
   2.2.2 Обязанности руководителя исследования</w:t>
            </w:r>
          </w:p>
          <w:p>
            <w:pPr>
              <w:spacing w:after="20"/>
              <w:ind w:left="20"/>
              <w:jc w:val="both"/>
            </w:pPr>
            <w:r>
              <w:rPr>
                <w:rFonts w:ascii="Times New Roman"/>
                <w:b w:val="false"/>
                <w:i w:val="false"/>
                <w:color w:val="000000"/>
                <w:sz w:val="20"/>
              </w:rPr>
              <w:t xml:space="preserve">
   2.2.2.1 Руководитель исследования является централизованным контролирующим лицом в исследовании и несет ответственность за общее проведение исследования и подготовку заключительного отчета. </w:t>
            </w:r>
          </w:p>
          <w:p>
            <w:pPr>
              <w:spacing w:after="20"/>
              <w:ind w:left="20"/>
              <w:jc w:val="both"/>
            </w:pPr>
            <w:r>
              <w:rPr>
                <w:rFonts w:ascii="Times New Roman"/>
                <w:b w:val="false"/>
                <w:i w:val="false"/>
                <w:color w:val="000000"/>
                <w:sz w:val="20"/>
              </w:rPr>
              <w:t>
   2.2.2.2 Руководитель исследования обеспечивает:</w:t>
            </w:r>
          </w:p>
          <w:p>
            <w:pPr>
              <w:spacing w:after="20"/>
              <w:ind w:left="20"/>
              <w:jc w:val="both"/>
            </w:pPr>
            <w:r>
              <w:rPr>
                <w:rFonts w:ascii="Times New Roman"/>
                <w:b w:val="false"/>
                <w:i w:val="false"/>
                <w:color w:val="000000"/>
                <w:sz w:val="20"/>
              </w:rPr>
              <w:t>
   а) согласовывание протокола, плана, программы исследования и любые его (ее) изменения проставлением даты и подписи;</w:t>
            </w:r>
          </w:p>
          <w:p>
            <w:pPr>
              <w:spacing w:after="20"/>
              <w:ind w:left="20"/>
              <w:jc w:val="both"/>
            </w:pPr>
            <w:r>
              <w:rPr>
                <w:rFonts w:ascii="Times New Roman"/>
                <w:b w:val="false"/>
                <w:i w:val="false"/>
                <w:color w:val="000000"/>
                <w:sz w:val="20"/>
              </w:rPr>
              <w:t>
   б) организацию работы по проведению исследования, распределяет обязанности между участниками исследования;</w:t>
            </w:r>
          </w:p>
          <w:p>
            <w:pPr>
              <w:spacing w:after="20"/>
              <w:ind w:left="20"/>
              <w:jc w:val="both"/>
            </w:pPr>
            <w:r>
              <w:rPr>
                <w:rFonts w:ascii="Times New Roman"/>
                <w:b w:val="false"/>
                <w:i w:val="false"/>
                <w:color w:val="000000"/>
                <w:sz w:val="20"/>
              </w:rPr>
              <w:t>
   в) контроль за своевременным предоставление персоналу отдела обеспечения качества копии протокола, плана, программы исследования и всех его (ее) изменений согласно требованиям к проведению исследования;</w:t>
            </w:r>
          </w:p>
          <w:p>
            <w:pPr>
              <w:spacing w:after="20"/>
              <w:ind w:left="20"/>
              <w:jc w:val="both"/>
            </w:pPr>
            <w:r>
              <w:rPr>
                <w:rFonts w:ascii="Times New Roman"/>
                <w:b w:val="false"/>
                <w:i w:val="false"/>
                <w:color w:val="000000"/>
                <w:sz w:val="20"/>
              </w:rPr>
              <w:t>
   г) предоставление протокола, плана, программы исследования и его (ее) изменения, а также СОП персоналу исследования;</w:t>
            </w:r>
          </w:p>
          <w:p>
            <w:pPr>
              <w:spacing w:after="20"/>
              <w:ind w:left="20"/>
              <w:jc w:val="both"/>
            </w:pPr>
            <w:r>
              <w:rPr>
                <w:rFonts w:ascii="Times New Roman"/>
                <w:b w:val="false"/>
                <w:i w:val="false"/>
                <w:color w:val="000000"/>
                <w:sz w:val="20"/>
              </w:rPr>
              <w:t>
   д) оформление протокола, плана, программы исследования и заключительного отчета и изменения к ним;</w:t>
            </w:r>
          </w:p>
          <w:p>
            <w:pPr>
              <w:spacing w:after="20"/>
              <w:ind w:left="20"/>
              <w:jc w:val="both"/>
            </w:pPr>
            <w:r>
              <w:rPr>
                <w:rFonts w:ascii="Times New Roman"/>
                <w:b w:val="false"/>
                <w:i w:val="false"/>
                <w:color w:val="000000"/>
                <w:sz w:val="20"/>
              </w:rPr>
              <w:t>
   е) соблюдение процедур, указанных в протоколе, плане, программе исследования, оценивает и документирует влияние любых отклонений от протокола, плана, программы исследования на качество и достоверность исследования;</w:t>
            </w:r>
          </w:p>
          <w:p>
            <w:pPr>
              <w:spacing w:after="20"/>
              <w:ind w:left="20"/>
              <w:jc w:val="both"/>
            </w:pPr>
            <w:r>
              <w:rPr>
                <w:rFonts w:ascii="Times New Roman"/>
                <w:b w:val="false"/>
                <w:i w:val="false"/>
                <w:color w:val="000000"/>
                <w:sz w:val="20"/>
              </w:rPr>
              <w:t>
   ж) документальное оформление и регистрацию полученных исходных данных;</w:t>
            </w:r>
          </w:p>
          <w:p>
            <w:pPr>
              <w:spacing w:after="20"/>
              <w:ind w:left="20"/>
              <w:jc w:val="both"/>
            </w:pPr>
            <w:r>
              <w:rPr>
                <w:rFonts w:ascii="Times New Roman"/>
                <w:b w:val="false"/>
                <w:i w:val="false"/>
                <w:color w:val="000000"/>
                <w:sz w:val="20"/>
              </w:rPr>
              <w:t>
   з) контроль за прохождением валидации компьютеризированных систем, используемых в исследовании;</w:t>
            </w:r>
          </w:p>
          <w:p>
            <w:pPr>
              <w:spacing w:after="20"/>
              <w:ind w:left="20"/>
              <w:jc w:val="both"/>
            </w:pPr>
            <w:r>
              <w:rPr>
                <w:rFonts w:ascii="Times New Roman"/>
                <w:b w:val="false"/>
                <w:i w:val="false"/>
                <w:color w:val="000000"/>
                <w:sz w:val="20"/>
              </w:rPr>
              <w:t>
   и) подписание и датировку заключительного отчета с указанием признания ответственности за достоверность данных и указанием соответствия исследования Стандарту;</w:t>
            </w:r>
          </w:p>
          <w:p>
            <w:pPr>
              <w:spacing w:after="20"/>
              <w:ind w:left="20"/>
              <w:jc w:val="both"/>
            </w:pPr>
            <w:r>
              <w:rPr>
                <w:rFonts w:ascii="Times New Roman"/>
                <w:b w:val="false"/>
                <w:i w:val="false"/>
                <w:color w:val="000000"/>
                <w:sz w:val="20"/>
              </w:rPr>
              <w:t>
   к) контроль за архивированием протокола, плана, программы исследования, заключительного отчета, исходных данных и всей документации после окончания (или прекращения) исследования.</w:t>
            </w:r>
          </w:p>
          <w:p>
            <w:pPr>
              <w:spacing w:after="20"/>
              <w:ind w:left="20"/>
              <w:jc w:val="both"/>
            </w:pPr>
            <w:r>
              <w:rPr>
                <w:rFonts w:ascii="Times New Roman"/>
                <w:b w:val="false"/>
                <w:i w:val="false"/>
                <w:color w:val="000000"/>
                <w:sz w:val="20"/>
              </w:rPr>
              <w:t>
   2.2.3 Ведущего исследователь обеспечивает проведение исследования согласно соответствующему Стандарту.</w:t>
            </w:r>
          </w:p>
          <w:p>
            <w:pPr>
              <w:spacing w:after="20"/>
              <w:ind w:left="20"/>
              <w:jc w:val="both"/>
            </w:pPr>
            <w:r>
              <w:rPr>
                <w:rFonts w:ascii="Times New Roman"/>
                <w:b w:val="false"/>
                <w:i w:val="false"/>
                <w:color w:val="000000"/>
                <w:sz w:val="20"/>
              </w:rPr>
              <w:t>
   2.2.4 Обязанности персонала, участвующего в исследовании</w:t>
            </w:r>
          </w:p>
          <w:p>
            <w:pPr>
              <w:spacing w:after="20"/>
              <w:ind w:left="20"/>
              <w:jc w:val="both"/>
            </w:pPr>
            <w:r>
              <w:rPr>
                <w:rFonts w:ascii="Times New Roman"/>
                <w:b w:val="false"/>
                <w:i w:val="false"/>
                <w:color w:val="000000"/>
                <w:sz w:val="20"/>
              </w:rPr>
              <w:t>
   2.2.4.1 Персонал, задействованный в проведении исследования, осуществляет соблюдение Стандарта.</w:t>
            </w:r>
          </w:p>
          <w:p>
            <w:pPr>
              <w:spacing w:after="20"/>
              <w:ind w:left="20"/>
              <w:jc w:val="both"/>
            </w:pPr>
            <w:r>
              <w:rPr>
                <w:rFonts w:ascii="Times New Roman"/>
                <w:b w:val="false"/>
                <w:i w:val="false"/>
                <w:color w:val="000000"/>
                <w:sz w:val="20"/>
              </w:rPr>
              <w:t>
   2.2.4.2 Персонал исследования имеет доступ к протоколу, плану, программе исследования и соответствующим СОП, которые имеют отношение к его работе в исследовании. Любые отклонения от протокола, плана, программы исследования оформляется документально и передается напрямую руководителю исследования и (или) при необходимости ведущему исследователю.</w:t>
            </w:r>
          </w:p>
          <w:p>
            <w:pPr>
              <w:spacing w:after="20"/>
              <w:ind w:left="20"/>
              <w:jc w:val="both"/>
            </w:pPr>
            <w:r>
              <w:rPr>
                <w:rFonts w:ascii="Times New Roman"/>
                <w:b w:val="false"/>
                <w:i w:val="false"/>
                <w:color w:val="000000"/>
                <w:sz w:val="20"/>
              </w:rPr>
              <w:t>
   2.2.4.3 Персонал исследования обеспечивает своевременную и точную регистрацию исходных данных и их соответствие Стандарту, а также за качество этих данных.</w:t>
            </w:r>
          </w:p>
          <w:p>
            <w:pPr>
              <w:spacing w:after="20"/>
              <w:ind w:left="20"/>
              <w:jc w:val="both"/>
            </w:pPr>
            <w:r>
              <w:rPr>
                <w:rFonts w:ascii="Times New Roman"/>
                <w:b w:val="false"/>
                <w:i w:val="false"/>
                <w:color w:val="000000"/>
                <w:sz w:val="20"/>
              </w:rPr>
              <w:t>
   2.2.4.4 Персонал исследования предпринимает оздоровительные профилактические меры для минимизации риска для здоровья и обеспечивать достоверность исследования. Персонал своевременно сообщает соответствующему лицу о санитарных или медицинских условиях с целью их устранения и недопущения влияния на исследование.</w:t>
            </w:r>
          </w:p>
          <w:p>
            <w:pPr>
              <w:spacing w:after="20"/>
              <w:ind w:left="20"/>
              <w:jc w:val="both"/>
            </w:pPr>
            <w:r>
              <w:rPr>
                <w:rFonts w:ascii="Times New Roman"/>
                <w:b w:val="false"/>
                <w:i w:val="false"/>
                <w:color w:val="000000"/>
                <w:sz w:val="20"/>
              </w:rPr>
              <w:t xml:space="preserve">
   2.2.4.5 Для облегчения работы руководителя исследования и отдела обеспечения качества при краткосрочных исследованиях следует использовать руководство по применению Стандарта в краткосрочных исследованиях согласно </w:t>
            </w:r>
            <w:r>
              <w:rPr>
                <w:rFonts w:ascii="Times New Roman"/>
                <w:b w:val="false"/>
                <w:i w:val="false"/>
                <w:color w:val="000000"/>
                <w:sz w:val="20"/>
              </w:rPr>
              <w:t>приложения 1</w:t>
            </w:r>
            <w:r>
              <w:rPr>
                <w:rFonts w:ascii="Times New Roman"/>
                <w:b w:val="false"/>
                <w:i w:val="false"/>
                <w:color w:val="000000"/>
                <w:sz w:val="20"/>
              </w:rPr>
              <w:t xml:space="preserve"> к  Стандарту, при исследованиях in vitro (ин витро) руководство по применению Стандарта для исследований in vitro (ин витро) согласно </w:t>
            </w:r>
            <w:r>
              <w:rPr>
                <w:rFonts w:ascii="Times New Roman"/>
                <w:b w:val="false"/>
                <w:i w:val="false"/>
                <w:color w:val="000000"/>
                <w:sz w:val="20"/>
              </w:rPr>
              <w:t>приложения 2</w:t>
            </w:r>
            <w:r>
              <w:rPr>
                <w:rFonts w:ascii="Times New Roman"/>
                <w:b w:val="false"/>
                <w:i w:val="false"/>
                <w:color w:val="000000"/>
                <w:sz w:val="20"/>
              </w:rPr>
              <w:t xml:space="preserve"> к Стандарту;</w:t>
            </w:r>
          </w:p>
          <w:p>
            <w:pPr>
              <w:spacing w:after="20"/>
              <w:ind w:left="20"/>
              <w:jc w:val="both"/>
            </w:pPr>
            <w:r>
              <w:rPr>
                <w:rFonts w:ascii="Times New Roman"/>
                <w:b w:val="false"/>
                <w:i w:val="false"/>
                <w:color w:val="000000"/>
                <w:sz w:val="20"/>
              </w:rPr>
              <w:t xml:space="preserve">
   2.2.4.6 Роль и должностные обязанности руководителя исследования при проведении исследований согласно Стандарту регламентированы в </w:t>
            </w:r>
            <w:r>
              <w:rPr>
                <w:rFonts w:ascii="Times New Roman"/>
                <w:b w:val="false"/>
                <w:i w:val="false"/>
                <w:color w:val="000000"/>
                <w:sz w:val="20"/>
              </w:rPr>
              <w:t>приложения 3</w:t>
            </w:r>
            <w:r>
              <w:rPr>
                <w:rFonts w:ascii="Times New Roman"/>
                <w:b w:val="false"/>
                <w:i w:val="false"/>
                <w:color w:val="000000"/>
                <w:sz w:val="20"/>
              </w:rPr>
              <w:t xml:space="preserve"> к Стандарту.</w:t>
            </w:r>
          </w:p>
          <w:p>
            <w:pPr>
              <w:spacing w:after="20"/>
              <w:ind w:left="20"/>
              <w:jc w:val="both"/>
            </w:pPr>
            <w:r>
              <w:rPr>
                <w:rFonts w:ascii="Times New Roman"/>
                <w:b w:val="false"/>
                <w:i w:val="false"/>
                <w:color w:val="000000"/>
                <w:sz w:val="20"/>
              </w:rPr>
              <w:t xml:space="preserve">
   2.2.4.7 Роль и обязанности спонсора в применении Стандарта регламентированы в </w:t>
            </w:r>
            <w:r>
              <w:rPr>
                <w:rFonts w:ascii="Times New Roman"/>
                <w:b w:val="false"/>
                <w:i w:val="false"/>
                <w:color w:val="000000"/>
                <w:sz w:val="20"/>
              </w:rPr>
              <w:t>приложения 4</w:t>
            </w:r>
            <w:r>
              <w:rPr>
                <w:rFonts w:ascii="Times New Roman"/>
                <w:b w:val="false"/>
                <w:i w:val="false"/>
                <w:color w:val="000000"/>
                <w:sz w:val="20"/>
              </w:rPr>
              <w:t xml:space="preserve"> к Стандарту.</w:t>
            </w:r>
          </w:p>
          <w:p>
            <w:pPr>
              <w:spacing w:after="20"/>
              <w:ind w:left="20"/>
              <w:jc w:val="both"/>
            </w:pPr>
            <w:r>
              <w:rPr>
                <w:rFonts w:ascii="Times New Roman"/>
                <w:b w:val="false"/>
                <w:i w:val="false"/>
                <w:color w:val="000000"/>
                <w:sz w:val="20"/>
              </w:rPr>
              <w:t>
   2.3 Помещения для исследований</w:t>
            </w:r>
          </w:p>
          <w:p>
            <w:pPr>
              <w:spacing w:after="20"/>
              <w:ind w:left="20"/>
              <w:jc w:val="both"/>
            </w:pPr>
            <w:r>
              <w:rPr>
                <w:rFonts w:ascii="Times New Roman"/>
                <w:b w:val="false"/>
                <w:i w:val="false"/>
                <w:color w:val="000000"/>
                <w:sz w:val="20"/>
              </w:rPr>
              <w:t>
   2.3.1 Общая информация</w:t>
            </w:r>
          </w:p>
          <w:p>
            <w:pPr>
              <w:spacing w:after="20"/>
              <w:ind w:left="20"/>
              <w:jc w:val="both"/>
            </w:pPr>
            <w:r>
              <w:rPr>
                <w:rFonts w:ascii="Times New Roman"/>
                <w:b w:val="false"/>
                <w:i w:val="false"/>
                <w:color w:val="000000"/>
                <w:sz w:val="20"/>
              </w:rPr>
              <w:t xml:space="preserve">
   2.3.1.1 Помещения, предназначенные для проведения доклинических (неклинических) исследований, проектируются, располагаются и эксплуатируются в целях обеспечения качественного исполнения проводимых исследований. </w:t>
            </w:r>
          </w:p>
          <w:p>
            <w:pPr>
              <w:spacing w:after="20"/>
              <w:ind w:left="20"/>
              <w:jc w:val="both"/>
            </w:pPr>
            <w:r>
              <w:rPr>
                <w:rFonts w:ascii="Times New Roman"/>
                <w:b w:val="false"/>
                <w:i w:val="false"/>
                <w:color w:val="000000"/>
                <w:sz w:val="20"/>
              </w:rPr>
              <w:t>
   2.3.1.2 Структура испытательной лаборатории располагает  возможностями для  обеспечения адекватной степени разделения разных видов деятельности для надлежащего проведения каждого исследования.</w:t>
            </w:r>
          </w:p>
          <w:p>
            <w:pPr>
              <w:spacing w:after="20"/>
              <w:ind w:left="20"/>
              <w:jc w:val="both"/>
            </w:pPr>
            <w:r>
              <w:rPr>
                <w:rFonts w:ascii="Times New Roman"/>
                <w:b w:val="false"/>
                <w:i w:val="false"/>
                <w:color w:val="000000"/>
                <w:sz w:val="20"/>
              </w:rPr>
              <w:t>
   2.3.2 Помещения для тест-систем</w:t>
            </w:r>
          </w:p>
          <w:p>
            <w:pPr>
              <w:spacing w:after="20"/>
              <w:ind w:left="20"/>
              <w:jc w:val="both"/>
            </w:pPr>
            <w:r>
              <w:rPr>
                <w:rFonts w:ascii="Times New Roman"/>
                <w:b w:val="false"/>
                <w:i w:val="false"/>
                <w:color w:val="000000"/>
                <w:sz w:val="20"/>
              </w:rPr>
              <w:t>
   2.3.2.1 Испытательная лаборатория располагает достаточным количеством помещений и зон для изоляции тест-систем, в которых задействованы вещества или микроорганизмы с известной или подозреваемой биологической опасностью.</w:t>
            </w:r>
          </w:p>
          <w:p>
            <w:pPr>
              <w:spacing w:after="20"/>
              <w:ind w:left="20"/>
              <w:jc w:val="both"/>
            </w:pPr>
            <w:r>
              <w:rPr>
                <w:rFonts w:ascii="Times New Roman"/>
                <w:b w:val="false"/>
                <w:i w:val="false"/>
                <w:color w:val="000000"/>
                <w:sz w:val="20"/>
              </w:rPr>
              <w:t>
   2.3.2.2 Располагает соответствующими помещениями и зонами для диагностики, исследования и контроля заболеваний, чтобы не допустить неприемлемого уровня повреждения тест-систем.</w:t>
            </w:r>
          </w:p>
          <w:p>
            <w:pPr>
              <w:spacing w:after="20"/>
              <w:ind w:left="20"/>
              <w:jc w:val="both"/>
            </w:pPr>
            <w:r>
              <w:rPr>
                <w:rFonts w:ascii="Times New Roman"/>
                <w:b w:val="false"/>
                <w:i w:val="false"/>
                <w:color w:val="000000"/>
                <w:sz w:val="20"/>
              </w:rPr>
              <w:t>
   2.3.2.3 Располагает отдельными помещениями или зонами хранения сырья и оборудования, используемого в исследовании, которые обеспечивают соответствующую защиту от заражения, загрязнения или повреждения.</w:t>
            </w:r>
          </w:p>
          <w:p>
            <w:pPr>
              <w:spacing w:after="20"/>
              <w:ind w:left="20"/>
              <w:jc w:val="both"/>
            </w:pPr>
            <w:r>
              <w:rPr>
                <w:rFonts w:ascii="Times New Roman"/>
                <w:b w:val="false"/>
                <w:i w:val="false"/>
                <w:color w:val="000000"/>
                <w:sz w:val="20"/>
              </w:rPr>
              <w:t>
   2.3.3 Помещения для проведения исследований исследуемых веществ (лекарственных средств) и образцов сравнения (контрольных образцов).</w:t>
            </w:r>
          </w:p>
          <w:p>
            <w:pPr>
              <w:spacing w:after="20"/>
              <w:ind w:left="20"/>
              <w:jc w:val="both"/>
            </w:pPr>
            <w:r>
              <w:rPr>
                <w:rFonts w:ascii="Times New Roman"/>
                <w:b w:val="false"/>
                <w:i w:val="false"/>
                <w:color w:val="000000"/>
                <w:sz w:val="20"/>
              </w:rPr>
              <w:t>
   2.3.3.1 Для предотвращения загрязнения или смешивания отводятся отдельные помещения и зоны для получения и хранения исследуемых веществ (лекарственных средств) и образцов сравнения (контрольных образцов).</w:t>
            </w:r>
          </w:p>
          <w:p>
            <w:pPr>
              <w:spacing w:after="20"/>
              <w:ind w:left="20"/>
              <w:jc w:val="both"/>
            </w:pPr>
            <w:r>
              <w:rPr>
                <w:rFonts w:ascii="Times New Roman"/>
                <w:b w:val="false"/>
                <w:i w:val="false"/>
                <w:color w:val="000000"/>
                <w:sz w:val="20"/>
              </w:rPr>
              <w:t>
   2.3.3.2 Помещения или зоны хранения испытуемых веществ располагаются отделенно от комнат или зон, в которых размещаются испытательные системы, которые обеспечивают сохранения состава, концентрации, чистоты, стабильности и безопасное хранение опасных веществ.</w:t>
            </w:r>
          </w:p>
          <w:p>
            <w:pPr>
              <w:spacing w:after="20"/>
              <w:ind w:left="20"/>
              <w:jc w:val="both"/>
            </w:pPr>
            <w:r>
              <w:rPr>
                <w:rFonts w:ascii="Times New Roman"/>
                <w:b w:val="false"/>
                <w:i w:val="false"/>
                <w:color w:val="000000"/>
                <w:sz w:val="20"/>
              </w:rPr>
              <w:t>
   2.3.4 Помещения для архивирования оборудуются для обеспечения безопасного хранения протоколов, планов, программ исследования, исходных данных, заключительных отчетов, проб испытуемых веществ и образцов. Расположение архива и режим работы защищает его содержимое от порчи.</w:t>
            </w:r>
          </w:p>
          <w:p>
            <w:pPr>
              <w:spacing w:after="20"/>
              <w:ind w:left="20"/>
              <w:jc w:val="both"/>
            </w:pPr>
            <w:r>
              <w:rPr>
                <w:rFonts w:ascii="Times New Roman"/>
                <w:b w:val="false"/>
                <w:i w:val="false"/>
                <w:color w:val="000000"/>
                <w:sz w:val="20"/>
              </w:rPr>
              <w:t>
   2.3.5 Удаление (уничтожение) отходов осуществляется не подвергая опасности проведение исследований и не искажая их результаты. Для этого требуется обеспечить соответствующие условия для сбора, хранения и вывоза отходов, а также процедур их дезактивации и последующей транспортировки.</w:t>
            </w:r>
          </w:p>
          <w:p>
            <w:pPr>
              <w:spacing w:after="20"/>
              <w:ind w:left="20"/>
              <w:jc w:val="both"/>
            </w:pPr>
            <w:r>
              <w:rPr>
                <w:rFonts w:ascii="Times New Roman"/>
                <w:b w:val="false"/>
                <w:i w:val="false"/>
                <w:color w:val="000000"/>
                <w:sz w:val="20"/>
              </w:rPr>
              <w:t>
   2.4 Оборудование, материалы и реактивы</w:t>
            </w:r>
          </w:p>
          <w:p>
            <w:pPr>
              <w:spacing w:after="20"/>
              <w:ind w:left="20"/>
              <w:jc w:val="both"/>
            </w:pPr>
            <w:r>
              <w:rPr>
                <w:rFonts w:ascii="Times New Roman"/>
                <w:b w:val="false"/>
                <w:i w:val="false"/>
                <w:color w:val="000000"/>
                <w:sz w:val="20"/>
              </w:rPr>
              <w:t>
   2.4.1 Оборудование, включая компьютеризированные системы, используемые для сбора и хранения данных и для контроля факторов окружающей среды, которые имеют отношение к исследованию размещаются с учетом особенностей, целей и назначения, соответствующих видам проводимых исследований.</w:t>
            </w:r>
          </w:p>
          <w:p>
            <w:pPr>
              <w:spacing w:after="20"/>
              <w:ind w:left="20"/>
              <w:jc w:val="both"/>
            </w:pPr>
            <w:r>
              <w:rPr>
                <w:rFonts w:ascii="Times New Roman"/>
                <w:b w:val="false"/>
                <w:i w:val="false"/>
                <w:color w:val="000000"/>
                <w:sz w:val="20"/>
              </w:rPr>
              <w:t>
   2.4.2 Оборудование, используемое в исследовании, периодически подвергаются техническому обслуживанию, калибровке, очистке в соответствии с утвержденными СОП.</w:t>
            </w:r>
          </w:p>
          <w:p>
            <w:pPr>
              <w:spacing w:after="20"/>
              <w:ind w:left="20"/>
              <w:jc w:val="both"/>
            </w:pPr>
            <w:r>
              <w:rPr>
                <w:rFonts w:ascii="Times New Roman"/>
                <w:b w:val="false"/>
                <w:i w:val="false"/>
                <w:color w:val="000000"/>
                <w:sz w:val="20"/>
              </w:rPr>
              <w:t>
   2.4.3 Исключается отрицательное влияние на испытательные системы оборудований и материалов, используемые в исследовании.</w:t>
            </w:r>
          </w:p>
          <w:p>
            <w:pPr>
              <w:spacing w:after="20"/>
              <w:ind w:left="20"/>
              <w:jc w:val="both"/>
            </w:pPr>
            <w:r>
              <w:rPr>
                <w:rFonts w:ascii="Times New Roman"/>
                <w:b w:val="false"/>
                <w:i w:val="false"/>
                <w:color w:val="000000"/>
                <w:sz w:val="20"/>
              </w:rPr>
              <w:t xml:space="preserve">
   2.4.4 Химические вещества, реактивы и растворы  используемые  в исследований, маркируются с указанием состава (в соответствующих случаях концентрации), срока годности и указаний об особенностях хранения. Содержит  информацию об источнике получения, даты приготовления и стабильности. </w:t>
            </w:r>
          </w:p>
          <w:p>
            <w:pPr>
              <w:spacing w:after="20"/>
              <w:ind w:left="20"/>
              <w:jc w:val="both"/>
            </w:pPr>
            <w:r>
              <w:rPr>
                <w:rFonts w:ascii="Times New Roman"/>
                <w:b w:val="false"/>
                <w:i w:val="false"/>
                <w:color w:val="000000"/>
                <w:sz w:val="20"/>
              </w:rPr>
              <w:t>
   2.5 Тест-системы</w:t>
            </w:r>
          </w:p>
          <w:p>
            <w:pPr>
              <w:spacing w:after="20"/>
              <w:ind w:left="20"/>
              <w:jc w:val="both"/>
            </w:pPr>
            <w:r>
              <w:rPr>
                <w:rFonts w:ascii="Times New Roman"/>
                <w:b w:val="false"/>
                <w:i w:val="false"/>
                <w:color w:val="000000"/>
                <w:sz w:val="20"/>
              </w:rPr>
              <w:t>
   2.5.1 Физические, химические</w:t>
            </w:r>
          </w:p>
          <w:p>
            <w:pPr>
              <w:spacing w:after="20"/>
              <w:ind w:left="20"/>
              <w:jc w:val="both"/>
            </w:pPr>
            <w:r>
              <w:rPr>
                <w:rFonts w:ascii="Times New Roman"/>
                <w:b w:val="false"/>
                <w:i w:val="false"/>
                <w:color w:val="000000"/>
                <w:sz w:val="20"/>
              </w:rPr>
              <w:t>
   2.5.1.1 Оборудование, используемое для физико-химических исследований, имеет соответствие видам проводимых исследований.</w:t>
            </w:r>
          </w:p>
          <w:p>
            <w:pPr>
              <w:spacing w:after="20"/>
              <w:ind w:left="20"/>
              <w:jc w:val="both"/>
            </w:pPr>
            <w:r>
              <w:rPr>
                <w:rFonts w:ascii="Times New Roman"/>
                <w:b w:val="false"/>
                <w:i w:val="false"/>
                <w:color w:val="000000"/>
                <w:sz w:val="20"/>
              </w:rPr>
              <w:t>
   2.5.1.2 Необходимо обеспечение целостности физических, химических тест-систем.</w:t>
            </w:r>
          </w:p>
          <w:p>
            <w:pPr>
              <w:spacing w:after="20"/>
              <w:ind w:left="20"/>
              <w:jc w:val="both"/>
            </w:pPr>
            <w:r>
              <w:rPr>
                <w:rFonts w:ascii="Times New Roman"/>
                <w:b w:val="false"/>
                <w:i w:val="false"/>
                <w:color w:val="000000"/>
                <w:sz w:val="20"/>
              </w:rPr>
              <w:t>
   2.5.2 Биологические</w:t>
            </w:r>
          </w:p>
          <w:p>
            <w:pPr>
              <w:spacing w:after="20"/>
              <w:ind w:left="20"/>
              <w:jc w:val="both"/>
            </w:pPr>
            <w:r>
              <w:rPr>
                <w:rFonts w:ascii="Times New Roman"/>
                <w:b w:val="false"/>
                <w:i w:val="false"/>
                <w:color w:val="000000"/>
                <w:sz w:val="20"/>
              </w:rPr>
              <w:t>
   2.5.2.1 Необходимо обеспечение надлежащих условии для размещения, хранения, обработки и содержания биологических тест-систем с целью обеспечения соответствующего качества исследования.</w:t>
            </w:r>
          </w:p>
          <w:p>
            <w:pPr>
              <w:spacing w:after="20"/>
              <w:ind w:left="20"/>
              <w:jc w:val="both"/>
            </w:pPr>
            <w:r>
              <w:rPr>
                <w:rFonts w:ascii="Times New Roman"/>
                <w:b w:val="false"/>
                <w:i w:val="false"/>
                <w:color w:val="000000"/>
                <w:sz w:val="20"/>
              </w:rPr>
              <w:t>
   2.5.2.2 Вновь полученные животные и растительные испытательные системы изолируются в соответствии с утвержденными СОП. На начало исследования, испытательные системы проходят соответствующий карантин, допуск к использованию и соответствуют виду и целям исследования. Испытательные системы, пораженные болезнью или поврежденные в ходе исследования, изолируются и проходят исследования, при необходимости сохраняется целостность исследования. Любая диагностика и исследование любого заболевания перед и в ходе исследования регистрируется документально.</w:t>
            </w:r>
          </w:p>
          <w:p>
            <w:pPr>
              <w:spacing w:after="20"/>
              <w:ind w:left="20"/>
              <w:jc w:val="both"/>
            </w:pPr>
            <w:r>
              <w:rPr>
                <w:rFonts w:ascii="Times New Roman"/>
                <w:b w:val="false"/>
                <w:i w:val="false"/>
                <w:color w:val="000000"/>
                <w:sz w:val="20"/>
              </w:rPr>
              <w:t>
   2.5.2.3 Ведется регистрация источника получения, даты и условий прибытия тест-систем.</w:t>
            </w:r>
          </w:p>
          <w:p>
            <w:pPr>
              <w:spacing w:after="20"/>
              <w:ind w:left="20"/>
              <w:jc w:val="both"/>
            </w:pPr>
            <w:r>
              <w:rPr>
                <w:rFonts w:ascii="Times New Roman"/>
                <w:b w:val="false"/>
                <w:i w:val="false"/>
                <w:color w:val="000000"/>
                <w:sz w:val="20"/>
              </w:rPr>
              <w:t>
   2.5.2.4 Биологические испытательные системы проходят адаптацию к условиям исследований в течение соответствующего периода времени перед первым введением, применением исследуемого вещества или образца сравнения (контрольного образца).</w:t>
            </w:r>
          </w:p>
          <w:p>
            <w:pPr>
              <w:spacing w:after="20"/>
              <w:ind w:left="20"/>
              <w:jc w:val="both"/>
            </w:pPr>
            <w:r>
              <w:rPr>
                <w:rFonts w:ascii="Times New Roman"/>
                <w:b w:val="false"/>
                <w:i w:val="false"/>
                <w:color w:val="000000"/>
                <w:sz w:val="20"/>
              </w:rPr>
              <w:t xml:space="preserve">
   2.5.2.5 Для надлежащей идентификации  используемые тест-системы обозначается соответствующей маркировкой. </w:t>
            </w:r>
          </w:p>
          <w:p>
            <w:pPr>
              <w:spacing w:after="20"/>
              <w:ind w:left="20"/>
              <w:jc w:val="both"/>
            </w:pPr>
            <w:r>
              <w:rPr>
                <w:rFonts w:ascii="Times New Roman"/>
                <w:b w:val="false"/>
                <w:i w:val="false"/>
                <w:color w:val="000000"/>
                <w:sz w:val="20"/>
              </w:rPr>
              <w:t>
   2.5.2.6 При использовании помещения или контейнеры с испытательными системами необходимо периодически подвергать санитарной обработке. Любой материал, контактирующий с испытательной системой, не содержить загрязнителей на уровне, мешающем проведению исследования.</w:t>
            </w:r>
          </w:p>
          <w:p>
            <w:pPr>
              <w:spacing w:after="20"/>
              <w:ind w:left="20"/>
              <w:jc w:val="both"/>
            </w:pPr>
            <w:r>
              <w:rPr>
                <w:rFonts w:ascii="Times New Roman"/>
                <w:b w:val="false"/>
                <w:i w:val="false"/>
                <w:color w:val="000000"/>
                <w:sz w:val="20"/>
              </w:rPr>
              <w:t>
   2.6 Испытуемые вещества (лекарственные средства) и образцы сравнения (контрольные образцы)</w:t>
            </w:r>
          </w:p>
          <w:p>
            <w:pPr>
              <w:spacing w:after="20"/>
              <w:ind w:left="20"/>
              <w:jc w:val="both"/>
            </w:pPr>
            <w:r>
              <w:rPr>
                <w:rFonts w:ascii="Times New Roman"/>
                <w:b w:val="false"/>
                <w:i w:val="false"/>
                <w:color w:val="000000"/>
                <w:sz w:val="20"/>
              </w:rPr>
              <w:t>
   2.6.1 Получение, обработка, отбор проб и хранение</w:t>
            </w:r>
          </w:p>
          <w:p>
            <w:pPr>
              <w:spacing w:after="20"/>
              <w:ind w:left="20"/>
              <w:jc w:val="both"/>
            </w:pPr>
            <w:r>
              <w:rPr>
                <w:rFonts w:ascii="Times New Roman"/>
                <w:b w:val="false"/>
                <w:i w:val="false"/>
                <w:color w:val="000000"/>
                <w:sz w:val="20"/>
              </w:rPr>
              <w:t>
   2.6.1.1 Наличие информации о свойствах исследуемого вещества (лекарственного средства) и образцов сравнения (контрольных образцов), дате получения, сроке годности и полученном и использованном количестве в исследованиях.</w:t>
            </w:r>
          </w:p>
          <w:p>
            <w:pPr>
              <w:spacing w:after="20"/>
              <w:ind w:left="20"/>
              <w:jc w:val="both"/>
            </w:pPr>
            <w:r>
              <w:rPr>
                <w:rFonts w:ascii="Times New Roman"/>
                <w:b w:val="false"/>
                <w:i w:val="false"/>
                <w:color w:val="000000"/>
                <w:sz w:val="20"/>
              </w:rPr>
              <w:t>
   2.6.1.2 Указываются  процедуры обработки, отбора проб, и хранения с целью обеспечения надлежащего уровня гомогенности и стабильности, исключающего загрязнение или смешивание.</w:t>
            </w:r>
          </w:p>
          <w:p>
            <w:pPr>
              <w:spacing w:after="20"/>
              <w:ind w:left="20"/>
              <w:jc w:val="both"/>
            </w:pPr>
            <w:r>
              <w:rPr>
                <w:rFonts w:ascii="Times New Roman"/>
                <w:b w:val="false"/>
                <w:i w:val="false"/>
                <w:color w:val="000000"/>
                <w:sz w:val="20"/>
              </w:rPr>
              <w:t>
   2.6.1.3 На контейнере для хранения обозначается соответствующая идентифицирующая информация, срок годности и особенности хранения.</w:t>
            </w:r>
          </w:p>
          <w:p>
            <w:pPr>
              <w:spacing w:after="20"/>
              <w:ind w:left="20"/>
              <w:jc w:val="both"/>
            </w:pPr>
            <w:r>
              <w:rPr>
                <w:rFonts w:ascii="Times New Roman"/>
                <w:b w:val="false"/>
                <w:i w:val="false"/>
                <w:color w:val="000000"/>
                <w:sz w:val="20"/>
              </w:rPr>
              <w:t>
   2.6.2 Описание свойств</w:t>
            </w:r>
          </w:p>
          <w:p>
            <w:pPr>
              <w:spacing w:after="20"/>
              <w:ind w:left="20"/>
              <w:jc w:val="both"/>
            </w:pPr>
            <w:r>
              <w:rPr>
                <w:rFonts w:ascii="Times New Roman"/>
                <w:b w:val="false"/>
                <w:i w:val="false"/>
                <w:color w:val="000000"/>
                <w:sz w:val="20"/>
              </w:rPr>
              <w:t>
   2.6.2.1 Каждое исследуемое вещество (лекарственное средство) и образец сравнения (контрольный образец) соответствующим образом идентифицируется (например, код, идентификационный номер по реестру Химической реферативной службы Американского химического общества), с указанием их названия, физических, химических, биологических, фармакологических свойств.</w:t>
            </w:r>
          </w:p>
          <w:p>
            <w:pPr>
              <w:spacing w:after="20"/>
              <w:ind w:left="20"/>
              <w:jc w:val="both"/>
            </w:pPr>
            <w:r>
              <w:rPr>
                <w:rFonts w:ascii="Times New Roman"/>
                <w:b w:val="false"/>
                <w:i w:val="false"/>
                <w:color w:val="000000"/>
                <w:sz w:val="20"/>
              </w:rPr>
              <w:t>
   2.6.2.2 В каждом исследовании требуется информация о номере серии, чистоте, составе, концентрации и других характеристиках исследуемого вещества (лекарственного средства) и образцов сравнения (контрольных образцов).</w:t>
            </w:r>
          </w:p>
          <w:p>
            <w:pPr>
              <w:spacing w:after="20"/>
              <w:ind w:left="20"/>
              <w:jc w:val="both"/>
            </w:pPr>
            <w:r>
              <w:rPr>
                <w:rFonts w:ascii="Times New Roman"/>
                <w:b w:val="false"/>
                <w:i w:val="false"/>
                <w:color w:val="000000"/>
                <w:sz w:val="20"/>
              </w:rPr>
              <w:t>
   2.6.2.3 В тех случаях, когда исследуемое вещество (лекарственное средство) предоставлено спонсором, разрабатывается совместная процедура между спонсором (разработчиком) и испытательной лабораторией по проверке подлинности исследуемого вещества (лекарственного средства), предназначенного для исследования.</w:t>
            </w:r>
          </w:p>
          <w:p>
            <w:pPr>
              <w:spacing w:after="20"/>
              <w:ind w:left="20"/>
              <w:jc w:val="both"/>
            </w:pPr>
            <w:r>
              <w:rPr>
                <w:rFonts w:ascii="Times New Roman"/>
                <w:b w:val="false"/>
                <w:i w:val="false"/>
                <w:color w:val="000000"/>
                <w:sz w:val="20"/>
              </w:rPr>
              <w:t>
   2.6.2.4 Необходимо знать о стабильности испытуемого вещества (лекарственного средства) и образцов сравнения (контрольных образцов) в условиях хранения и исследований.</w:t>
            </w:r>
          </w:p>
          <w:p>
            <w:pPr>
              <w:spacing w:after="20"/>
              <w:ind w:left="20"/>
              <w:jc w:val="both"/>
            </w:pPr>
            <w:r>
              <w:rPr>
                <w:rFonts w:ascii="Times New Roman"/>
                <w:b w:val="false"/>
                <w:i w:val="false"/>
                <w:color w:val="000000"/>
                <w:sz w:val="20"/>
              </w:rPr>
              <w:t>
   2.6.2.5 Если исследуемое вещество (лекарственное средство) применяется с вспомогательным материалом, необходимо определить гомогенность, концентрацию и стабильность исследуемого вещества в этом материале.</w:t>
            </w:r>
          </w:p>
          <w:p>
            <w:pPr>
              <w:spacing w:after="20"/>
              <w:ind w:left="20"/>
              <w:jc w:val="both"/>
            </w:pPr>
            <w:r>
              <w:rPr>
                <w:rFonts w:ascii="Times New Roman"/>
                <w:b w:val="false"/>
                <w:i w:val="false"/>
                <w:color w:val="000000"/>
                <w:sz w:val="20"/>
              </w:rPr>
              <w:t>
   2.6.2.6 В каждом исследовании, кроме краткосрочных, необходимо обеспечить архивное хранение образцов каждой серии исследуемого вещества (лекарственного средства) для аналитических целей.</w:t>
            </w:r>
          </w:p>
          <w:p>
            <w:pPr>
              <w:spacing w:after="20"/>
              <w:ind w:left="20"/>
              <w:jc w:val="both"/>
            </w:pPr>
            <w:r>
              <w:rPr>
                <w:rFonts w:ascii="Times New Roman"/>
                <w:b w:val="false"/>
                <w:i w:val="false"/>
                <w:color w:val="000000"/>
                <w:sz w:val="20"/>
              </w:rPr>
              <w:t>
   2.7 Стандартные операционные процедуры</w:t>
            </w:r>
          </w:p>
          <w:p>
            <w:pPr>
              <w:spacing w:after="20"/>
              <w:ind w:left="20"/>
              <w:jc w:val="both"/>
            </w:pPr>
            <w:r>
              <w:rPr>
                <w:rFonts w:ascii="Times New Roman"/>
                <w:b w:val="false"/>
                <w:i w:val="false"/>
                <w:color w:val="000000"/>
                <w:sz w:val="20"/>
              </w:rPr>
              <w:t>
   2.7.1 Испытательная лаборатория  имеет  в наличии письменно оформленные СОП, утвержденные руководством испытательной лаборатории, которые предназначены для обеспечения качества и достоверности данных, полученных испытательной лабораторией в ходе проведения исследований. Внесение изменений в стандартные операционные процедуры одобряется руководством испытательной лаборатории.</w:t>
            </w:r>
          </w:p>
          <w:p>
            <w:pPr>
              <w:spacing w:after="20"/>
              <w:ind w:left="20"/>
              <w:jc w:val="both"/>
            </w:pPr>
            <w:r>
              <w:rPr>
                <w:rFonts w:ascii="Times New Roman"/>
                <w:b w:val="false"/>
                <w:i w:val="false"/>
                <w:color w:val="000000"/>
                <w:sz w:val="20"/>
              </w:rPr>
              <w:t>
   2.7.2 В каждом отдельном подразделении и (или) каждой площадке испытательной лаборатории имеются  копии  действующих СОП, относящихся к их деятельности. В качестве дополнительных материалов к этим СОП используются опубликованные учебники, аналитические методы, статьи и руководства.</w:t>
            </w:r>
          </w:p>
          <w:p>
            <w:pPr>
              <w:spacing w:after="20"/>
              <w:ind w:left="20"/>
              <w:jc w:val="both"/>
            </w:pPr>
            <w:r>
              <w:rPr>
                <w:rFonts w:ascii="Times New Roman"/>
                <w:b w:val="false"/>
                <w:i w:val="false"/>
                <w:color w:val="000000"/>
                <w:sz w:val="20"/>
              </w:rPr>
              <w:t>
   2.7.3 Отклонения от СОП, имеющих отношение к исследованию, документально оформляется, утверждается руководителем исследования и ведущим исследователем.</w:t>
            </w:r>
          </w:p>
          <w:p>
            <w:pPr>
              <w:spacing w:after="20"/>
              <w:ind w:left="20"/>
              <w:jc w:val="both"/>
            </w:pPr>
            <w:r>
              <w:rPr>
                <w:rFonts w:ascii="Times New Roman"/>
                <w:b w:val="false"/>
                <w:i w:val="false"/>
                <w:color w:val="000000"/>
                <w:sz w:val="20"/>
              </w:rPr>
              <w:t>
   2.7.4 СОП разрабатывается, для каждого вида деятельности испытательной лаборатории. Перечень видов СОП, приведенных ниже является примерным.</w:t>
            </w:r>
          </w:p>
          <w:p>
            <w:pPr>
              <w:spacing w:after="20"/>
              <w:ind w:left="20"/>
              <w:jc w:val="both"/>
            </w:pPr>
            <w:r>
              <w:rPr>
                <w:rFonts w:ascii="Times New Roman"/>
                <w:b w:val="false"/>
                <w:i w:val="false"/>
                <w:color w:val="000000"/>
                <w:sz w:val="20"/>
              </w:rPr>
              <w:t>
   2.7.5 Исследуемые вещества (лекарственные средства) и образцы сравнения (контрольные образцы): получение, идентификация, маркировка, обработка, отбор проб и хранение.</w:t>
            </w:r>
          </w:p>
          <w:p>
            <w:pPr>
              <w:spacing w:after="20"/>
              <w:ind w:left="20"/>
              <w:jc w:val="both"/>
            </w:pPr>
            <w:r>
              <w:rPr>
                <w:rFonts w:ascii="Times New Roman"/>
                <w:b w:val="false"/>
                <w:i w:val="false"/>
                <w:color w:val="000000"/>
                <w:sz w:val="20"/>
              </w:rPr>
              <w:t>
   2.7.6 Оборудование, материалы и реактивы:</w:t>
            </w:r>
          </w:p>
          <w:p>
            <w:pPr>
              <w:spacing w:after="20"/>
              <w:ind w:left="20"/>
              <w:jc w:val="both"/>
            </w:pPr>
            <w:r>
              <w:rPr>
                <w:rFonts w:ascii="Times New Roman"/>
                <w:b w:val="false"/>
                <w:i w:val="false"/>
                <w:color w:val="000000"/>
                <w:sz w:val="20"/>
              </w:rPr>
              <w:t>
   а) оборудование: использование, обслуживание, очистка и калибровка;</w:t>
            </w:r>
          </w:p>
          <w:p>
            <w:pPr>
              <w:spacing w:after="20"/>
              <w:ind w:left="20"/>
              <w:jc w:val="both"/>
            </w:pPr>
            <w:r>
              <w:rPr>
                <w:rFonts w:ascii="Times New Roman"/>
                <w:b w:val="false"/>
                <w:i w:val="false"/>
                <w:color w:val="000000"/>
                <w:sz w:val="20"/>
              </w:rPr>
              <w:t>
   б) компьютеризированные системы: валидация, функционирование, обслуживание, безопасность, контроль за изменениями и резервная система;</w:t>
            </w:r>
          </w:p>
          <w:p>
            <w:pPr>
              <w:spacing w:after="20"/>
              <w:ind w:left="20"/>
              <w:jc w:val="both"/>
            </w:pPr>
            <w:r>
              <w:rPr>
                <w:rFonts w:ascii="Times New Roman"/>
                <w:b w:val="false"/>
                <w:i w:val="false"/>
                <w:color w:val="000000"/>
                <w:sz w:val="20"/>
              </w:rPr>
              <w:t>
   в) материалы, реактивы и растворы: приготовление и маркировка.</w:t>
            </w:r>
          </w:p>
          <w:p>
            <w:pPr>
              <w:spacing w:after="20"/>
              <w:ind w:left="20"/>
              <w:jc w:val="both"/>
            </w:pPr>
            <w:r>
              <w:rPr>
                <w:rFonts w:ascii="Times New Roman"/>
                <w:b w:val="false"/>
                <w:i w:val="false"/>
                <w:color w:val="000000"/>
                <w:sz w:val="20"/>
              </w:rPr>
              <w:t>
   2.7.7 Регистрация, подготовка отчетов, сохранение: кодирование исследований, сбор данных, подготовка отчетов, системы индексации, обработка данных, включая использование компьютеризированных систем.</w:t>
            </w:r>
          </w:p>
          <w:p>
            <w:pPr>
              <w:spacing w:after="20"/>
              <w:ind w:left="20"/>
              <w:jc w:val="both"/>
            </w:pPr>
            <w:r>
              <w:rPr>
                <w:rFonts w:ascii="Times New Roman"/>
                <w:b w:val="false"/>
                <w:i w:val="false"/>
                <w:color w:val="000000"/>
                <w:sz w:val="20"/>
              </w:rPr>
              <w:t>
   2.7.8 Испытательные системы:</w:t>
            </w:r>
          </w:p>
          <w:p>
            <w:pPr>
              <w:spacing w:after="20"/>
              <w:ind w:left="20"/>
              <w:jc w:val="both"/>
            </w:pPr>
            <w:r>
              <w:rPr>
                <w:rFonts w:ascii="Times New Roman"/>
                <w:b w:val="false"/>
                <w:i w:val="false"/>
                <w:color w:val="000000"/>
                <w:sz w:val="20"/>
              </w:rPr>
              <w:t>
   а) подготовка помещений и условий хранения испытательных систем;</w:t>
            </w:r>
          </w:p>
          <w:p>
            <w:pPr>
              <w:spacing w:after="20"/>
              <w:ind w:left="20"/>
              <w:jc w:val="both"/>
            </w:pPr>
            <w:r>
              <w:rPr>
                <w:rFonts w:ascii="Times New Roman"/>
                <w:b w:val="false"/>
                <w:i w:val="false"/>
                <w:color w:val="000000"/>
                <w:sz w:val="20"/>
              </w:rPr>
              <w:t>
   б) процедуры получения, передачи, надлежащего размещения, хранения, описания, идентификации и обработки испытательной системы;</w:t>
            </w:r>
          </w:p>
          <w:p>
            <w:pPr>
              <w:spacing w:after="20"/>
              <w:ind w:left="20"/>
              <w:jc w:val="both"/>
            </w:pPr>
            <w:r>
              <w:rPr>
                <w:rFonts w:ascii="Times New Roman"/>
                <w:b w:val="false"/>
                <w:i w:val="false"/>
                <w:color w:val="000000"/>
                <w:sz w:val="20"/>
              </w:rPr>
              <w:t>
   в) подготовка испытательной системы, наблюдения и анализы перед, в течение и в конце исследования;</w:t>
            </w:r>
          </w:p>
          <w:p>
            <w:pPr>
              <w:spacing w:after="20"/>
              <w:ind w:left="20"/>
              <w:jc w:val="both"/>
            </w:pPr>
            <w:r>
              <w:rPr>
                <w:rFonts w:ascii="Times New Roman"/>
                <w:b w:val="false"/>
                <w:i w:val="false"/>
                <w:color w:val="000000"/>
                <w:sz w:val="20"/>
              </w:rPr>
              <w:t>
   г) размещение тест-систем на испытуемых площадках.</w:t>
            </w:r>
          </w:p>
          <w:p>
            <w:pPr>
              <w:spacing w:after="20"/>
              <w:ind w:left="20"/>
              <w:jc w:val="both"/>
            </w:pPr>
            <w:r>
              <w:rPr>
                <w:rFonts w:ascii="Times New Roman"/>
                <w:b w:val="false"/>
                <w:i w:val="false"/>
                <w:color w:val="000000"/>
                <w:sz w:val="20"/>
              </w:rPr>
              <w:t>
   2.7.9 Процедуры обеспечения качества: работа персонала СОП по планированию, составлению графиков, проведению, документальному оформлению и подготовке отчетов об инспекциях.</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Проведение исследования</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Протокол, план, программа исследования</w:t>
            </w:r>
          </w:p>
          <w:p>
            <w:pPr>
              <w:spacing w:after="20"/>
              <w:ind w:left="20"/>
              <w:jc w:val="both"/>
            </w:pPr>
            <w:r>
              <w:rPr>
                <w:rFonts w:ascii="Times New Roman"/>
                <w:b w:val="false"/>
                <w:i w:val="false"/>
                <w:color w:val="000000"/>
                <w:sz w:val="20"/>
              </w:rPr>
              <w:t>
   3.1.1. В каждом исследовании имеется протокол, план, программа в письменной форме, согласованный руководством испытательной лаборатории и спонсором (разработчиком).</w:t>
            </w:r>
          </w:p>
          <w:p>
            <w:pPr>
              <w:spacing w:after="20"/>
              <w:ind w:left="20"/>
              <w:jc w:val="both"/>
            </w:pPr>
            <w:r>
              <w:rPr>
                <w:rFonts w:ascii="Times New Roman"/>
                <w:b w:val="false"/>
                <w:i w:val="false"/>
                <w:color w:val="000000"/>
                <w:sz w:val="20"/>
              </w:rPr>
              <w:t>
   3.1.2. Протокол, план, программа исследования утверждается датированной подписью руководителя исследования.</w:t>
            </w:r>
          </w:p>
          <w:p>
            <w:pPr>
              <w:spacing w:after="20"/>
              <w:ind w:left="20"/>
              <w:jc w:val="both"/>
            </w:pPr>
            <w:r>
              <w:rPr>
                <w:rFonts w:ascii="Times New Roman"/>
                <w:b w:val="false"/>
                <w:i w:val="false"/>
                <w:color w:val="000000"/>
                <w:sz w:val="20"/>
              </w:rPr>
              <w:t>
   3.1.3. Поправки протокола, плана, программы исследования имеет обоснование, одобряется датированной подписью руководителя исследования и приобщены к протоколу, плану, программе исследования.</w:t>
            </w:r>
          </w:p>
          <w:p>
            <w:pPr>
              <w:spacing w:after="20"/>
              <w:ind w:left="20"/>
              <w:jc w:val="both"/>
            </w:pPr>
            <w:r>
              <w:rPr>
                <w:rFonts w:ascii="Times New Roman"/>
                <w:b w:val="false"/>
                <w:i w:val="false"/>
                <w:color w:val="000000"/>
                <w:sz w:val="20"/>
              </w:rPr>
              <w:t>
   Отклонения от протокола, плана, программы исследования имеет описание, объяснение, одобряется, своевременно датированы руководителем исследования или ведущим исследователем и сохранены с исходными данными исследования.</w:t>
            </w:r>
          </w:p>
          <w:p>
            <w:pPr>
              <w:spacing w:after="20"/>
              <w:ind w:left="20"/>
              <w:jc w:val="both"/>
            </w:pPr>
            <w:r>
              <w:rPr>
                <w:rFonts w:ascii="Times New Roman"/>
                <w:b w:val="false"/>
                <w:i w:val="false"/>
                <w:color w:val="000000"/>
                <w:sz w:val="20"/>
              </w:rPr>
              <w:t>
   3.1.4. При краткосрочных исследованиях, используется общий протокол, план, программа исследования с соответствующими приложениями.</w:t>
            </w:r>
          </w:p>
          <w:p>
            <w:pPr>
              <w:spacing w:after="20"/>
              <w:ind w:left="20"/>
              <w:jc w:val="both"/>
            </w:pPr>
            <w:r>
              <w:rPr>
                <w:rFonts w:ascii="Times New Roman"/>
                <w:b w:val="false"/>
                <w:i w:val="false"/>
                <w:color w:val="000000"/>
                <w:sz w:val="20"/>
              </w:rPr>
              <w:t>
   3.2. Содержание протокола, плана, программы исследования</w:t>
            </w:r>
          </w:p>
          <w:p>
            <w:pPr>
              <w:spacing w:after="20"/>
              <w:ind w:left="20"/>
              <w:jc w:val="both"/>
            </w:pPr>
            <w:r>
              <w:rPr>
                <w:rFonts w:ascii="Times New Roman"/>
                <w:b w:val="false"/>
                <w:i w:val="false"/>
                <w:color w:val="000000"/>
                <w:sz w:val="20"/>
              </w:rPr>
              <w:t>
   3.2.1. Идентификация исследования, исследуемого вещества (лекарственного средства) и образца сравнения (контрольного образца);</w:t>
            </w:r>
          </w:p>
          <w:p>
            <w:pPr>
              <w:spacing w:after="20"/>
              <w:ind w:left="20"/>
              <w:jc w:val="both"/>
            </w:pPr>
            <w:r>
              <w:rPr>
                <w:rFonts w:ascii="Times New Roman"/>
                <w:b w:val="false"/>
                <w:i w:val="false"/>
                <w:color w:val="000000"/>
                <w:sz w:val="20"/>
              </w:rPr>
              <w:t>
   3.2.1.1. Описание дизайна исследования;</w:t>
            </w:r>
          </w:p>
          <w:p>
            <w:pPr>
              <w:spacing w:after="20"/>
              <w:ind w:left="20"/>
              <w:jc w:val="both"/>
            </w:pPr>
            <w:r>
              <w:rPr>
                <w:rFonts w:ascii="Times New Roman"/>
                <w:b w:val="false"/>
                <w:i w:val="false"/>
                <w:color w:val="000000"/>
                <w:sz w:val="20"/>
              </w:rPr>
              <w:t>
   3.2.1.2. Информация о целях и задачах исследования;</w:t>
            </w:r>
          </w:p>
          <w:p>
            <w:pPr>
              <w:spacing w:after="20"/>
              <w:ind w:left="20"/>
              <w:jc w:val="both"/>
            </w:pPr>
            <w:r>
              <w:rPr>
                <w:rFonts w:ascii="Times New Roman"/>
                <w:b w:val="false"/>
                <w:i w:val="false"/>
                <w:color w:val="000000"/>
                <w:sz w:val="20"/>
              </w:rPr>
              <w:t>
   3.2.1.3. Идентификация исследуемого вещества (лекарственного средства) через код или название;</w:t>
            </w:r>
          </w:p>
          <w:p>
            <w:pPr>
              <w:spacing w:after="20"/>
              <w:ind w:left="20"/>
              <w:jc w:val="both"/>
            </w:pPr>
            <w:r>
              <w:rPr>
                <w:rFonts w:ascii="Times New Roman"/>
                <w:b w:val="false"/>
                <w:i w:val="false"/>
                <w:color w:val="000000"/>
                <w:sz w:val="20"/>
              </w:rPr>
              <w:t>
   3.2.1.4. Исследуемое вещество (лекарственное средство) его описание, природа происхождения и характеристики;</w:t>
            </w:r>
          </w:p>
          <w:p>
            <w:pPr>
              <w:spacing w:after="20"/>
              <w:ind w:left="20"/>
              <w:jc w:val="both"/>
            </w:pPr>
            <w:r>
              <w:rPr>
                <w:rFonts w:ascii="Times New Roman"/>
                <w:b w:val="false"/>
                <w:i w:val="false"/>
                <w:color w:val="000000"/>
                <w:sz w:val="20"/>
              </w:rPr>
              <w:t>
   3.2.2. Информация о спонсоре (разработчике) и испытательной лаборатории;</w:t>
            </w:r>
          </w:p>
          <w:p>
            <w:pPr>
              <w:spacing w:after="20"/>
              <w:ind w:left="20"/>
              <w:jc w:val="both"/>
            </w:pPr>
            <w:r>
              <w:rPr>
                <w:rFonts w:ascii="Times New Roman"/>
                <w:b w:val="false"/>
                <w:i w:val="false"/>
                <w:color w:val="000000"/>
                <w:sz w:val="20"/>
              </w:rPr>
              <w:t>
   3.2.2.1. Название и адрес спонсора (разработчика);</w:t>
            </w:r>
          </w:p>
          <w:p>
            <w:pPr>
              <w:spacing w:after="20"/>
              <w:ind w:left="20"/>
              <w:jc w:val="both"/>
            </w:pPr>
            <w:r>
              <w:rPr>
                <w:rFonts w:ascii="Times New Roman"/>
                <w:b w:val="false"/>
                <w:i w:val="false"/>
                <w:color w:val="000000"/>
                <w:sz w:val="20"/>
              </w:rPr>
              <w:t>
   3.2.2.2. Название и адрес задействованных испытательных лабораторий и испытательных площадок;</w:t>
            </w:r>
          </w:p>
          <w:p>
            <w:pPr>
              <w:spacing w:after="20"/>
              <w:ind w:left="20"/>
              <w:jc w:val="both"/>
            </w:pPr>
            <w:r>
              <w:rPr>
                <w:rFonts w:ascii="Times New Roman"/>
                <w:b w:val="false"/>
                <w:i w:val="false"/>
                <w:color w:val="000000"/>
                <w:sz w:val="20"/>
              </w:rPr>
              <w:t>
   3.2.2.3. Фамилия и адрес руководителя исследования;</w:t>
            </w:r>
          </w:p>
          <w:p>
            <w:pPr>
              <w:spacing w:after="20"/>
              <w:ind w:left="20"/>
              <w:jc w:val="both"/>
            </w:pPr>
            <w:r>
              <w:rPr>
                <w:rFonts w:ascii="Times New Roman"/>
                <w:b w:val="false"/>
                <w:i w:val="false"/>
                <w:color w:val="000000"/>
                <w:sz w:val="20"/>
              </w:rPr>
              <w:t>
   3.2.2.4. Фамилия и адрес ведущего исследователя, фамилии исследователей, принимавших участие в исследовании.</w:t>
            </w:r>
          </w:p>
          <w:p>
            <w:pPr>
              <w:spacing w:after="20"/>
              <w:ind w:left="20"/>
              <w:jc w:val="both"/>
            </w:pPr>
            <w:r>
              <w:rPr>
                <w:rFonts w:ascii="Times New Roman"/>
                <w:b w:val="false"/>
                <w:i w:val="false"/>
                <w:color w:val="000000"/>
                <w:sz w:val="20"/>
              </w:rPr>
              <w:t>
   3.2.3. Даты</w:t>
            </w:r>
          </w:p>
          <w:p>
            <w:pPr>
              <w:spacing w:after="20"/>
              <w:ind w:left="20"/>
              <w:jc w:val="both"/>
            </w:pPr>
            <w:r>
              <w:rPr>
                <w:rFonts w:ascii="Times New Roman"/>
                <w:b w:val="false"/>
                <w:i w:val="false"/>
                <w:color w:val="000000"/>
                <w:sz w:val="20"/>
              </w:rPr>
              <w:t>
   3.2.3.1. Дата утверждения протокола, плана, программы исследования с подписью руководителя исследования. Дата утверждения протокола, плана, программы исследования с подписью руководства испытательной лаборатории и спонсора (разработчика);</w:t>
            </w:r>
          </w:p>
          <w:p>
            <w:pPr>
              <w:spacing w:after="20"/>
              <w:ind w:left="20"/>
              <w:jc w:val="both"/>
            </w:pPr>
            <w:r>
              <w:rPr>
                <w:rFonts w:ascii="Times New Roman"/>
                <w:b w:val="false"/>
                <w:i w:val="false"/>
                <w:color w:val="000000"/>
                <w:sz w:val="20"/>
              </w:rPr>
              <w:t>
   3.2.3.2. Предложенные экспериментальные даты начала и завершения исследования.</w:t>
            </w:r>
          </w:p>
          <w:p>
            <w:pPr>
              <w:spacing w:after="20"/>
              <w:ind w:left="20"/>
              <w:jc w:val="both"/>
            </w:pPr>
            <w:r>
              <w:rPr>
                <w:rFonts w:ascii="Times New Roman"/>
                <w:b w:val="false"/>
                <w:i w:val="false"/>
                <w:color w:val="000000"/>
                <w:sz w:val="20"/>
              </w:rPr>
              <w:t>
   3.2.4. Методы исследований</w:t>
            </w:r>
          </w:p>
          <w:p>
            <w:pPr>
              <w:spacing w:after="20"/>
              <w:ind w:left="20"/>
              <w:jc w:val="both"/>
            </w:pPr>
            <w:r>
              <w:rPr>
                <w:rFonts w:ascii="Times New Roman"/>
                <w:b w:val="false"/>
                <w:i w:val="false"/>
                <w:color w:val="000000"/>
                <w:sz w:val="20"/>
              </w:rPr>
              <w:t>
   Приводится подробное описание методов исследований, наименований тест-систем, используемых в исследовании, с обоснованием их выбора, способы и пути введения исследуемого вещества (лекарственного средства), методы статистической обработки, иные документы по проведению исследований;</w:t>
            </w:r>
          </w:p>
          <w:p>
            <w:pPr>
              <w:spacing w:after="20"/>
              <w:ind w:left="20"/>
              <w:jc w:val="both"/>
            </w:pPr>
            <w:r>
              <w:rPr>
                <w:rFonts w:ascii="Times New Roman"/>
                <w:b w:val="false"/>
                <w:i w:val="false"/>
                <w:color w:val="000000"/>
                <w:sz w:val="20"/>
              </w:rPr>
              <w:t>
   3.2.5. Проблемные вопросы (в соответствующих случаях)</w:t>
            </w:r>
          </w:p>
          <w:p>
            <w:pPr>
              <w:spacing w:after="20"/>
              <w:ind w:left="20"/>
              <w:jc w:val="both"/>
            </w:pPr>
            <w:r>
              <w:rPr>
                <w:rFonts w:ascii="Times New Roman"/>
                <w:b w:val="false"/>
                <w:i w:val="false"/>
                <w:color w:val="000000"/>
                <w:sz w:val="20"/>
              </w:rPr>
              <w:t>
   3.2.5.1. Обоснование выбора испытательной системы;</w:t>
            </w:r>
          </w:p>
          <w:p>
            <w:pPr>
              <w:spacing w:after="20"/>
              <w:ind w:left="20"/>
              <w:jc w:val="both"/>
            </w:pPr>
            <w:r>
              <w:rPr>
                <w:rFonts w:ascii="Times New Roman"/>
                <w:b w:val="false"/>
                <w:i w:val="false"/>
                <w:color w:val="000000"/>
                <w:sz w:val="20"/>
              </w:rPr>
              <w:t>
   3.2.5.2. Описание испытательной системы, с указанием таких данных как название вида, штамма, субштамма, источника получения, количества, вида животных, их массы тела, пола, возраста и другой важной информации;</w:t>
            </w:r>
          </w:p>
          <w:p>
            <w:pPr>
              <w:spacing w:after="20"/>
              <w:ind w:left="20"/>
              <w:jc w:val="both"/>
            </w:pPr>
            <w:r>
              <w:rPr>
                <w:rFonts w:ascii="Times New Roman"/>
                <w:b w:val="false"/>
                <w:i w:val="false"/>
                <w:color w:val="000000"/>
                <w:sz w:val="20"/>
              </w:rPr>
              <w:t>
   3.2.5.3. Способ применения и причина такого выбора;</w:t>
            </w:r>
          </w:p>
          <w:p>
            <w:pPr>
              <w:spacing w:after="20"/>
              <w:ind w:left="20"/>
              <w:jc w:val="both"/>
            </w:pPr>
            <w:r>
              <w:rPr>
                <w:rFonts w:ascii="Times New Roman"/>
                <w:b w:val="false"/>
                <w:i w:val="false"/>
                <w:color w:val="000000"/>
                <w:sz w:val="20"/>
              </w:rPr>
              <w:t>
   3.2.5.4. Уровни доз и (или) концентрации, частота и продолжительность применения;</w:t>
            </w:r>
          </w:p>
          <w:p>
            <w:pPr>
              <w:spacing w:after="20"/>
              <w:ind w:left="20"/>
              <w:jc w:val="both"/>
            </w:pPr>
            <w:r>
              <w:rPr>
                <w:rFonts w:ascii="Times New Roman"/>
                <w:b w:val="false"/>
                <w:i w:val="false"/>
                <w:color w:val="000000"/>
                <w:sz w:val="20"/>
              </w:rPr>
              <w:t>
   3.2.5.5. Подробная информация о структуре исследования, включая описание хронологии, всех методов, материалов и условий, вида и частоты проведенных анализов, измерений, наблюдений и исследований.</w:t>
            </w:r>
          </w:p>
          <w:p>
            <w:pPr>
              <w:spacing w:after="20"/>
              <w:ind w:left="20"/>
              <w:jc w:val="both"/>
            </w:pPr>
            <w:r>
              <w:rPr>
                <w:rFonts w:ascii="Times New Roman"/>
                <w:b w:val="false"/>
                <w:i w:val="false"/>
                <w:color w:val="000000"/>
                <w:sz w:val="20"/>
              </w:rPr>
              <w:t>
   3.2.5.6. Все сведения (данные) наблюдений сохраняются.</w:t>
            </w:r>
          </w:p>
          <w:p>
            <w:pPr>
              <w:spacing w:after="20"/>
              <w:ind w:left="20"/>
              <w:jc w:val="both"/>
            </w:pPr>
            <w:r>
              <w:rPr>
                <w:rFonts w:ascii="Times New Roman"/>
                <w:b w:val="false"/>
                <w:i w:val="false"/>
                <w:color w:val="000000"/>
                <w:sz w:val="20"/>
              </w:rPr>
              <w:t>
   3.3. Проведение исследования</w:t>
            </w:r>
          </w:p>
          <w:p>
            <w:pPr>
              <w:spacing w:after="20"/>
              <w:ind w:left="20"/>
              <w:jc w:val="both"/>
            </w:pPr>
            <w:r>
              <w:rPr>
                <w:rFonts w:ascii="Times New Roman"/>
                <w:b w:val="false"/>
                <w:i w:val="false"/>
                <w:color w:val="000000"/>
                <w:sz w:val="20"/>
              </w:rPr>
              <w:t>
   3.3.1. Каждому исследованию присуждается уникальный номер. Все используемые в исследовании образцы, оборудование и материалы, документально отражается в материалах исследования, с целью их прослеживаемости. Исследование проводятся согласно протоколу, плану, программе исследования. Образцы исследуемых веществ (лекарственных средств) и образцы сравнения (контрольные образцы) маркируются соответствующими образом, обеспечивающим идентификацию.</w:t>
            </w:r>
          </w:p>
          <w:p>
            <w:pPr>
              <w:spacing w:after="20"/>
              <w:ind w:left="20"/>
              <w:jc w:val="both"/>
            </w:pPr>
            <w:r>
              <w:rPr>
                <w:rFonts w:ascii="Times New Roman"/>
                <w:b w:val="false"/>
                <w:i w:val="false"/>
                <w:color w:val="000000"/>
                <w:sz w:val="20"/>
              </w:rPr>
              <w:t>
   3.3.2. Данные, получаемые в ходе исследования, точно и разборчиво регистрируются посредством раздельного внесения данных. На все записи ставятся подписи (визы) и датируются.</w:t>
            </w:r>
          </w:p>
          <w:p>
            <w:pPr>
              <w:spacing w:after="20"/>
              <w:ind w:left="20"/>
              <w:jc w:val="both"/>
            </w:pPr>
            <w:r>
              <w:rPr>
                <w:rFonts w:ascii="Times New Roman"/>
                <w:b w:val="false"/>
                <w:i w:val="false"/>
                <w:color w:val="000000"/>
                <w:sz w:val="20"/>
              </w:rPr>
              <w:t>
   3.3.3. Поправки и изменения, вносимые в протокол, план, программу исследования, оформляются с указанием причин и обоснования, датируются и подписываются.</w:t>
            </w:r>
          </w:p>
          <w:p>
            <w:pPr>
              <w:spacing w:after="20"/>
              <w:ind w:left="20"/>
              <w:jc w:val="both"/>
            </w:pPr>
            <w:r>
              <w:rPr>
                <w:rFonts w:ascii="Times New Roman"/>
                <w:b w:val="false"/>
                <w:i w:val="false"/>
                <w:color w:val="000000"/>
                <w:sz w:val="20"/>
              </w:rPr>
              <w:t xml:space="preserve">
   3.3.4. Данные, собираемые по мере прямого ввода в компьютер, имеют идентификацию на момент ввода данных лицом, ответственным за прямой ввод данных. Компьютеризированная система обеспечивает сохранение всех контрольных журналов со всеми изменениями данных, не скрывая исходные данные. </w:t>
            </w:r>
          </w:p>
          <w:p>
            <w:pPr>
              <w:spacing w:after="20"/>
              <w:ind w:left="20"/>
              <w:jc w:val="both"/>
            </w:pPr>
            <w:r>
              <w:rPr>
                <w:rFonts w:ascii="Times New Roman"/>
                <w:b w:val="false"/>
                <w:i w:val="false"/>
                <w:color w:val="000000"/>
                <w:sz w:val="20"/>
              </w:rPr>
              <w:t xml:space="preserve">
   3.3.5. Доклинические (неклинические) исследования лекарственных средств проводятся в соответствии с порядком проведения доклинических (неклинических) исследований лекарственных средств согласно </w:t>
            </w:r>
            <w:r>
              <w:rPr>
                <w:rFonts w:ascii="Times New Roman"/>
                <w:b w:val="false"/>
                <w:i w:val="false"/>
                <w:color w:val="000000"/>
                <w:sz w:val="20"/>
              </w:rPr>
              <w:t>приложения 5</w:t>
            </w:r>
            <w:r>
              <w:rPr>
                <w:rFonts w:ascii="Times New Roman"/>
                <w:b w:val="false"/>
                <w:i w:val="false"/>
                <w:color w:val="000000"/>
                <w:sz w:val="20"/>
              </w:rPr>
              <w:t xml:space="preserve"> к Стандарту.</w:t>
            </w:r>
          </w:p>
          <w:p>
            <w:pPr>
              <w:spacing w:after="20"/>
              <w:ind w:left="20"/>
              <w:jc w:val="both"/>
            </w:pPr>
            <w:r>
              <w:rPr>
                <w:rFonts w:ascii="Times New Roman"/>
                <w:b w:val="false"/>
                <w:i w:val="false"/>
                <w:color w:val="000000"/>
                <w:sz w:val="20"/>
              </w:rPr>
              <w:t xml:space="preserve">
   3.3.6. Многоцентровые исследования проводятся в соответствии с руководством по применению Стандарта для организации и проведения многоцентровых исследований согласно </w:t>
            </w:r>
            <w:r>
              <w:rPr>
                <w:rFonts w:ascii="Times New Roman"/>
                <w:b w:val="false"/>
                <w:i w:val="false"/>
                <w:color w:val="000000"/>
                <w:sz w:val="20"/>
              </w:rPr>
              <w:t>приложения 6</w:t>
            </w:r>
            <w:r>
              <w:rPr>
                <w:rFonts w:ascii="Times New Roman"/>
                <w:b w:val="false"/>
                <w:i w:val="false"/>
                <w:color w:val="000000"/>
                <w:sz w:val="20"/>
              </w:rPr>
              <w:t xml:space="preserve"> к Стандарту.</w:t>
            </w:r>
          </w:p>
          <w:p>
            <w:pPr>
              <w:spacing w:after="20"/>
              <w:ind w:left="20"/>
              <w:jc w:val="both"/>
            </w:pPr>
            <w:r>
              <w:rPr>
                <w:rFonts w:ascii="Times New Roman"/>
                <w:b w:val="false"/>
                <w:i w:val="false"/>
                <w:color w:val="000000"/>
                <w:sz w:val="20"/>
              </w:rPr>
              <w:t xml:space="preserve">
   3.3.7. Компьютеризирванные системы используются в проведении иследований в соответствии с руководством по применению принципов Стандарта к компьютеризированным системам согласно </w:t>
            </w:r>
            <w:r>
              <w:rPr>
                <w:rFonts w:ascii="Times New Roman"/>
                <w:b w:val="false"/>
                <w:i w:val="false"/>
                <w:color w:val="000000"/>
                <w:sz w:val="20"/>
              </w:rPr>
              <w:t>приложения 7</w:t>
            </w:r>
            <w:r>
              <w:rPr>
                <w:rFonts w:ascii="Times New Roman"/>
                <w:b w:val="false"/>
                <w:i w:val="false"/>
                <w:color w:val="000000"/>
                <w:sz w:val="20"/>
              </w:rPr>
              <w:t xml:space="preserve"> к Стандарту.</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Оформление результатов исследования</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Общая информация</w:t>
            </w:r>
          </w:p>
          <w:p>
            <w:pPr>
              <w:spacing w:after="20"/>
              <w:ind w:left="20"/>
              <w:jc w:val="both"/>
            </w:pPr>
            <w:r>
              <w:rPr>
                <w:rFonts w:ascii="Times New Roman"/>
                <w:b w:val="false"/>
                <w:i w:val="false"/>
                <w:color w:val="000000"/>
                <w:sz w:val="20"/>
              </w:rPr>
              <w:t>
   4.1.1. Для каждого исследования готовится заключительный отчет.</w:t>
            </w:r>
          </w:p>
          <w:p>
            <w:pPr>
              <w:spacing w:after="20"/>
              <w:ind w:left="20"/>
              <w:jc w:val="both"/>
            </w:pPr>
            <w:r>
              <w:rPr>
                <w:rFonts w:ascii="Times New Roman"/>
                <w:b w:val="false"/>
                <w:i w:val="false"/>
                <w:color w:val="000000"/>
                <w:sz w:val="20"/>
              </w:rPr>
              <w:t>
   4.1.2. При проведении краткосрочных исследований необходимо подготовить стандартизированный заключительный отчет со специальным приложением об особенностях исследования.</w:t>
            </w:r>
          </w:p>
          <w:p>
            <w:pPr>
              <w:spacing w:after="20"/>
              <w:ind w:left="20"/>
              <w:jc w:val="both"/>
            </w:pPr>
            <w:r>
              <w:rPr>
                <w:rFonts w:ascii="Times New Roman"/>
                <w:b w:val="false"/>
                <w:i w:val="false"/>
                <w:color w:val="000000"/>
                <w:sz w:val="20"/>
              </w:rPr>
              <w:t>
   4.1.3. При проведении долгосрочных исследований подготавливается промежуточный отчет.</w:t>
            </w:r>
          </w:p>
          <w:p>
            <w:pPr>
              <w:spacing w:after="20"/>
              <w:ind w:left="20"/>
              <w:jc w:val="both"/>
            </w:pPr>
            <w:r>
              <w:rPr>
                <w:rFonts w:ascii="Times New Roman"/>
                <w:b w:val="false"/>
                <w:i w:val="false"/>
                <w:color w:val="000000"/>
                <w:sz w:val="20"/>
              </w:rPr>
              <w:t>
   4.1.4. Отчеты ведущих исследователей и специалистов, задействованных в исследовании, подписываются ими собственноручно и датируются.</w:t>
            </w:r>
          </w:p>
          <w:p>
            <w:pPr>
              <w:spacing w:after="20"/>
              <w:ind w:left="20"/>
              <w:jc w:val="both"/>
            </w:pPr>
            <w:r>
              <w:rPr>
                <w:rFonts w:ascii="Times New Roman"/>
                <w:b w:val="false"/>
                <w:i w:val="false"/>
                <w:color w:val="000000"/>
                <w:sz w:val="20"/>
              </w:rPr>
              <w:t xml:space="preserve">
   4.1.5. Заключительный отчет подписывается руководителем исследования и датируется, свидетельствуя о принятии ответственности за достоверность данных. Указывается степень соответствия принципам Стандарта. Заключительный отчет, при наличии, скрепляется печатью организации. </w:t>
            </w:r>
          </w:p>
          <w:p>
            <w:pPr>
              <w:spacing w:after="20"/>
              <w:ind w:left="20"/>
              <w:jc w:val="both"/>
            </w:pPr>
            <w:r>
              <w:rPr>
                <w:rFonts w:ascii="Times New Roman"/>
                <w:b w:val="false"/>
                <w:i w:val="false"/>
                <w:color w:val="000000"/>
                <w:sz w:val="20"/>
              </w:rPr>
              <w:t>
   4.1.6. Изменения и дополнения в заключительном отчете представляется в форме поправок к отчету. Указывается причина исправлений или дополнений. Все поправки подписывается и датируется руководителем исследования.</w:t>
            </w:r>
          </w:p>
          <w:p>
            <w:pPr>
              <w:spacing w:after="20"/>
              <w:ind w:left="20"/>
              <w:jc w:val="both"/>
            </w:pPr>
            <w:r>
              <w:rPr>
                <w:rFonts w:ascii="Times New Roman"/>
                <w:b w:val="false"/>
                <w:i w:val="false"/>
                <w:color w:val="000000"/>
                <w:sz w:val="20"/>
              </w:rPr>
              <w:t>
   4.1.7. Изменение формата заключительного отчета согласно требованиям государственной регистрации или уполномоченного органа не рассматривается как дополнение или поправка в заключительный отчет.</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Содержание заключительного отчета</w:t>
            </w:r>
          </w:p>
          <w:p>
            <w:pPr>
              <w:spacing w:after="20"/>
              <w:ind w:left="20"/>
              <w:jc w:val="both"/>
            </w:pPr>
            <w:r>
              <w:rPr>
                <w:rFonts w:ascii="Times New Roman"/>
                <w:b w:val="false"/>
                <w:i w:val="false"/>
                <w:color w:val="000000"/>
                <w:sz w:val="20"/>
              </w:rPr>
              <w:t>
   4.2.1. Идентификация исследования, исследуемого вещества (лекарственного средства) и образца сравнения (контрольного образца);</w:t>
            </w:r>
          </w:p>
          <w:p>
            <w:pPr>
              <w:spacing w:after="20"/>
              <w:ind w:left="20"/>
              <w:jc w:val="both"/>
            </w:pPr>
            <w:r>
              <w:rPr>
                <w:rFonts w:ascii="Times New Roman"/>
                <w:b w:val="false"/>
                <w:i w:val="false"/>
                <w:color w:val="000000"/>
                <w:sz w:val="20"/>
              </w:rPr>
              <w:t>
   4.2.1.1. Развернутое описание дизайна исследования;</w:t>
            </w:r>
          </w:p>
          <w:p>
            <w:pPr>
              <w:spacing w:after="20"/>
              <w:ind w:left="20"/>
              <w:jc w:val="both"/>
            </w:pPr>
            <w:r>
              <w:rPr>
                <w:rFonts w:ascii="Times New Roman"/>
                <w:b w:val="false"/>
                <w:i w:val="false"/>
                <w:color w:val="000000"/>
                <w:sz w:val="20"/>
              </w:rPr>
              <w:t>
   4.2.1.2. Идентификация исследуемого вещества (лекарственного средства) через код или название;</w:t>
            </w:r>
          </w:p>
          <w:p>
            <w:pPr>
              <w:spacing w:after="20"/>
              <w:ind w:left="20"/>
              <w:jc w:val="both"/>
            </w:pPr>
            <w:r>
              <w:rPr>
                <w:rFonts w:ascii="Times New Roman"/>
                <w:b w:val="false"/>
                <w:i w:val="false"/>
                <w:color w:val="000000"/>
                <w:sz w:val="20"/>
              </w:rPr>
              <w:t>
   4.2.1.3. Идентификация образца сравнения (контрольного образца) по наименованию;</w:t>
            </w:r>
          </w:p>
          <w:p>
            <w:pPr>
              <w:spacing w:after="20"/>
              <w:ind w:left="20"/>
              <w:jc w:val="both"/>
            </w:pPr>
            <w:r>
              <w:rPr>
                <w:rFonts w:ascii="Times New Roman"/>
                <w:b w:val="false"/>
                <w:i w:val="false"/>
                <w:color w:val="000000"/>
                <w:sz w:val="20"/>
              </w:rPr>
              <w:t>
   4.2.1.4. Характеристика свойств исследуемого вещества (лекарственного средства), включая чистоту, стабильность и гомогенность.</w:t>
            </w:r>
          </w:p>
          <w:p>
            <w:pPr>
              <w:spacing w:after="20"/>
              <w:ind w:left="20"/>
              <w:jc w:val="both"/>
            </w:pPr>
            <w:r>
              <w:rPr>
                <w:rFonts w:ascii="Times New Roman"/>
                <w:b w:val="false"/>
                <w:i w:val="false"/>
                <w:color w:val="000000"/>
                <w:sz w:val="20"/>
              </w:rPr>
              <w:t>
   4.2.2. Информация о спонсоре (разработчике) и испытательной лаборатории</w:t>
            </w:r>
          </w:p>
          <w:p>
            <w:pPr>
              <w:spacing w:after="20"/>
              <w:ind w:left="20"/>
              <w:jc w:val="both"/>
            </w:pPr>
            <w:r>
              <w:rPr>
                <w:rFonts w:ascii="Times New Roman"/>
                <w:b w:val="false"/>
                <w:i w:val="false"/>
                <w:color w:val="000000"/>
                <w:sz w:val="20"/>
              </w:rPr>
              <w:t>
   4.2.2.1. Название и адрес спонсора (разработчика);</w:t>
            </w:r>
          </w:p>
          <w:p>
            <w:pPr>
              <w:spacing w:after="20"/>
              <w:ind w:left="20"/>
              <w:jc w:val="both"/>
            </w:pPr>
            <w:r>
              <w:rPr>
                <w:rFonts w:ascii="Times New Roman"/>
                <w:b w:val="false"/>
                <w:i w:val="false"/>
                <w:color w:val="000000"/>
                <w:sz w:val="20"/>
              </w:rPr>
              <w:t>
   4.2.2.2. Название и адрес задействованных испытательных лабораторий и испытательных площадок;</w:t>
            </w:r>
          </w:p>
          <w:p>
            <w:pPr>
              <w:spacing w:after="20"/>
              <w:ind w:left="20"/>
              <w:jc w:val="both"/>
            </w:pPr>
            <w:r>
              <w:rPr>
                <w:rFonts w:ascii="Times New Roman"/>
                <w:b w:val="false"/>
                <w:i w:val="false"/>
                <w:color w:val="000000"/>
                <w:sz w:val="20"/>
              </w:rPr>
              <w:t>
   4.2.2.3. Фамилия и адрес руководителя исследования;</w:t>
            </w:r>
          </w:p>
          <w:p>
            <w:pPr>
              <w:spacing w:after="20"/>
              <w:ind w:left="20"/>
              <w:jc w:val="both"/>
            </w:pPr>
            <w:r>
              <w:rPr>
                <w:rFonts w:ascii="Times New Roman"/>
                <w:b w:val="false"/>
                <w:i w:val="false"/>
                <w:color w:val="000000"/>
                <w:sz w:val="20"/>
              </w:rPr>
              <w:t>
   4.2.2.4. Фамилия и адрес ведущего исследователя;</w:t>
            </w:r>
          </w:p>
          <w:p>
            <w:pPr>
              <w:spacing w:after="20"/>
              <w:ind w:left="20"/>
              <w:jc w:val="both"/>
            </w:pPr>
            <w:r>
              <w:rPr>
                <w:rFonts w:ascii="Times New Roman"/>
                <w:b w:val="false"/>
                <w:i w:val="false"/>
                <w:color w:val="000000"/>
                <w:sz w:val="20"/>
              </w:rPr>
              <w:t>
   4.2.2.5. Фамилии специалистов, предоставивших свои отчеты для окончательного отчета.</w:t>
            </w:r>
          </w:p>
          <w:p>
            <w:pPr>
              <w:spacing w:after="20"/>
              <w:ind w:left="20"/>
              <w:jc w:val="both"/>
            </w:pPr>
            <w:r>
              <w:rPr>
                <w:rFonts w:ascii="Times New Roman"/>
                <w:b w:val="false"/>
                <w:i w:val="false"/>
                <w:color w:val="000000"/>
                <w:sz w:val="20"/>
              </w:rPr>
              <w:t>
   4.2.3. Даты начала и завершения исследования и его этапов.</w:t>
            </w:r>
          </w:p>
          <w:p>
            <w:pPr>
              <w:spacing w:after="20"/>
              <w:ind w:left="20"/>
              <w:jc w:val="both"/>
            </w:pPr>
            <w:r>
              <w:rPr>
                <w:rFonts w:ascii="Times New Roman"/>
                <w:b w:val="false"/>
                <w:i w:val="false"/>
                <w:color w:val="000000"/>
                <w:sz w:val="20"/>
              </w:rPr>
              <w:t>
   4.2.4. Цели и задачи исследования;</w:t>
            </w:r>
          </w:p>
          <w:p>
            <w:pPr>
              <w:spacing w:after="20"/>
              <w:ind w:left="20"/>
              <w:jc w:val="both"/>
            </w:pPr>
            <w:r>
              <w:rPr>
                <w:rFonts w:ascii="Times New Roman"/>
                <w:b w:val="false"/>
                <w:i w:val="false"/>
                <w:color w:val="000000"/>
                <w:sz w:val="20"/>
              </w:rPr>
              <w:t>
   4.2.5. Описание материалов и методов исследований</w:t>
            </w:r>
          </w:p>
          <w:p>
            <w:pPr>
              <w:spacing w:after="20"/>
              <w:ind w:left="20"/>
              <w:jc w:val="both"/>
            </w:pPr>
            <w:r>
              <w:rPr>
                <w:rFonts w:ascii="Times New Roman"/>
                <w:b w:val="false"/>
                <w:i w:val="false"/>
                <w:color w:val="000000"/>
                <w:sz w:val="20"/>
              </w:rPr>
              <w:t>
   4.2.5.1. Описание используемых материалов и методов исследований:</w:t>
            </w:r>
          </w:p>
          <w:p>
            <w:pPr>
              <w:spacing w:after="20"/>
              <w:ind w:left="20"/>
              <w:jc w:val="both"/>
            </w:pPr>
            <w:r>
              <w:rPr>
                <w:rFonts w:ascii="Times New Roman"/>
                <w:b w:val="false"/>
                <w:i w:val="false"/>
                <w:color w:val="000000"/>
                <w:sz w:val="20"/>
              </w:rPr>
              <w:t>
   4.2.5.1.1. Описание исследуемого вещества (лекарственного средства), включая сведения о его физических, химических, биологических и фармацевтических свойствах, составе готовой лекарственной формы;</w:t>
            </w:r>
          </w:p>
          <w:p>
            <w:pPr>
              <w:spacing w:after="20"/>
              <w:ind w:left="20"/>
              <w:jc w:val="both"/>
            </w:pPr>
            <w:r>
              <w:rPr>
                <w:rFonts w:ascii="Times New Roman"/>
                <w:b w:val="false"/>
                <w:i w:val="false"/>
                <w:color w:val="000000"/>
                <w:sz w:val="20"/>
              </w:rPr>
              <w:t>
   4.2.5.1.2. Характеристика и обоснование тест-системы, отобранной для доклинических исследований;</w:t>
            </w:r>
          </w:p>
          <w:p>
            <w:pPr>
              <w:spacing w:after="20"/>
              <w:ind w:left="20"/>
              <w:jc w:val="both"/>
            </w:pPr>
            <w:r>
              <w:rPr>
                <w:rFonts w:ascii="Times New Roman"/>
                <w:b w:val="false"/>
                <w:i w:val="false"/>
                <w:color w:val="000000"/>
                <w:sz w:val="20"/>
              </w:rPr>
              <w:t>
   4.2.5.1.3. В случае использования биологической тест-системы (животных) указать вид, возраст, количество животных в каждой группе, пол, показатель массы тела, источник питания;</w:t>
            </w:r>
          </w:p>
          <w:p>
            <w:pPr>
              <w:spacing w:after="20"/>
              <w:ind w:left="20"/>
              <w:jc w:val="both"/>
            </w:pPr>
            <w:r>
              <w:rPr>
                <w:rFonts w:ascii="Times New Roman"/>
                <w:b w:val="false"/>
                <w:i w:val="false"/>
                <w:color w:val="000000"/>
                <w:sz w:val="20"/>
              </w:rPr>
              <w:t>
   4.2.5.1.4. Режим дозирования, кратность и путь введения исследуемого вещества (лекарственного средства);</w:t>
            </w:r>
          </w:p>
          <w:p>
            <w:pPr>
              <w:spacing w:after="20"/>
              <w:ind w:left="20"/>
              <w:jc w:val="both"/>
            </w:pPr>
            <w:r>
              <w:rPr>
                <w:rFonts w:ascii="Times New Roman"/>
                <w:b w:val="false"/>
                <w:i w:val="false"/>
                <w:color w:val="000000"/>
                <w:sz w:val="20"/>
              </w:rPr>
              <w:t>
   4.2.5.1.5. Схема проведения доклинического (неклинического) исследования исследуемого вещества (лекарственного средства);</w:t>
            </w:r>
          </w:p>
          <w:p>
            <w:pPr>
              <w:spacing w:after="20"/>
              <w:ind w:left="20"/>
              <w:jc w:val="both"/>
            </w:pPr>
            <w:r>
              <w:rPr>
                <w:rFonts w:ascii="Times New Roman"/>
                <w:b w:val="false"/>
                <w:i w:val="false"/>
                <w:color w:val="000000"/>
                <w:sz w:val="20"/>
              </w:rPr>
              <w:t>
   4.2.5.1.6. Описание методов статистической обработки результатов.</w:t>
            </w:r>
          </w:p>
          <w:p>
            <w:pPr>
              <w:spacing w:after="20"/>
              <w:ind w:left="20"/>
              <w:jc w:val="both"/>
            </w:pPr>
            <w:r>
              <w:rPr>
                <w:rFonts w:ascii="Times New Roman"/>
                <w:b w:val="false"/>
                <w:i w:val="false"/>
                <w:color w:val="000000"/>
                <w:sz w:val="20"/>
              </w:rPr>
              <w:t>
   4.2.6. Результаты</w:t>
            </w:r>
          </w:p>
          <w:p>
            <w:pPr>
              <w:spacing w:after="20"/>
              <w:ind w:left="20"/>
              <w:jc w:val="both"/>
            </w:pPr>
            <w:r>
              <w:rPr>
                <w:rFonts w:ascii="Times New Roman"/>
                <w:b w:val="false"/>
                <w:i w:val="false"/>
                <w:color w:val="000000"/>
                <w:sz w:val="20"/>
              </w:rPr>
              <w:t>
   4.2.6.1. Краткий обзор результатов;</w:t>
            </w:r>
          </w:p>
          <w:p>
            <w:pPr>
              <w:spacing w:after="20"/>
              <w:ind w:left="20"/>
              <w:jc w:val="both"/>
            </w:pPr>
            <w:r>
              <w:rPr>
                <w:rFonts w:ascii="Times New Roman"/>
                <w:b w:val="false"/>
                <w:i w:val="false"/>
                <w:color w:val="000000"/>
                <w:sz w:val="20"/>
              </w:rPr>
              <w:t>
   4.2.6.2. Вся информация и данные, требуемые протоколом, планом, программой исследования;</w:t>
            </w:r>
          </w:p>
          <w:p>
            <w:pPr>
              <w:spacing w:after="20"/>
              <w:ind w:left="20"/>
              <w:jc w:val="both"/>
            </w:pPr>
            <w:r>
              <w:rPr>
                <w:rFonts w:ascii="Times New Roman"/>
                <w:b w:val="false"/>
                <w:i w:val="false"/>
                <w:color w:val="000000"/>
                <w:sz w:val="20"/>
              </w:rPr>
              <w:t>
   4.2.6.3. Предоставление результатов, включая расчеты и количественное определение статистической значимости, обобщающие таблицы (графики) с соответствующей статистической обработкой и комментариями к ним;</w:t>
            </w:r>
          </w:p>
          <w:p>
            <w:pPr>
              <w:spacing w:after="20"/>
              <w:ind w:left="20"/>
              <w:jc w:val="both"/>
            </w:pPr>
            <w:r>
              <w:rPr>
                <w:rFonts w:ascii="Times New Roman"/>
                <w:b w:val="false"/>
                <w:i w:val="false"/>
                <w:color w:val="000000"/>
                <w:sz w:val="20"/>
              </w:rPr>
              <w:t>
   4.2.6.4. Оценка и обсуждение результатов исследования и выводы.</w:t>
            </w:r>
          </w:p>
          <w:p>
            <w:pPr>
              <w:spacing w:after="20"/>
              <w:ind w:left="20"/>
              <w:jc w:val="both"/>
            </w:pPr>
            <w:r>
              <w:rPr>
                <w:rFonts w:ascii="Times New Roman"/>
                <w:b w:val="false"/>
                <w:i w:val="false"/>
                <w:color w:val="000000"/>
                <w:sz w:val="20"/>
              </w:rPr>
              <w:t>
   4.2.7. Хранение. Место хранения протокола, плана, программы, проб исследуемого вещества (лекарственного средства) и образцов сравнения (контрольных образцов), исходных данных заключительного отчета.</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Хранение документов и материалов</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Документы, имеющие отношение к исследованию, хранятся в архивах в течение не менее пяти лет после получения регистрации лекарственного средства, если иной период хранения не оговорен спонсором:</w:t>
            </w:r>
          </w:p>
          <w:p>
            <w:pPr>
              <w:spacing w:after="20"/>
              <w:ind w:left="20"/>
              <w:jc w:val="both"/>
            </w:pPr>
            <w:r>
              <w:rPr>
                <w:rFonts w:ascii="Times New Roman"/>
                <w:b w:val="false"/>
                <w:i w:val="false"/>
                <w:color w:val="000000"/>
                <w:sz w:val="20"/>
              </w:rPr>
              <w:t>
   5.1.1. Протокол, план, программа исследования, исходные данные, пробы исследуемого вещества (лекарственного средства) и образцов сравнения (контрольных образцов) и заключительный отчет о каждом исследовании;</w:t>
            </w:r>
          </w:p>
          <w:p>
            <w:pPr>
              <w:spacing w:after="20"/>
              <w:ind w:left="20"/>
              <w:jc w:val="both"/>
            </w:pPr>
            <w:r>
              <w:rPr>
                <w:rFonts w:ascii="Times New Roman"/>
                <w:b w:val="false"/>
                <w:i w:val="false"/>
                <w:color w:val="000000"/>
                <w:sz w:val="20"/>
              </w:rPr>
              <w:t>
   5.1.2. Документы обо всех проведенных инспекциях и аудитах;</w:t>
            </w:r>
          </w:p>
          <w:p>
            <w:pPr>
              <w:spacing w:after="20"/>
              <w:ind w:left="20"/>
              <w:jc w:val="both"/>
            </w:pPr>
            <w:r>
              <w:rPr>
                <w:rFonts w:ascii="Times New Roman"/>
                <w:b w:val="false"/>
                <w:i w:val="false"/>
                <w:color w:val="000000"/>
                <w:sz w:val="20"/>
              </w:rPr>
              <w:t>
   5.1.3. Документы о квалификациях, обучении, опыте и должностные инструкции персонала;</w:t>
            </w:r>
          </w:p>
          <w:p>
            <w:pPr>
              <w:spacing w:after="20"/>
              <w:ind w:left="20"/>
              <w:jc w:val="both"/>
            </w:pPr>
            <w:r>
              <w:rPr>
                <w:rFonts w:ascii="Times New Roman"/>
                <w:b w:val="false"/>
                <w:i w:val="false"/>
                <w:color w:val="000000"/>
                <w:sz w:val="20"/>
              </w:rPr>
              <w:t>
   5.1.4. Документы и отчеты об использовании и калибровке оборудования;</w:t>
            </w:r>
          </w:p>
          <w:p>
            <w:pPr>
              <w:spacing w:after="20"/>
              <w:ind w:left="20"/>
              <w:jc w:val="both"/>
            </w:pPr>
            <w:r>
              <w:rPr>
                <w:rFonts w:ascii="Times New Roman"/>
                <w:b w:val="false"/>
                <w:i w:val="false"/>
                <w:color w:val="000000"/>
                <w:sz w:val="20"/>
              </w:rPr>
              <w:t>
   5.1.5. Документы о валидации компьютеризированных систем;</w:t>
            </w:r>
          </w:p>
          <w:p>
            <w:pPr>
              <w:spacing w:after="20"/>
              <w:ind w:left="20"/>
              <w:jc w:val="both"/>
            </w:pPr>
            <w:r>
              <w:rPr>
                <w:rFonts w:ascii="Times New Roman"/>
                <w:b w:val="false"/>
                <w:i w:val="false"/>
                <w:color w:val="000000"/>
                <w:sz w:val="20"/>
              </w:rPr>
              <w:t>
   5.1.6. Документы обо всех предыдущих СОП;</w:t>
            </w:r>
          </w:p>
          <w:p>
            <w:pPr>
              <w:spacing w:after="20"/>
              <w:ind w:left="20"/>
              <w:jc w:val="both"/>
            </w:pPr>
            <w:r>
              <w:rPr>
                <w:rFonts w:ascii="Times New Roman"/>
                <w:b w:val="false"/>
                <w:i w:val="false"/>
                <w:color w:val="000000"/>
                <w:sz w:val="20"/>
              </w:rPr>
              <w:t>
   5.1.7. Документы о контроле состояния окружающей среды.</w:t>
            </w:r>
          </w:p>
          <w:p>
            <w:pPr>
              <w:spacing w:after="20"/>
              <w:ind w:left="20"/>
              <w:jc w:val="both"/>
            </w:pPr>
            <w:r>
              <w:rPr>
                <w:rFonts w:ascii="Times New Roman"/>
                <w:b w:val="false"/>
                <w:i w:val="false"/>
                <w:color w:val="000000"/>
                <w:sz w:val="20"/>
              </w:rPr>
              <w:t>
   При отсутствии установленного периода хранения документов окончательное решение о времени хранения любых материалов исследования оформляется документально. Если пробы испытуемого вещества (лекарственного средства) и контрольных образцов или сами образцы утилизируют до истечения требуемого периода хранения по какой-либо причине, в таком случае указывается обоснование и оформляется документально. Пробы исследуемого вещества (лекарственного средства) и контрольных образцов или сами образцы хранятся в течение такого периода времени, когда качество препарата позволяет провести их оценку.</w:t>
            </w:r>
          </w:p>
          <w:p>
            <w:pPr>
              <w:spacing w:after="20"/>
              <w:ind w:left="20"/>
              <w:jc w:val="both"/>
            </w:pPr>
            <w:r>
              <w:rPr>
                <w:rFonts w:ascii="Times New Roman"/>
                <w:b w:val="false"/>
                <w:i w:val="false"/>
                <w:color w:val="000000"/>
                <w:sz w:val="20"/>
              </w:rPr>
              <w:t>
   Для упорядочения хранения и облегчение извлечение информации данные, хранимые в архивах, идентифицируются.</w:t>
            </w:r>
          </w:p>
          <w:p>
            <w:pPr>
              <w:spacing w:after="20"/>
              <w:ind w:left="20"/>
              <w:jc w:val="both"/>
            </w:pPr>
            <w:r>
              <w:rPr>
                <w:rFonts w:ascii="Times New Roman"/>
                <w:b w:val="false"/>
                <w:i w:val="false"/>
                <w:color w:val="000000"/>
                <w:sz w:val="20"/>
              </w:rPr>
              <w:t>
   5.2. Доступ к архивам имеет персонал, уполномоченный руководством. Перемещение данных из архива и в архив тщательно регистрируется.</w:t>
            </w:r>
          </w:p>
          <w:p>
            <w:pPr>
              <w:spacing w:after="20"/>
              <w:ind w:left="20"/>
              <w:jc w:val="both"/>
            </w:pPr>
            <w:r>
              <w:rPr>
                <w:rFonts w:ascii="Times New Roman"/>
                <w:b w:val="false"/>
                <w:i w:val="false"/>
                <w:color w:val="000000"/>
                <w:sz w:val="20"/>
              </w:rPr>
              <w:t>
   5.3. Если испытательная лаборатория или архив испытательной лаборатории, работающий по контракту, прекращает деятельность и не имеет правопреемника, архив передается в архивы спонсора исследования (разработчика).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1790"/>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Инспектирование. Процедуры контроля соблюдения Стандарта</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Руководство инспектированием</w:t>
            </w:r>
          </w:p>
          <w:p>
            <w:pPr>
              <w:spacing w:after="20"/>
              <w:ind w:left="20"/>
              <w:jc w:val="both"/>
            </w:pPr>
            <w:r>
              <w:rPr>
                <w:rFonts w:ascii="Times New Roman"/>
                <w:b w:val="false"/>
                <w:i w:val="false"/>
                <w:color w:val="000000"/>
                <w:sz w:val="20"/>
              </w:rPr>
              <w:t>
   6.1.1. Уполномоченный орган осуществляет:</w:t>
            </w:r>
          </w:p>
          <w:p>
            <w:pPr>
              <w:spacing w:after="20"/>
              <w:ind w:left="20"/>
              <w:jc w:val="both"/>
            </w:pPr>
            <w:r>
              <w:rPr>
                <w:rFonts w:ascii="Times New Roman"/>
                <w:b w:val="false"/>
                <w:i w:val="false"/>
                <w:color w:val="000000"/>
                <w:sz w:val="20"/>
              </w:rPr>
              <w:t>
   а) гарантирование ответственности контролирующих выполнение Стандарта за подбор квалифицированных кадров (инспекторов), имеющих необходимый технический, научный опыт;</w:t>
            </w:r>
          </w:p>
          <w:p>
            <w:pPr>
              <w:spacing w:after="20"/>
              <w:ind w:left="20"/>
              <w:jc w:val="both"/>
            </w:pPr>
            <w:r>
              <w:rPr>
                <w:rFonts w:ascii="Times New Roman"/>
                <w:b w:val="false"/>
                <w:i w:val="false"/>
                <w:color w:val="000000"/>
                <w:sz w:val="20"/>
              </w:rPr>
              <w:t>
   б) публикование  документов, разработанные в развитие Стандарта в пределах своей территории;</w:t>
            </w:r>
          </w:p>
          <w:p>
            <w:pPr>
              <w:spacing w:after="20"/>
              <w:ind w:left="20"/>
              <w:jc w:val="both"/>
            </w:pPr>
            <w:r>
              <w:rPr>
                <w:rFonts w:ascii="Times New Roman"/>
                <w:b w:val="false"/>
                <w:i w:val="false"/>
                <w:color w:val="000000"/>
                <w:sz w:val="20"/>
              </w:rPr>
              <w:t>
   в) публикование документов о проведении инспекций, инструкции, периодичность инспекций и (или) графики проведения инспекций;</w:t>
            </w:r>
          </w:p>
          <w:p>
            <w:pPr>
              <w:spacing w:after="20"/>
              <w:ind w:left="20"/>
              <w:jc w:val="both"/>
            </w:pPr>
            <w:r>
              <w:rPr>
                <w:rFonts w:ascii="Times New Roman"/>
                <w:b w:val="false"/>
                <w:i w:val="false"/>
                <w:color w:val="000000"/>
                <w:sz w:val="20"/>
              </w:rPr>
              <w:t xml:space="preserve">
   г) обмен информацией в отношении программ контроля соблюдения Стандарта, проводится  в соответствии  с руководством по обмену информацией в отношении программ контроля соблюдения принципов Стандарта согласно </w:t>
            </w:r>
            <w:r>
              <w:rPr>
                <w:rFonts w:ascii="Times New Roman"/>
                <w:b w:val="false"/>
                <w:i w:val="false"/>
                <w:color w:val="000000"/>
                <w:sz w:val="20"/>
              </w:rPr>
              <w:t>приложения 8</w:t>
            </w:r>
            <w:r>
              <w:rPr>
                <w:rFonts w:ascii="Times New Roman"/>
                <w:b w:val="false"/>
                <w:i w:val="false"/>
                <w:color w:val="000000"/>
                <w:sz w:val="20"/>
              </w:rPr>
              <w:t xml:space="preserve"> к Стандарту;</w:t>
            </w:r>
          </w:p>
          <w:p>
            <w:pPr>
              <w:spacing w:after="20"/>
              <w:ind w:left="20"/>
              <w:jc w:val="both"/>
            </w:pPr>
            <w:r>
              <w:rPr>
                <w:rFonts w:ascii="Times New Roman"/>
                <w:b w:val="false"/>
                <w:i w:val="false"/>
                <w:color w:val="000000"/>
                <w:sz w:val="20"/>
              </w:rPr>
              <w:t xml:space="preserve">
   д) ведение учета инспекций испытательных лабораторий и их статуса соответствия Стандарту и аудитов исследований, и опубликование информации об этом в открытых источниках, как в национальных, так и в международных целях проводится в соответствии с руководством для органов по контролю соблюдения Стандарта по подготовке ежегодных обзоров проверенных испытательных лабораторий согласно </w:t>
            </w:r>
            <w:r>
              <w:rPr>
                <w:rFonts w:ascii="Times New Roman"/>
                <w:b w:val="false"/>
                <w:i w:val="false"/>
                <w:color w:val="000000"/>
                <w:sz w:val="20"/>
              </w:rPr>
              <w:t>приложения 9</w:t>
            </w:r>
            <w:r>
              <w:rPr>
                <w:rFonts w:ascii="Times New Roman"/>
                <w:b w:val="false"/>
                <w:i w:val="false"/>
                <w:color w:val="000000"/>
                <w:sz w:val="20"/>
              </w:rPr>
              <w:t xml:space="preserve"> к Стандарту;</w:t>
            </w:r>
          </w:p>
          <w:p>
            <w:pPr>
              <w:spacing w:after="20"/>
              <w:ind w:left="20"/>
              <w:jc w:val="both"/>
            </w:pPr>
            <w:r>
              <w:rPr>
                <w:rFonts w:ascii="Times New Roman"/>
                <w:b w:val="false"/>
                <w:i w:val="false"/>
                <w:color w:val="000000"/>
                <w:sz w:val="20"/>
              </w:rPr>
              <w:t>
   ж) обеспечение соблюдения конфиденциальности не только инспекторами, но также и другими лицами, имеющими доступ к конфиденциальной информации в результате осуществления деятельности по контролю соблюдения Стандарта;</w:t>
            </w:r>
          </w:p>
          <w:p>
            <w:pPr>
              <w:spacing w:after="20"/>
              <w:ind w:left="20"/>
              <w:jc w:val="both"/>
            </w:pPr>
            <w:r>
              <w:rPr>
                <w:rFonts w:ascii="Times New Roman"/>
                <w:b w:val="false"/>
                <w:i w:val="false"/>
                <w:color w:val="000000"/>
                <w:sz w:val="20"/>
              </w:rPr>
              <w:t>
   з) обеспечение, за исключением случаев удаления коммерчески важной и конфиденциальной информации, предоставление отчетов об инспекциях испытательных лабораторий и аудитах исследований только в уполномоченный орган.</w:t>
            </w:r>
          </w:p>
          <w:p>
            <w:pPr>
              <w:spacing w:after="20"/>
              <w:ind w:left="20"/>
              <w:jc w:val="both"/>
            </w:pPr>
            <w:r>
              <w:rPr>
                <w:rFonts w:ascii="Times New Roman"/>
                <w:b w:val="false"/>
                <w:i w:val="false"/>
                <w:color w:val="000000"/>
                <w:sz w:val="20"/>
              </w:rPr>
              <w:t>
   6.2. Персонал и обучение инспекторов</w:t>
            </w:r>
          </w:p>
          <w:p>
            <w:pPr>
              <w:spacing w:after="20"/>
              <w:ind w:left="20"/>
              <w:jc w:val="both"/>
            </w:pPr>
            <w:r>
              <w:rPr>
                <w:rFonts w:ascii="Times New Roman"/>
                <w:b w:val="false"/>
                <w:i w:val="false"/>
                <w:color w:val="000000"/>
                <w:sz w:val="20"/>
              </w:rPr>
              <w:t>
   6.2.1. Обеспечение необходимым количеством инспекторов</w:t>
            </w:r>
          </w:p>
          <w:p>
            <w:pPr>
              <w:spacing w:after="20"/>
              <w:ind w:left="20"/>
              <w:jc w:val="both"/>
            </w:pPr>
            <w:r>
              <w:rPr>
                <w:rFonts w:ascii="Times New Roman"/>
                <w:b w:val="false"/>
                <w:i w:val="false"/>
                <w:color w:val="000000"/>
                <w:sz w:val="20"/>
              </w:rPr>
              <w:t>
   Требуемое количество инспекторов зависит от:</w:t>
            </w:r>
          </w:p>
          <w:p>
            <w:pPr>
              <w:spacing w:after="20"/>
              <w:ind w:left="20"/>
              <w:jc w:val="both"/>
            </w:pPr>
            <w:r>
              <w:rPr>
                <w:rFonts w:ascii="Times New Roman"/>
                <w:b w:val="false"/>
                <w:i w:val="false"/>
                <w:color w:val="000000"/>
                <w:sz w:val="20"/>
              </w:rPr>
              <w:t>
   а) количества задействованных испытательных лабораторий в программе контроля соблюдения Стандарта;</w:t>
            </w:r>
          </w:p>
          <w:p>
            <w:pPr>
              <w:spacing w:after="20"/>
              <w:ind w:left="20"/>
              <w:jc w:val="both"/>
            </w:pPr>
            <w:r>
              <w:rPr>
                <w:rFonts w:ascii="Times New Roman"/>
                <w:b w:val="false"/>
                <w:i w:val="false"/>
                <w:color w:val="000000"/>
                <w:sz w:val="20"/>
              </w:rPr>
              <w:t>
   б) периодичности оценки статуса соответствия Стандарту испытательных лабораторий;</w:t>
            </w:r>
          </w:p>
          <w:p>
            <w:pPr>
              <w:spacing w:after="20"/>
              <w:ind w:left="20"/>
              <w:jc w:val="both"/>
            </w:pPr>
            <w:r>
              <w:rPr>
                <w:rFonts w:ascii="Times New Roman"/>
                <w:b w:val="false"/>
                <w:i w:val="false"/>
                <w:color w:val="000000"/>
                <w:sz w:val="20"/>
              </w:rPr>
              <w:t>
   в) количества и сложности исследований, проводимых испытательными лабораториями;</w:t>
            </w:r>
          </w:p>
          <w:p>
            <w:pPr>
              <w:spacing w:after="20"/>
              <w:ind w:left="20"/>
              <w:jc w:val="both"/>
            </w:pPr>
            <w:r>
              <w:rPr>
                <w:rFonts w:ascii="Times New Roman"/>
                <w:b w:val="false"/>
                <w:i w:val="false"/>
                <w:color w:val="000000"/>
                <w:sz w:val="20"/>
              </w:rPr>
              <w:t>
   г) количества специальных инспекций или аудитов, проводимых по запросу уполномоченного органа.</w:t>
            </w:r>
          </w:p>
          <w:p>
            <w:pPr>
              <w:spacing w:after="20"/>
              <w:ind w:left="20"/>
              <w:jc w:val="both"/>
            </w:pPr>
            <w:r>
              <w:rPr>
                <w:rFonts w:ascii="Times New Roman"/>
                <w:b w:val="false"/>
                <w:i w:val="false"/>
                <w:color w:val="000000"/>
                <w:sz w:val="20"/>
              </w:rPr>
              <w:t xml:space="preserve">
   6.2.2. Обеспечить необходимую квалификацию и обучение инспекторов </w:t>
            </w:r>
          </w:p>
          <w:p>
            <w:pPr>
              <w:spacing w:after="20"/>
              <w:ind w:left="20"/>
              <w:jc w:val="both"/>
            </w:pPr>
            <w:r>
              <w:rPr>
                <w:rFonts w:ascii="Times New Roman"/>
                <w:b w:val="false"/>
                <w:i w:val="false"/>
                <w:color w:val="000000"/>
                <w:sz w:val="20"/>
              </w:rPr>
              <w:t xml:space="preserve">
   Инспекторы  владеют квалификацией и практическим опытом в ряде научных дисциплин, имеющих отношение к исследованиям химических соединений (включая лекарственные средства). </w:t>
            </w:r>
          </w:p>
          <w:p>
            <w:pPr>
              <w:spacing w:after="20"/>
              <w:ind w:left="20"/>
              <w:jc w:val="both"/>
            </w:pPr>
            <w:r>
              <w:rPr>
                <w:rFonts w:ascii="Times New Roman"/>
                <w:b w:val="false"/>
                <w:i w:val="false"/>
                <w:color w:val="000000"/>
                <w:sz w:val="20"/>
              </w:rPr>
              <w:t>
   Уполномоченный орган осуществляет:</w:t>
            </w:r>
          </w:p>
          <w:p>
            <w:pPr>
              <w:spacing w:after="20"/>
              <w:ind w:left="20"/>
              <w:jc w:val="both"/>
            </w:pPr>
            <w:r>
              <w:rPr>
                <w:rFonts w:ascii="Times New Roman"/>
                <w:b w:val="false"/>
                <w:i w:val="false"/>
                <w:color w:val="000000"/>
                <w:sz w:val="20"/>
              </w:rPr>
              <w:t xml:space="preserve">
   а) соответствующее обучение инспекторов, с учетом индивидуальных квалификаций и опыта; </w:t>
            </w:r>
          </w:p>
          <w:p>
            <w:pPr>
              <w:spacing w:after="20"/>
              <w:ind w:left="20"/>
              <w:jc w:val="both"/>
            </w:pPr>
            <w:r>
              <w:rPr>
                <w:rFonts w:ascii="Times New Roman"/>
                <w:b w:val="false"/>
                <w:i w:val="false"/>
                <w:color w:val="000000"/>
                <w:sz w:val="20"/>
              </w:rPr>
              <w:t>
   б) проводить консультации, включая в соответствующих случаях совместные обучающие мероприятия с персоналом уполномоченных органов в других странах с целью содействия международной согласованности в истолковании и применении принципов Стандарта, а также при контроле их соблюдения.</w:t>
            </w:r>
          </w:p>
          <w:p>
            <w:pPr>
              <w:spacing w:after="20"/>
              <w:ind w:left="20"/>
              <w:jc w:val="both"/>
            </w:pPr>
            <w:r>
              <w:rPr>
                <w:rFonts w:ascii="Times New Roman"/>
                <w:b w:val="false"/>
                <w:i w:val="false"/>
                <w:color w:val="000000"/>
                <w:sz w:val="20"/>
              </w:rPr>
              <w:t>
   6.2.3. Гарантировать отсутствие финансового или другого интереса у инспекционного персонала, включая экспертов, работающих по контракту, при инспекции испытательных лабораторий или аудите исследований, а также фирм, спонсирующих такие исследования.</w:t>
            </w:r>
          </w:p>
          <w:p>
            <w:pPr>
              <w:spacing w:after="20"/>
              <w:ind w:left="20"/>
              <w:jc w:val="both"/>
            </w:pPr>
            <w:r>
              <w:rPr>
                <w:rFonts w:ascii="Times New Roman"/>
                <w:b w:val="false"/>
                <w:i w:val="false"/>
                <w:color w:val="000000"/>
                <w:sz w:val="20"/>
              </w:rPr>
              <w:t>
   6.2.4. Обеспечить инспекторов подходящими средствами идентификации.</w:t>
            </w:r>
          </w:p>
          <w:p>
            <w:pPr>
              <w:spacing w:after="20"/>
              <w:ind w:left="20"/>
              <w:jc w:val="both"/>
            </w:pPr>
            <w:r>
              <w:rPr>
                <w:rFonts w:ascii="Times New Roman"/>
                <w:b w:val="false"/>
                <w:i w:val="false"/>
                <w:color w:val="000000"/>
                <w:sz w:val="20"/>
              </w:rPr>
              <w:t>
Инспекторами являются:</w:t>
            </w:r>
          </w:p>
          <w:p>
            <w:pPr>
              <w:spacing w:after="20"/>
              <w:ind w:left="20"/>
              <w:jc w:val="both"/>
            </w:pPr>
            <w:r>
              <w:rPr>
                <w:rFonts w:ascii="Times New Roman"/>
                <w:b w:val="false"/>
                <w:i w:val="false"/>
                <w:color w:val="000000"/>
                <w:sz w:val="20"/>
              </w:rPr>
              <w:t>
   а) лица из числа постоянного штата уполномоченного органа или фармацевтического инспектората;</w:t>
            </w:r>
          </w:p>
          <w:p>
            <w:pPr>
              <w:spacing w:after="20"/>
              <w:ind w:left="20"/>
              <w:jc w:val="both"/>
            </w:pPr>
            <w:r>
              <w:rPr>
                <w:rFonts w:ascii="Times New Roman"/>
                <w:b w:val="false"/>
                <w:i w:val="false"/>
                <w:color w:val="000000"/>
                <w:sz w:val="20"/>
              </w:rPr>
              <w:t>
   б) лица, нанятые по договору уполномоченным органом для выполнения инспекций испытательных лабораторий или аудитов исследований.</w:t>
            </w:r>
          </w:p>
          <w:p>
            <w:pPr>
              <w:spacing w:after="20"/>
              <w:ind w:left="20"/>
              <w:jc w:val="both"/>
            </w:pPr>
            <w:r>
              <w:rPr>
                <w:rFonts w:ascii="Times New Roman"/>
                <w:b w:val="false"/>
                <w:i w:val="false"/>
                <w:color w:val="000000"/>
                <w:sz w:val="20"/>
              </w:rPr>
              <w:t>
   6.3. Программа контроля соблюдения Стандарта</w:t>
            </w:r>
          </w:p>
          <w:p>
            <w:pPr>
              <w:spacing w:after="20"/>
              <w:ind w:left="20"/>
              <w:jc w:val="both"/>
            </w:pPr>
            <w:r>
              <w:rPr>
                <w:rFonts w:ascii="Times New Roman"/>
                <w:b w:val="false"/>
                <w:i w:val="false"/>
                <w:color w:val="000000"/>
                <w:sz w:val="20"/>
              </w:rPr>
              <w:t>
   Контроль соблюдения Стандарта предназначен для доказательства, что испытательные лаборатории применяют Стандарт при проведении исследований и гарантии, что полученные данные соответствуют нормам качества.</w:t>
            </w:r>
          </w:p>
          <w:p>
            <w:pPr>
              <w:spacing w:after="20"/>
              <w:ind w:left="20"/>
              <w:jc w:val="both"/>
            </w:pPr>
            <w:r>
              <w:rPr>
                <w:rFonts w:ascii="Times New Roman"/>
                <w:b w:val="false"/>
                <w:i w:val="false"/>
                <w:color w:val="000000"/>
                <w:sz w:val="20"/>
              </w:rPr>
              <w:t>
   Программа контроля соблюдения  Стандарта (далее - программа) включает:</w:t>
            </w:r>
          </w:p>
          <w:p>
            <w:pPr>
              <w:spacing w:after="20"/>
              <w:ind w:left="20"/>
              <w:jc w:val="both"/>
            </w:pPr>
            <w:r>
              <w:rPr>
                <w:rFonts w:ascii="Times New Roman"/>
                <w:b w:val="false"/>
                <w:i w:val="false"/>
                <w:color w:val="000000"/>
                <w:sz w:val="20"/>
              </w:rPr>
              <w:t>
   6.3.1. Положения об инспекциях испытательных лабораторий. Эти инспекции включают в себя инспекции общего характера и аудиты исследований, текущих или завершенных;</w:t>
            </w:r>
          </w:p>
          <w:p>
            <w:pPr>
              <w:spacing w:after="20"/>
              <w:ind w:left="20"/>
              <w:jc w:val="both"/>
            </w:pPr>
            <w:r>
              <w:rPr>
                <w:rFonts w:ascii="Times New Roman"/>
                <w:b w:val="false"/>
                <w:i w:val="false"/>
                <w:color w:val="000000"/>
                <w:sz w:val="20"/>
              </w:rPr>
              <w:t>
   6.3.2. Объем и масштаб программы. Программа включает в себя только ограниченное количество исследуемых веществ (лекарственных средств). Определяется объем контроля, как с учетом категорий лекарственных средств, так и видов исследований, проводимых на них (физические, химические, токсикологические и (или) экотоксикологические);</w:t>
            </w:r>
          </w:p>
          <w:p>
            <w:pPr>
              <w:spacing w:after="20"/>
              <w:ind w:left="20"/>
              <w:jc w:val="both"/>
            </w:pPr>
            <w:r>
              <w:rPr>
                <w:rFonts w:ascii="Times New Roman"/>
                <w:b w:val="false"/>
                <w:i w:val="false"/>
                <w:color w:val="000000"/>
                <w:sz w:val="20"/>
              </w:rPr>
              <w:t xml:space="preserve">
   6.3.3. Указание на механизмы, в соответствии с которыми испытательные лаборатории включаются в программу; </w:t>
            </w:r>
          </w:p>
          <w:p>
            <w:pPr>
              <w:spacing w:after="20"/>
              <w:ind w:left="20"/>
              <w:jc w:val="both"/>
            </w:pPr>
            <w:r>
              <w:rPr>
                <w:rFonts w:ascii="Times New Roman"/>
                <w:b w:val="false"/>
                <w:i w:val="false"/>
                <w:color w:val="000000"/>
                <w:sz w:val="20"/>
              </w:rPr>
              <w:t>
   6.3.4. Применение принципов Стандарта к данным по безопасности для здоровья и окружающей среды, собранным в регуляторных целях, является обязательным. Разрабатывается механизм, в соответствии с которым испытательные лаборатории функционирует в соответствии со Стандартом, проверяемым уполномоченным органом;</w:t>
            </w:r>
          </w:p>
          <w:p>
            <w:pPr>
              <w:spacing w:after="20"/>
              <w:ind w:left="20"/>
              <w:jc w:val="both"/>
            </w:pPr>
            <w:r>
              <w:rPr>
                <w:rFonts w:ascii="Times New Roman"/>
                <w:b w:val="false"/>
                <w:i w:val="false"/>
                <w:color w:val="000000"/>
                <w:sz w:val="20"/>
              </w:rPr>
              <w:t>
   6.3.5. Предоставление информации о категориях инспекций испытательных лабораторий, аудитах исследований.</w:t>
            </w:r>
          </w:p>
          <w:p>
            <w:pPr>
              <w:spacing w:after="20"/>
              <w:ind w:left="20"/>
              <w:jc w:val="both"/>
            </w:pPr>
            <w:r>
              <w:rPr>
                <w:rFonts w:ascii="Times New Roman"/>
                <w:b w:val="false"/>
                <w:i w:val="false"/>
                <w:color w:val="000000"/>
                <w:sz w:val="20"/>
              </w:rPr>
              <w:t>
   6.3.6. Указание на полномочия инспекторов в отношении прихода в испытательную лабораторию и их доступа к данным, являющихся собственностью испытательной лаборатории (включая образцы, СОП, другую документацию);</w:t>
            </w:r>
          </w:p>
          <w:p>
            <w:pPr>
              <w:spacing w:after="20"/>
              <w:ind w:left="20"/>
              <w:jc w:val="both"/>
            </w:pPr>
            <w:r>
              <w:rPr>
                <w:rFonts w:ascii="Times New Roman"/>
                <w:b w:val="false"/>
                <w:i w:val="false"/>
                <w:color w:val="000000"/>
                <w:sz w:val="20"/>
              </w:rPr>
              <w:t>
   6.3.7. Описание процедуры инспекции испытательной лаборатории и аудиты исследования для подтверждения соблюдения Стандарта.</w:t>
            </w:r>
          </w:p>
          <w:p>
            <w:pPr>
              <w:spacing w:after="20"/>
              <w:ind w:left="20"/>
              <w:jc w:val="both"/>
            </w:pPr>
            <w:r>
              <w:rPr>
                <w:rFonts w:ascii="Times New Roman"/>
                <w:b w:val="false"/>
                <w:i w:val="false"/>
                <w:color w:val="000000"/>
                <w:sz w:val="20"/>
              </w:rPr>
              <w:t xml:space="preserve">
   В документации описываются  процедуры, которые используются для изучения организационных процессов и условий, в соответствии с которыми исследования планируются, проводятся, контролируются и регистрируются. </w:t>
            </w:r>
          </w:p>
          <w:p>
            <w:pPr>
              <w:spacing w:after="20"/>
              <w:ind w:left="20"/>
              <w:jc w:val="both"/>
            </w:pPr>
            <w:r>
              <w:rPr>
                <w:rFonts w:ascii="Times New Roman"/>
                <w:b w:val="false"/>
                <w:i w:val="false"/>
                <w:color w:val="000000"/>
                <w:sz w:val="20"/>
              </w:rPr>
              <w:t>
   Описываются действия, которые предпринимаются после инспекций испытательных лабораторий и аудитов исследований.</w:t>
            </w:r>
          </w:p>
          <w:p>
            <w:pPr>
              <w:spacing w:after="20"/>
              <w:ind w:left="20"/>
              <w:jc w:val="both"/>
            </w:pPr>
            <w:r>
              <w:rPr>
                <w:rFonts w:ascii="Times New Roman"/>
                <w:b w:val="false"/>
                <w:i w:val="false"/>
                <w:color w:val="000000"/>
                <w:sz w:val="20"/>
              </w:rPr>
              <w:t>
   6.4. Последующие действия после инспекций испытательных лабораторий и аудитов исследований</w:t>
            </w:r>
          </w:p>
          <w:p>
            <w:pPr>
              <w:spacing w:after="20"/>
              <w:ind w:left="20"/>
              <w:jc w:val="both"/>
            </w:pPr>
            <w:r>
              <w:rPr>
                <w:rFonts w:ascii="Times New Roman"/>
                <w:b w:val="false"/>
                <w:i w:val="false"/>
                <w:color w:val="000000"/>
                <w:sz w:val="20"/>
              </w:rPr>
              <w:t>
   6.4.1. После завершения инспекции испытательных лабораторий и аудита исследований инспектор готовит письменный отчет о результатах.</w:t>
            </w:r>
          </w:p>
          <w:p>
            <w:pPr>
              <w:spacing w:after="20"/>
              <w:ind w:left="20"/>
              <w:jc w:val="both"/>
            </w:pPr>
            <w:r>
              <w:rPr>
                <w:rFonts w:ascii="Times New Roman"/>
                <w:b w:val="false"/>
                <w:i w:val="false"/>
                <w:color w:val="000000"/>
                <w:sz w:val="20"/>
              </w:rPr>
              <w:t>
   6.4.2. Уполномоченный орган  предпринимает действия при обнаружении отклонений от Стандарта в ходе или после инспекции испытательных лабораторий или аудита исследований. Соответствующие действия описаны в документах органа (организации), осуществляющий контроль.</w:t>
            </w:r>
          </w:p>
          <w:p>
            <w:pPr>
              <w:spacing w:after="20"/>
              <w:ind w:left="20"/>
              <w:jc w:val="both"/>
            </w:pPr>
            <w:r>
              <w:rPr>
                <w:rFonts w:ascii="Times New Roman"/>
                <w:b w:val="false"/>
                <w:i w:val="false"/>
                <w:color w:val="000000"/>
                <w:sz w:val="20"/>
              </w:rPr>
              <w:t>
   6.4.3. Если в ходе инспекции испытательной лаборатории или аудита исследования обнаружены незначительные отклонения от Стандарта, испытательная лаборатория осуществляет устранение выявленных отклонений. Инспектор в заранее оглашенное время возврашается в испытательную лабораторию и проверяет внесение изменений.</w:t>
            </w:r>
          </w:p>
          <w:p>
            <w:pPr>
              <w:spacing w:after="20"/>
              <w:ind w:left="20"/>
              <w:jc w:val="both"/>
            </w:pPr>
            <w:r>
              <w:rPr>
                <w:rFonts w:ascii="Times New Roman"/>
                <w:b w:val="false"/>
                <w:i w:val="false"/>
                <w:color w:val="000000"/>
                <w:sz w:val="20"/>
              </w:rPr>
              <w:t>
   6.4.4. При отсутствии отклонений или при выявлении незначительных отклонений, уполномоченный орган:</w:t>
            </w:r>
          </w:p>
          <w:p>
            <w:pPr>
              <w:spacing w:after="20"/>
              <w:ind w:left="20"/>
              <w:jc w:val="both"/>
            </w:pPr>
            <w:r>
              <w:rPr>
                <w:rFonts w:ascii="Times New Roman"/>
                <w:b w:val="false"/>
                <w:i w:val="false"/>
                <w:color w:val="000000"/>
                <w:sz w:val="20"/>
              </w:rPr>
              <w:t>
   а) выдает заключение о том, что испытательная лаборатория проинспектирована и ее деятельность соответствует Стандарту. Указывается дата инспекции и в соответствующих случаях категория проведенного исследования в испытательной лаборатории на данный момент. Эти заключения используются для предоставления информации в уполномоченные органы других стран;</w:t>
            </w:r>
          </w:p>
          <w:p>
            <w:pPr>
              <w:spacing w:after="20"/>
              <w:ind w:left="20"/>
              <w:jc w:val="both"/>
            </w:pPr>
            <w:r>
              <w:rPr>
                <w:rFonts w:ascii="Times New Roman"/>
                <w:b w:val="false"/>
                <w:i w:val="false"/>
                <w:color w:val="000000"/>
                <w:sz w:val="20"/>
              </w:rPr>
              <w:t xml:space="preserve">
   б) составляет подробный отчет о результатах инспектирования. </w:t>
            </w:r>
          </w:p>
          <w:p>
            <w:pPr>
              <w:spacing w:after="20"/>
              <w:ind w:left="20"/>
              <w:jc w:val="both"/>
            </w:pPr>
            <w:r>
              <w:rPr>
                <w:rFonts w:ascii="Times New Roman"/>
                <w:b w:val="false"/>
                <w:i w:val="false"/>
                <w:color w:val="000000"/>
                <w:sz w:val="20"/>
              </w:rPr>
              <w:t>
   6.4.5. При выявлении серьезных отклонений, действия, предпринимаемые органом по контролю соблюдения Стандарта, зависят от конкретных обстоятельств каждого случая и правовых или административных положений, в соответствии с которыми был утвержден контроль соблюдения Стандарта. В частности, предпринимаются следующие действия:</w:t>
            </w:r>
          </w:p>
          <w:p>
            <w:pPr>
              <w:spacing w:after="20"/>
              <w:ind w:left="20"/>
              <w:jc w:val="both"/>
            </w:pPr>
            <w:r>
              <w:rPr>
                <w:rFonts w:ascii="Times New Roman"/>
                <w:b w:val="false"/>
                <w:i w:val="false"/>
                <w:color w:val="000000"/>
                <w:sz w:val="20"/>
              </w:rPr>
              <w:t>
   а) выдача заключения с подробностями обнаруженных несоответствий или погрешностей, которые влияют на достоверность исследований, проведенных в испытательной лаборатории;</w:t>
            </w:r>
          </w:p>
          <w:p>
            <w:pPr>
              <w:spacing w:after="20"/>
              <w:ind w:left="20"/>
              <w:jc w:val="both"/>
            </w:pPr>
            <w:r>
              <w:rPr>
                <w:rFonts w:ascii="Times New Roman"/>
                <w:b w:val="false"/>
                <w:i w:val="false"/>
                <w:color w:val="000000"/>
                <w:sz w:val="20"/>
              </w:rPr>
              <w:t>
   б) выдача рекомендации, что исследование признано недействительным;</w:t>
            </w:r>
          </w:p>
          <w:p>
            <w:pPr>
              <w:spacing w:after="20"/>
              <w:ind w:left="20"/>
              <w:jc w:val="both"/>
            </w:pPr>
            <w:r>
              <w:rPr>
                <w:rFonts w:ascii="Times New Roman"/>
                <w:b w:val="false"/>
                <w:i w:val="false"/>
                <w:color w:val="000000"/>
                <w:sz w:val="20"/>
              </w:rPr>
              <w:t>
   в) временное прекращение инспекций испытательных лабораторий или аудитов исследований в испытательной лаборатории и, если это возможно с административной точки зрения, удаление испытательной лаборатории из программы контроля соблюдения Стандарта или из любого существующего списка или реестра испытательных лабораторий, подлежащих инспекциям соблюдения Стандарта;</w:t>
            </w:r>
          </w:p>
          <w:p>
            <w:pPr>
              <w:spacing w:after="20"/>
              <w:ind w:left="20"/>
              <w:jc w:val="both"/>
            </w:pPr>
            <w:r>
              <w:rPr>
                <w:rFonts w:ascii="Times New Roman"/>
                <w:b w:val="false"/>
                <w:i w:val="false"/>
                <w:color w:val="000000"/>
                <w:sz w:val="20"/>
              </w:rPr>
              <w:t>
   г) требование включения заключения с подробным описанием отклонений в специальный отчет об исследовании;</w:t>
            </w:r>
          </w:p>
          <w:p>
            <w:pPr>
              <w:spacing w:after="20"/>
              <w:ind w:left="20"/>
              <w:jc w:val="both"/>
            </w:pPr>
            <w:r>
              <w:rPr>
                <w:rFonts w:ascii="Times New Roman"/>
                <w:b w:val="false"/>
                <w:i w:val="false"/>
                <w:color w:val="000000"/>
                <w:sz w:val="20"/>
              </w:rPr>
              <w:t>
   д) действия в суде, если возникают такие обстоятельства, и правовые, административные процедуры это допускают.</w:t>
            </w:r>
          </w:p>
          <w:p>
            <w:pPr>
              <w:spacing w:after="20"/>
              <w:ind w:left="20"/>
              <w:jc w:val="both"/>
            </w:pPr>
            <w:r>
              <w:rPr>
                <w:rFonts w:ascii="Times New Roman"/>
                <w:b w:val="false"/>
                <w:i w:val="false"/>
                <w:color w:val="000000"/>
                <w:sz w:val="20"/>
              </w:rPr>
              <w:t>
   6.5. Общие принципы инспектирования</w:t>
            </w:r>
          </w:p>
          <w:p>
            <w:pPr>
              <w:spacing w:after="20"/>
              <w:ind w:left="20"/>
              <w:jc w:val="both"/>
            </w:pPr>
            <w:r>
              <w:rPr>
                <w:rFonts w:ascii="Times New Roman"/>
                <w:b w:val="false"/>
                <w:i w:val="false"/>
                <w:color w:val="000000"/>
                <w:sz w:val="20"/>
              </w:rPr>
              <w:t>
   6.5.1. Инспекции на соответствие Стандарту проводятся в любой испытательной лаборатории, изучающей данные по безопасности для здоровья и окружающей среды в регуляторных целях. Требуются инспекторы для аудита данных в отношении физических, химических, токсикологических свойств вещества или препарата. В некоторых случаях инспекторам потребуется помощь экспертов в определенных дисциплинах.</w:t>
            </w:r>
          </w:p>
          <w:p>
            <w:pPr>
              <w:spacing w:after="20"/>
              <w:ind w:left="20"/>
              <w:jc w:val="both"/>
            </w:pPr>
            <w:r>
              <w:rPr>
                <w:rFonts w:ascii="Times New Roman"/>
                <w:b w:val="false"/>
                <w:i w:val="false"/>
                <w:color w:val="000000"/>
                <w:sz w:val="20"/>
              </w:rPr>
              <w:t>
   6.5.2. В силу существования широкого разнообразия испытательных лабораторий (в рамках как планировки, так и структуры управления), а также разных видов исследований, с которым и сталкиваются инспекторы, им необходимо использовать свое собственное суждение для оценки степени и объема соответствия Стандарту. Инспекторы применяют непротиворечивые подходы при оценке, в случае конкретной испытательной лаборатории или исследования, достижения соответствующего уровня соблюдения каждого принципа Стандарта.</w:t>
            </w:r>
          </w:p>
          <w:p>
            <w:pPr>
              <w:spacing w:after="20"/>
              <w:ind w:left="20"/>
              <w:jc w:val="both"/>
            </w:pPr>
            <w:r>
              <w:rPr>
                <w:rFonts w:ascii="Times New Roman"/>
                <w:b w:val="false"/>
                <w:i w:val="false"/>
                <w:color w:val="000000"/>
                <w:sz w:val="20"/>
              </w:rPr>
              <w:t>
   6.5.3. В деятельность инспекторов не входят изучение научной структуры исследования или объяснение результатов в отношении рисков для здоровья человека или окружающей среды. Эти аспекты рассматриваются уполномоченным органом.</w:t>
            </w:r>
          </w:p>
          <w:p>
            <w:pPr>
              <w:spacing w:after="20"/>
              <w:ind w:left="20"/>
              <w:jc w:val="both"/>
            </w:pPr>
            <w:r>
              <w:rPr>
                <w:rFonts w:ascii="Times New Roman"/>
                <w:b w:val="false"/>
                <w:i w:val="false"/>
                <w:color w:val="000000"/>
                <w:sz w:val="20"/>
              </w:rPr>
              <w:t>
   6.5.4. Инспекции испытательных лабораторий и аудиты исследований неизбежно нарушают исследовательскую работу. Инспекторы осуществляют свою работу по строгому плану и по возможности учитывают желания управляющего персонала испытательной лаборатории в отношении времени посещения определенных площадок испытательной лаборатории.</w:t>
            </w:r>
          </w:p>
          <w:p>
            <w:pPr>
              <w:spacing w:after="20"/>
              <w:ind w:left="20"/>
              <w:jc w:val="both"/>
            </w:pPr>
            <w:r>
              <w:rPr>
                <w:rFonts w:ascii="Times New Roman"/>
                <w:b w:val="false"/>
                <w:i w:val="false"/>
                <w:color w:val="000000"/>
                <w:sz w:val="20"/>
              </w:rPr>
              <w:t xml:space="preserve">
   6.5.5. В течение инспекций испытательных лабораторий и аудитов исследований инспекторы имеют доступ к конфиденциальной коммерчески важной информации. Важно гарантировать тот факт, чтобы эта информация была доступна только уполномоченному персоналу. Обязанности персонала по этому вопросу определены в программе контроля соблюдения Стандарта. </w:t>
            </w:r>
          </w:p>
          <w:p>
            <w:pPr>
              <w:spacing w:after="20"/>
              <w:ind w:left="20"/>
              <w:jc w:val="both"/>
            </w:pPr>
            <w:r>
              <w:rPr>
                <w:rFonts w:ascii="Times New Roman"/>
                <w:b w:val="false"/>
                <w:i w:val="false"/>
                <w:color w:val="000000"/>
                <w:sz w:val="20"/>
              </w:rPr>
              <w:t>
   6.6. Процедуры инспекции испытательной лаборатории</w:t>
            </w:r>
          </w:p>
          <w:p>
            <w:pPr>
              <w:spacing w:after="20"/>
              <w:ind w:left="20"/>
              <w:jc w:val="both"/>
            </w:pPr>
            <w:r>
              <w:rPr>
                <w:rFonts w:ascii="Times New Roman"/>
                <w:b w:val="false"/>
                <w:i w:val="false"/>
                <w:color w:val="000000"/>
                <w:sz w:val="20"/>
              </w:rPr>
              <w:t>
   6.6.1. Предварительная инспекция</w:t>
            </w:r>
          </w:p>
          <w:p>
            <w:pPr>
              <w:spacing w:after="20"/>
              <w:ind w:left="20"/>
              <w:jc w:val="both"/>
            </w:pPr>
            <w:r>
              <w:rPr>
                <w:rFonts w:ascii="Times New Roman"/>
                <w:b w:val="false"/>
                <w:i w:val="false"/>
                <w:color w:val="000000"/>
                <w:sz w:val="20"/>
              </w:rPr>
              <w:t>
   6.6.1.1. Цель – познакомить инспектора с испытательной лабораторией, которая подлежит инспекции на предмет структуры управления, физического расположения зданий и ряда исследований.</w:t>
            </w:r>
          </w:p>
          <w:p>
            <w:pPr>
              <w:spacing w:after="20"/>
              <w:ind w:left="20"/>
              <w:jc w:val="both"/>
            </w:pPr>
            <w:r>
              <w:rPr>
                <w:rFonts w:ascii="Times New Roman"/>
                <w:b w:val="false"/>
                <w:i w:val="false"/>
                <w:color w:val="000000"/>
                <w:sz w:val="20"/>
              </w:rPr>
              <w:t>
   6.6.1.2. Перед проведением инспекции испытательной лаборатории или аудита исследования инспекторы знакомятся с испытательной лабораторией, подлежащей инспектированию. Необходимо изучить только существующую информацию об испытательной лаборатории. Сюда относятся предыдущие отчеты об инспекциях, расположение испытательной лаборатории, структурная схема организации, отчеты об исследованиях, протоколы и резюме персонала. Ниже перечислена первостепенно необходимая информация:</w:t>
            </w:r>
          </w:p>
          <w:p>
            <w:pPr>
              <w:spacing w:after="20"/>
              <w:ind w:left="20"/>
              <w:jc w:val="both"/>
            </w:pPr>
            <w:r>
              <w:rPr>
                <w:rFonts w:ascii="Times New Roman"/>
                <w:b w:val="false"/>
                <w:i w:val="false"/>
                <w:color w:val="000000"/>
                <w:sz w:val="20"/>
              </w:rPr>
              <w:t>
   а) вид, величина и расположение испытательной лаборатории;</w:t>
            </w:r>
          </w:p>
          <w:p>
            <w:pPr>
              <w:spacing w:after="20"/>
              <w:ind w:left="20"/>
              <w:jc w:val="both"/>
            </w:pPr>
            <w:r>
              <w:rPr>
                <w:rFonts w:ascii="Times New Roman"/>
                <w:b w:val="false"/>
                <w:i w:val="false"/>
                <w:color w:val="000000"/>
                <w:sz w:val="20"/>
              </w:rPr>
              <w:t>
   б) ряд исследований, которые будут анализироваться при инспекции;</w:t>
            </w:r>
          </w:p>
          <w:p>
            <w:pPr>
              <w:spacing w:after="20"/>
              <w:ind w:left="20"/>
              <w:jc w:val="both"/>
            </w:pPr>
            <w:r>
              <w:rPr>
                <w:rFonts w:ascii="Times New Roman"/>
                <w:b w:val="false"/>
                <w:i w:val="false"/>
                <w:color w:val="000000"/>
                <w:sz w:val="20"/>
              </w:rPr>
              <w:t>
   в) структура управления испытательной лабораторией.</w:t>
            </w:r>
          </w:p>
          <w:p>
            <w:pPr>
              <w:spacing w:after="20"/>
              <w:ind w:left="20"/>
              <w:jc w:val="both"/>
            </w:pPr>
            <w:r>
              <w:rPr>
                <w:rFonts w:ascii="Times New Roman"/>
                <w:b w:val="false"/>
                <w:i w:val="false"/>
                <w:color w:val="000000"/>
                <w:sz w:val="20"/>
              </w:rPr>
              <w:t>
   6.6.1.3. Инспекторы отмечают недостатки, выявленные предыдущими инспекциями испытательной лаборатории. В том случае, если в испытательной лаборатории ранее не проводили инспекции, для получения соответствующей информации проводится предварительная инспекция.</w:t>
            </w:r>
          </w:p>
          <w:p>
            <w:pPr>
              <w:spacing w:after="20"/>
              <w:ind w:left="20"/>
              <w:jc w:val="both"/>
            </w:pPr>
            <w:r>
              <w:rPr>
                <w:rFonts w:ascii="Times New Roman"/>
                <w:b w:val="false"/>
                <w:i w:val="false"/>
                <w:color w:val="000000"/>
                <w:sz w:val="20"/>
              </w:rPr>
              <w:t>
   6.6.1.4. Испытательную лабораторию предварительно уведомляют о дате и времени приезда инспектора и продолжительности пребывания в здании. Это позволит соответствующему персоналу подготовить необходимые документы. В тех случаях, когда инспекции подлежат определенные документы и записи, необходимо поставить об этом в известность испытательную лабораторию, заранее до начала проверки, чтобы эти данные были готовы без промедления в течение инспекции испытательной лаборатории.</w:t>
            </w:r>
          </w:p>
          <w:p>
            <w:pPr>
              <w:spacing w:after="20"/>
              <w:ind w:left="20"/>
              <w:jc w:val="both"/>
            </w:pPr>
            <w:r>
              <w:rPr>
                <w:rFonts w:ascii="Times New Roman"/>
                <w:b w:val="false"/>
                <w:i w:val="false"/>
                <w:color w:val="000000"/>
                <w:sz w:val="20"/>
              </w:rPr>
              <w:t>
   6.6.2. Конференция в начале инспекции</w:t>
            </w:r>
          </w:p>
          <w:p>
            <w:pPr>
              <w:spacing w:after="20"/>
              <w:ind w:left="20"/>
              <w:jc w:val="both"/>
            </w:pPr>
            <w:r>
              <w:rPr>
                <w:rFonts w:ascii="Times New Roman"/>
                <w:b w:val="false"/>
                <w:i w:val="false"/>
                <w:color w:val="000000"/>
                <w:sz w:val="20"/>
              </w:rPr>
              <w:t>
   6.6.2.1. Цель – проинформировать руководителей и персонал испытательной лаборатории о причине предстоящей инспекции испытательной лаборатории и аудите исследования, определить площадки испытательной лаборатории и исследование, выбранное для аудита, персонал и документы, задействованные в проверке.</w:t>
            </w:r>
          </w:p>
          <w:p>
            <w:pPr>
              <w:spacing w:after="20"/>
              <w:ind w:left="20"/>
              <w:jc w:val="both"/>
            </w:pPr>
            <w:r>
              <w:rPr>
                <w:rFonts w:ascii="Times New Roman"/>
                <w:b w:val="false"/>
                <w:i w:val="false"/>
                <w:color w:val="000000"/>
                <w:sz w:val="20"/>
              </w:rPr>
              <w:t>
   6.6.2.2. В начале посещения испытательной лаборатории с руководителями испытательной лаборатории необходимо обсудить административные и практические моменты инспекции лаборатории и аудита исследования. В начале конференции инспекторам рекомендуются:</w:t>
            </w:r>
          </w:p>
          <w:p>
            <w:pPr>
              <w:spacing w:after="20"/>
              <w:ind w:left="20"/>
              <w:jc w:val="both"/>
            </w:pPr>
            <w:r>
              <w:rPr>
                <w:rFonts w:ascii="Times New Roman"/>
                <w:b w:val="false"/>
                <w:i w:val="false"/>
                <w:color w:val="000000"/>
                <w:sz w:val="20"/>
              </w:rPr>
              <w:t>
   а) рассказать о цели и масштабе проверки;</w:t>
            </w:r>
          </w:p>
          <w:p>
            <w:pPr>
              <w:spacing w:after="20"/>
              <w:ind w:left="20"/>
              <w:jc w:val="both"/>
            </w:pPr>
            <w:r>
              <w:rPr>
                <w:rFonts w:ascii="Times New Roman"/>
                <w:b w:val="false"/>
                <w:i w:val="false"/>
                <w:color w:val="000000"/>
                <w:sz w:val="20"/>
              </w:rPr>
              <w:t>
   б) описать документацию, которая будет необходима для инспекции испытательной лаборатории;</w:t>
            </w:r>
          </w:p>
          <w:p>
            <w:pPr>
              <w:spacing w:after="20"/>
              <w:ind w:left="20"/>
              <w:jc w:val="both"/>
            </w:pPr>
            <w:r>
              <w:rPr>
                <w:rFonts w:ascii="Times New Roman"/>
                <w:b w:val="false"/>
                <w:i w:val="false"/>
                <w:color w:val="000000"/>
                <w:sz w:val="20"/>
              </w:rPr>
              <w:t>
   в) выяснить или запросить информацию о структуре управления (организации) и персонале испытательной лаборатории;</w:t>
            </w:r>
          </w:p>
          <w:p>
            <w:pPr>
              <w:spacing w:after="20"/>
              <w:ind w:left="20"/>
              <w:jc w:val="both"/>
            </w:pPr>
            <w:r>
              <w:rPr>
                <w:rFonts w:ascii="Times New Roman"/>
                <w:b w:val="false"/>
                <w:i w:val="false"/>
                <w:color w:val="000000"/>
                <w:sz w:val="20"/>
              </w:rPr>
              <w:t>
   г) запросить информацию о проведении исследований, не подчиняющихся принципам Стандарта на территориях испытательной лаборатории, в которых проводятся доклинические (неклинические) исследования;</w:t>
            </w:r>
          </w:p>
          <w:p>
            <w:pPr>
              <w:spacing w:after="20"/>
              <w:ind w:left="20"/>
              <w:jc w:val="both"/>
            </w:pPr>
            <w:r>
              <w:rPr>
                <w:rFonts w:ascii="Times New Roman"/>
                <w:b w:val="false"/>
                <w:i w:val="false"/>
                <w:color w:val="000000"/>
                <w:sz w:val="20"/>
              </w:rPr>
              <w:t>
   д) сделать первоначальное определение отделений испытательной лаборатории, подлежащих проверке в ходе инспекции;</w:t>
            </w:r>
          </w:p>
          <w:p>
            <w:pPr>
              <w:spacing w:after="20"/>
              <w:ind w:left="20"/>
              <w:jc w:val="both"/>
            </w:pPr>
            <w:r>
              <w:rPr>
                <w:rFonts w:ascii="Times New Roman"/>
                <w:b w:val="false"/>
                <w:i w:val="false"/>
                <w:color w:val="000000"/>
                <w:sz w:val="20"/>
              </w:rPr>
              <w:t>
   е) описать документы и образцы, которые будут необходимы для текущих и завершенных исследований, выбранных для аудита;</w:t>
            </w:r>
          </w:p>
          <w:p>
            <w:pPr>
              <w:spacing w:after="20"/>
              <w:ind w:left="20"/>
              <w:jc w:val="both"/>
            </w:pPr>
            <w:r>
              <w:rPr>
                <w:rFonts w:ascii="Times New Roman"/>
                <w:b w:val="false"/>
                <w:i w:val="false"/>
                <w:color w:val="000000"/>
                <w:sz w:val="20"/>
              </w:rPr>
              <w:t>
   ж) известить о проведении заключительной конференции в конце инспекции.</w:t>
            </w:r>
          </w:p>
          <w:p>
            <w:pPr>
              <w:spacing w:after="20"/>
              <w:ind w:left="20"/>
              <w:jc w:val="both"/>
            </w:pPr>
            <w:r>
              <w:rPr>
                <w:rFonts w:ascii="Times New Roman"/>
                <w:b w:val="false"/>
                <w:i w:val="false"/>
                <w:color w:val="000000"/>
                <w:sz w:val="20"/>
              </w:rPr>
              <w:t>
   6.6.2.3. Перед продолжением инспекции испытательной лаборатории инспекторам рекомендуется установить контакт со службой обеспечения качества (далее – СОК) испытательной лаборатории.</w:t>
            </w:r>
          </w:p>
          <w:p>
            <w:pPr>
              <w:spacing w:after="20"/>
              <w:ind w:left="20"/>
              <w:jc w:val="both"/>
            </w:pPr>
            <w:r>
              <w:rPr>
                <w:rFonts w:ascii="Times New Roman"/>
                <w:b w:val="false"/>
                <w:i w:val="false"/>
                <w:color w:val="000000"/>
                <w:sz w:val="20"/>
              </w:rPr>
              <w:t>
   6.6.2.4. При инспекции испытательной лаборатории инспектор сопровождается сотрудником СОК.</w:t>
            </w:r>
          </w:p>
          <w:p>
            <w:pPr>
              <w:spacing w:after="20"/>
              <w:ind w:left="20"/>
              <w:jc w:val="both"/>
            </w:pPr>
            <w:r>
              <w:rPr>
                <w:rFonts w:ascii="Times New Roman"/>
                <w:b w:val="false"/>
                <w:i w:val="false"/>
                <w:color w:val="000000"/>
                <w:sz w:val="20"/>
              </w:rPr>
              <w:t>
   6.6.2.5. Инспекторы вправе потребовать отдельное помещение для проверки документов и проведения других действий, связанных с инспекцией.</w:t>
            </w:r>
          </w:p>
          <w:p>
            <w:pPr>
              <w:spacing w:after="20"/>
              <w:ind w:left="20"/>
              <w:jc w:val="both"/>
            </w:pPr>
            <w:r>
              <w:rPr>
                <w:rFonts w:ascii="Times New Roman"/>
                <w:b w:val="false"/>
                <w:i w:val="false"/>
                <w:color w:val="000000"/>
                <w:sz w:val="20"/>
              </w:rPr>
              <w:t>
   6.6.3. Инспекция организации и персонала</w:t>
            </w:r>
          </w:p>
          <w:p>
            <w:pPr>
              <w:spacing w:after="20"/>
              <w:ind w:left="20"/>
              <w:jc w:val="both"/>
            </w:pPr>
            <w:r>
              <w:rPr>
                <w:rFonts w:ascii="Times New Roman"/>
                <w:b w:val="false"/>
                <w:i w:val="false"/>
                <w:color w:val="000000"/>
                <w:sz w:val="20"/>
              </w:rPr>
              <w:t>
   6.6.3.1. Целью данной инспекции является определение наличия достаточного количества квалифицированного персонала, кадровых ресурсов, инфраструктуры для проведения различных исследований. А так же выявление соответствия требованиям организационной структуры и политики в отношении обучения персонала и контроля за состоянием здоровья персонала.</w:t>
            </w:r>
          </w:p>
          <w:p>
            <w:pPr>
              <w:spacing w:after="20"/>
              <w:ind w:left="20"/>
              <w:jc w:val="both"/>
            </w:pPr>
            <w:r>
              <w:rPr>
                <w:rFonts w:ascii="Times New Roman"/>
                <w:b w:val="false"/>
                <w:i w:val="false"/>
                <w:color w:val="000000"/>
                <w:sz w:val="20"/>
              </w:rPr>
              <w:t>
   6.6.3.2. Руководство испытательной лаборатории представляет такие документы, как:</w:t>
            </w:r>
          </w:p>
          <w:p>
            <w:pPr>
              <w:spacing w:after="20"/>
              <w:ind w:left="20"/>
              <w:jc w:val="both"/>
            </w:pPr>
            <w:r>
              <w:rPr>
                <w:rFonts w:ascii="Times New Roman"/>
                <w:b w:val="false"/>
                <w:i w:val="false"/>
                <w:color w:val="000000"/>
                <w:sz w:val="20"/>
              </w:rPr>
              <w:t>
   а) планы здания;</w:t>
            </w:r>
          </w:p>
          <w:p>
            <w:pPr>
              <w:spacing w:after="20"/>
              <w:ind w:left="20"/>
              <w:jc w:val="both"/>
            </w:pPr>
            <w:r>
              <w:rPr>
                <w:rFonts w:ascii="Times New Roman"/>
                <w:b w:val="false"/>
                <w:i w:val="false"/>
                <w:color w:val="000000"/>
                <w:sz w:val="20"/>
              </w:rPr>
              <w:t>
   б) научно-исследовательские схемы организации и управления испытательной лаборатории;</w:t>
            </w:r>
          </w:p>
          <w:p>
            <w:pPr>
              <w:spacing w:after="20"/>
              <w:ind w:left="20"/>
              <w:jc w:val="both"/>
            </w:pPr>
            <w:r>
              <w:rPr>
                <w:rFonts w:ascii="Times New Roman"/>
                <w:b w:val="false"/>
                <w:i w:val="false"/>
                <w:color w:val="000000"/>
                <w:sz w:val="20"/>
              </w:rPr>
              <w:t>
   в) резюме сотрудников, задействованных в исследованиях, выбранных для аудита;</w:t>
            </w:r>
          </w:p>
          <w:p>
            <w:pPr>
              <w:spacing w:after="20"/>
              <w:ind w:left="20"/>
              <w:jc w:val="both"/>
            </w:pPr>
            <w:r>
              <w:rPr>
                <w:rFonts w:ascii="Times New Roman"/>
                <w:b w:val="false"/>
                <w:i w:val="false"/>
                <w:color w:val="000000"/>
                <w:sz w:val="20"/>
              </w:rPr>
              <w:t>
   г) перечень текущих и завершенных исследований с информацией о виде исследования, датах начала, завершения, системе исследований, способе применения исследуемого вещества и фамилии руководителя исследования;</w:t>
            </w:r>
          </w:p>
          <w:p>
            <w:pPr>
              <w:spacing w:after="20"/>
              <w:ind w:left="20"/>
              <w:jc w:val="both"/>
            </w:pPr>
            <w:r>
              <w:rPr>
                <w:rFonts w:ascii="Times New Roman"/>
                <w:b w:val="false"/>
                <w:i w:val="false"/>
                <w:color w:val="000000"/>
                <w:sz w:val="20"/>
              </w:rPr>
              <w:t>
   д) политика контроля состояния здоровья персонала;</w:t>
            </w:r>
          </w:p>
          <w:p>
            <w:pPr>
              <w:spacing w:after="20"/>
              <w:ind w:left="20"/>
              <w:jc w:val="both"/>
            </w:pPr>
            <w:r>
              <w:rPr>
                <w:rFonts w:ascii="Times New Roman"/>
                <w:b w:val="false"/>
                <w:i w:val="false"/>
                <w:color w:val="000000"/>
                <w:sz w:val="20"/>
              </w:rPr>
              <w:t>
   е) описание работы персонала, программы обучения персонала и все необходимые документы;</w:t>
            </w:r>
          </w:p>
          <w:p>
            <w:pPr>
              <w:spacing w:after="20"/>
              <w:ind w:left="20"/>
              <w:jc w:val="both"/>
            </w:pPr>
            <w:r>
              <w:rPr>
                <w:rFonts w:ascii="Times New Roman"/>
                <w:b w:val="false"/>
                <w:i w:val="false"/>
                <w:color w:val="000000"/>
                <w:sz w:val="20"/>
              </w:rPr>
              <w:t>
   ж) указатель СОП испытательной лаборатории;</w:t>
            </w:r>
          </w:p>
          <w:p>
            <w:pPr>
              <w:spacing w:after="20"/>
              <w:ind w:left="20"/>
              <w:jc w:val="both"/>
            </w:pPr>
            <w:r>
              <w:rPr>
                <w:rFonts w:ascii="Times New Roman"/>
                <w:b w:val="false"/>
                <w:i w:val="false"/>
                <w:color w:val="000000"/>
                <w:sz w:val="20"/>
              </w:rPr>
              <w:t>
   з) специфические СОП, имеющие отношение к исследованиям и процедурам, которые проходят инспекцию и аудит;</w:t>
            </w:r>
          </w:p>
          <w:p>
            <w:pPr>
              <w:spacing w:after="20"/>
              <w:ind w:left="20"/>
              <w:jc w:val="both"/>
            </w:pPr>
            <w:r>
              <w:rPr>
                <w:rFonts w:ascii="Times New Roman"/>
                <w:b w:val="false"/>
                <w:i w:val="false"/>
                <w:color w:val="000000"/>
                <w:sz w:val="20"/>
              </w:rPr>
              <w:t>
   и) список руководителей исследования и спонсоров, имеющих отношение к аудиту исследования.</w:t>
            </w:r>
          </w:p>
          <w:p>
            <w:pPr>
              <w:spacing w:after="20"/>
              <w:ind w:left="20"/>
              <w:jc w:val="both"/>
            </w:pPr>
            <w:r>
              <w:rPr>
                <w:rFonts w:ascii="Times New Roman"/>
                <w:b w:val="false"/>
                <w:i w:val="false"/>
                <w:color w:val="000000"/>
                <w:sz w:val="20"/>
              </w:rPr>
              <w:t>
   6.6.3.3. Инспектор проверяет:</w:t>
            </w:r>
          </w:p>
          <w:p>
            <w:pPr>
              <w:spacing w:after="20"/>
              <w:ind w:left="20"/>
              <w:jc w:val="both"/>
            </w:pPr>
            <w:r>
              <w:rPr>
                <w:rFonts w:ascii="Times New Roman"/>
                <w:b w:val="false"/>
                <w:i w:val="false"/>
                <w:color w:val="000000"/>
                <w:sz w:val="20"/>
              </w:rPr>
              <w:t>
   а) перечень текущих и завершенных исследований для определения уровня работы, проделанной испытательной лабораторией;</w:t>
            </w:r>
          </w:p>
          <w:p>
            <w:pPr>
              <w:spacing w:after="20"/>
              <w:ind w:left="20"/>
              <w:jc w:val="both"/>
            </w:pPr>
            <w:r>
              <w:rPr>
                <w:rFonts w:ascii="Times New Roman"/>
                <w:b w:val="false"/>
                <w:i w:val="false"/>
                <w:color w:val="000000"/>
                <w:sz w:val="20"/>
              </w:rPr>
              <w:t>
   б) фамилию и квалификации руководителя исследования, руководителя СОК и другого персонала;</w:t>
            </w:r>
          </w:p>
          <w:p>
            <w:pPr>
              <w:spacing w:after="20"/>
              <w:ind w:left="20"/>
              <w:jc w:val="both"/>
            </w:pPr>
            <w:r>
              <w:rPr>
                <w:rFonts w:ascii="Times New Roman"/>
                <w:b w:val="false"/>
                <w:i w:val="false"/>
                <w:color w:val="000000"/>
                <w:sz w:val="20"/>
              </w:rPr>
              <w:t>
   в) наличие СОП для всех соответствующих областей проверки.</w:t>
            </w:r>
          </w:p>
          <w:p>
            <w:pPr>
              <w:spacing w:after="20"/>
              <w:ind w:left="20"/>
              <w:jc w:val="both"/>
            </w:pPr>
            <w:r>
              <w:rPr>
                <w:rFonts w:ascii="Times New Roman"/>
                <w:b w:val="false"/>
                <w:i w:val="false"/>
                <w:color w:val="000000"/>
                <w:sz w:val="20"/>
              </w:rPr>
              <w:t>
   6.6.4. Инспекция программы обеспечения качества</w:t>
            </w:r>
          </w:p>
          <w:p>
            <w:pPr>
              <w:spacing w:after="20"/>
              <w:ind w:left="20"/>
              <w:jc w:val="both"/>
            </w:pPr>
            <w:r>
              <w:rPr>
                <w:rFonts w:ascii="Times New Roman"/>
                <w:b w:val="false"/>
                <w:i w:val="false"/>
                <w:color w:val="000000"/>
                <w:sz w:val="20"/>
              </w:rPr>
              <w:t>
   6.6.4.1. Цель – определить соответствие методов обеспечения качества проводимых исследований принципам Стандарта.</w:t>
            </w:r>
          </w:p>
          <w:p>
            <w:pPr>
              <w:spacing w:after="20"/>
              <w:ind w:left="20"/>
              <w:jc w:val="both"/>
            </w:pPr>
            <w:r>
              <w:rPr>
                <w:rFonts w:ascii="Times New Roman"/>
                <w:b w:val="false"/>
                <w:i w:val="false"/>
                <w:color w:val="000000"/>
                <w:sz w:val="20"/>
              </w:rPr>
              <w:t>
   6.6.4.2. Руководитель СОК показывает системы и способы проверки СОК и контроля исследований, а также способ регистрации наблюдений в течение контроля СОК. Инспекторы проверяют:</w:t>
            </w:r>
          </w:p>
          <w:p>
            <w:pPr>
              <w:spacing w:after="20"/>
              <w:ind w:left="20"/>
              <w:jc w:val="both"/>
            </w:pPr>
            <w:r>
              <w:rPr>
                <w:rFonts w:ascii="Times New Roman"/>
                <w:b w:val="false"/>
                <w:i w:val="false"/>
                <w:color w:val="000000"/>
                <w:sz w:val="20"/>
              </w:rPr>
              <w:t>
   а) квалификации руководителя и всего персонала СОК;</w:t>
            </w:r>
          </w:p>
          <w:p>
            <w:pPr>
              <w:spacing w:after="20"/>
              <w:ind w:left="20"/>
              <w:jc w:val="both"/>
            </w:pPr>
            <w:r>
              <w:rPr>
                <w:rFonts w:ascii="Times New Roman"/>
                <w:b w:val="false"/>
                <w:i w:val="false"/>
                <w:color w:val="000000"/>
                <w:sz w:val="20"/>
              </w:rPr>
              <w:t>
   б) работу СОК независимо от персонала, задействованного в исследованиях;</w:t>
            </w:r>
          </w:p>
          <w:p>
            <w:pPr>
              <w:spacing w:after="20"/>
              <w:ind w:left="20"/>
              <w:jc w:val="both"/>
            </w:pPr>
            <w:r>
              <w:rPr>
                <w:rFonts w:ascii="Times New Roman"/>
                <w:b w:val="false"/>
                <w:i w:val="false"/>
                <w:color w:val="000000"/>
                <w:sz w:val="20"/>
              </w:rPr>
              <w:t>
   в) характер планирования и проведения инспекций СОК, контроль определенных важных стадий исследования, имеющиеся в наличии ресурсы для проведения инспекций СОК и деятельность по контролю;</w:t>
            </w:r>
          </w:p>
          <w:p>
            <w:pPr>
              <w:spacing w:after="20"/>
              <w:ind w:left="20"/>
              <w:jc w:val="both"/>
            </w:pPr>
            <w:r>
              <w:rPr>
                <w:rFonts w:ascii="Times New Roman"/>
                <w:b w:val="false"/>
                <w:i w:val="false"/>
                <w:color w:val="000000"/>
                <w:sz w:val="20"/>
              </w:rPr>
              <w:t>
   г) если исследования непродолжительные и контроль каждого исследования невозможен, наличие договоренности о проверке на выборочной основе;</w:t>
            </w:r>
          </w:p>
          <w:p>
            <w:pPr>
              <w:spacing w:after="20"/>
              <w:ind w:left="20"/>
              <w:jc w:val="both"/>
            </w:pPr>
            <w:r>
              <w:rPr>
                <w:rFonts w:ascii="Times New Roman"/>
                <w:b w:val="false"/>
                <w:i w:val="false"/>
                <w:color w:val="000000"/>
                <w:sz w:val="20"/>
              </w:rPr>
              <w:t>
   д) масштаб и глубина контроля СОК в течение практических стадий исследования;</w:t>
            </w:r>
          </w:p>
          <w:p>
            <w:pPr>
              <w:spacing w:after="20"/>
              <w:ind w:left="20"/>
              <w:jc w:val="both"/>
            </w:pPr>
            <w:r>
              <w:rPr>
                <w:rFonts w:ascii="Times New Roman"/>
                <w:b w:val="false"/>
                <w:i w:val="false"/>
                <w:color w:val="000000"/>
                <w:sz w:val="20"/>
              </w:rPr>
              <w:t>
   е) масштаб и глубина контроля СОК стандартных операций испытательной лаборатории;</w:t>
            </w:r>
          </w:p>
          <w:p>
            <w:pPr>
              <w:spacing w:after="20"/>
              <w:ind w:left="20"/>
              <w:jc w:val="both"/>
            </w:pPr>
            <w:r>
              <w:rPr>
                <w:rFonts w:ascii="Times New Roman"/>
                <w:b w:val="false"/>
                <w:i w:val="false"/>
                <w:color w:val="000000"/>
                <w:sz w:val="20"/>
              </w:rPr>
              <w:t>
   ж) процедуры СОК при проверке заключительного отчета с целью обеспечения его согласованности с исходными данными;</w:t>
            </w:r>
          </w:p>
          <w:p>
            <w:pPr>
              <w:spacing w:after="20"/>
              <w:ind w:left="20"/>
              <w:jc w:val="both"/>
            </w:pPr>
            <w:r>
              <w:rPr>
                <w:rFonts w:ascii="Times New Roman"/>
                <w:b w:val="false"/>
                <w:i w:val="false"/>
                <w:color w:val="000000"/>
                <w:sz w:val="20"/>
              </w:rPr>
              <w:t>
   з) получение руководством испытательной лаборатории отчетов из СОК в отношении проблемных вопросов, которые влияют на качество или достоверность исследования;</w:t>
            </w:r>
          </w:p>
          <w:p>
            <w:pPr>
              <w:spacing w:after="20"/>
              <w:ind w:left="20"/>
              <w:jc w:val="both"/>
            </w:pPr>
            <w:r>
              <w:rPr>
                <w:rFonts w:ascii="Times New Roman"/>
                <w:b w:val="false"/>
                <w:i w:val="false"/>
                <w:color w:val="000000"/>
                <w:sz w:val="20"/>
              </w:rPr>
              <w:t>
   и) действия, предпринимаемые СОК при обнаружении отклонений от нормы;</w:t>
            </w:r>
          </w:p>
          <w:p>
            <w:pPr>
              <w:spacing w:after="20"/>
              <w:ind w:left="20"/>
              <w:jc w:val="both"/>
            </w:pPr>
            <w:r>
              <w:rPr>
                <w:rFonts w:ascii="Times New Roman"/>
                <w:b w:val="false"/>
                <w:i w:val="false"/>
                <w:color w:val="000000"/>
                <w:sz w:val="20"/>
              </w:rPr>
              <w:t>
   к) роль СОК в тех случаях, если они имеют место, когда исследования или их часть проводятся в контрактных испытательных лабораториях;</w:t>
            </w:r>
          </w:p>
          <w:p>
            <w:pPr>
              <w:spacing w:after="20"/>
              <w:ind w:left="20"/>
              <w:jc w:val="both"/>
            </w:pPr>
            <w:r>
              <w:rPr>
                <w:rFonts w:ascii="Times New Roman"/>
                <w:b w:val="false"/>
                <w:i w:val="false"/>
                <w:color w:val="000000"/>
                <w:sz w:val="20"/>
              </w:rPr>
              <w:t>
   л) роль СОК в определенных случаях, если они имеют место, при пересмотре, изучении и внесении изменений в СОП.</w:t>
            </w:r>
          </w:p>
          <w:p>
            <w:pPr>
              <w:spacing w:after="20"/>
              <w:ind w:left="20"/>
              <w:jc w:val="both"/>
            </w:pPr>
            <w:r>
              <w:rPr>
                <w:rFonts w:ascii="Times New Roman"/>
                <w:b w:val="false"/>
                <w:i w:val="false"/>
                <w:color w:val="000000"/>
                <w:sz w:val="20"/>
              </w:rPr>
              <w:t>
   6.6.5. Инспекция помещений испытательной лаборатории</w:t>
            </w:r>
          </w:p>
          <w:p>
            <w:pPr>
              <w:spacing w:after="20"/>
              <w:ind w:left="20"/>
              <w:jc w:val="both"/>
            </w:pPr>
            <w:r>
              <w:rPr>
                <w:rFonts w:ascii="Times New Roman"/>
                <w:b w:val="false"/>
                <w:i w:val="false"/>
                <w:color w:val="000000"/>
                <w:sz w:val="20"/>
              </w:rPr>
              <w:t>
   6.6.5.1. Цель – определить, имеет ли испытательная лаборатория, внутри и снаружи, соответствующую величину, построение, месторасположение и соответствует ли требованиям проводимых исследований.</w:t>
            </w:r>
          </w:p>
          <w:p>
            <w:pPr>
              <w:spacing w:after="20"/>
              <w:ind w:left="20"/>
              <w:jc w:val="both"/>
            </w:pPr>
            <w:r>
              <w:rPr>
                <w:rFonts w:ascii="Times New Roman"/>
                <w:b w:val="false"/>
                <w:i w:val="false"/>
                <w:color w:val="000000"/>
                <w:sz w:val="20"/>
              </w:rPr>
              <w:t>
   6.6.5.2. Инспектор проверяет:</w:t>
            </w:r>
          </w:p>
          <w:p>
            <w:pPr>
              <w:spacing w:after="20"/>
              <w:ind w:left="20"/>
              <w:jc w:val="both"/>
            </w:pPr>
            <w:r>
              <w:rPr>
                <w:rFonts w:ascii="Times New Roman"/>
                <w:b w:val="false"/>
                <w:i w:val="false"/>
                <w:color w:val="000000"/>
                <w:sz w:val="20"/>
              </w:rPr>
              <w:t>
   а) позволяет ли структура испытательной лаборатории адекватную степень разделения, например, чтобы испытуемые вещества, животные, добавки, патологические образцы не подвергались перекрестной контаминации;</w:t>
            </w:r>
          </w:p>
          <w:p>
            <w:pPr>
              <w:spacing w:after="20"/>
              <w:ind w:left="20"/>
              <w:jc w:val="both"/>
            </w:pPr>
            <w:r>
              <w:rPr>
                <w:rFonts w:ascii="Times New Roman"/>
                <w:b w:val="false"/>
                <w:i w:val="false"/>
                <w:color w:val="000000"/>
                <w:sz w:val="20"/>
              </w:rPr>
              <w:t>
   б) существование и надлежащее функционирование контроля окружающей среды в критических зонах, например, вивария и других биологических тест-системах, зоны хранения испытуемых веществ, зоны испытательной лаборатории;</w:t>
            </w:r>
          </w:p>
          <w:p>
            <w:pPr>
              <w:spacing w:after="20"/>
              <w:ind w:left="20"/>
              <w:jc w:val="both"/>
            </w:pPr>
            <w:r>
              <w:rPr>
                <w:rFonts w:ascii="Times New Roman"/>
                <w:b w:val="false"/>
                <w:i w:val="false"/>
                <w:color w:val="000000"/>
                <w:sz w:val="20"/>
              </w:rPr>
              <w:t>
   в) общая организация отвечает требованиям, предъявляемым к испытательным лабораториям, и существуют, при необходимости, процедуры контроля сельскохозяйственных вредителей.</w:t>
            </w:r>
          </w:p>
          <w:p>
            <w:pPr>
              <w:spacing w:after="20"/>
              <w:ind w:left="20"/>
              <w:jc w:val="both"/>
            </w:pPr>
            <w:r>
              <w:rPr>
                <w:rFonts w:ascii="Times New Roman"/>
                <w:b w:val="false"/>
                <w:i w:val="false"/>
                <w:color w:val="000000"/>
                <w:sz w:val="20"/>
              </w:rPr>
              <w:t>
   6.6.6. Инспекция обращения, размещения и локализации биологических тест-систем</w:t>
            </w:r>
          </w:p>
          <w:p>
            <w:pPr>
              <w:spacing w:after="20"/>
              <w:ind w:left="20"/>
              <w:jc w:val="both"/>
            </w:pPr>
            <w:r>
              <w:rPr>
                <w:rFonts w:ascii="Times New Roman"/>
                <w:b w:val="false"/>
                <w:i w:val="false"/>
                <w:color w:val="000000"/>
                <w:sz w:val="20"/>
              </w:rPr>
              <w:t>
   6.6.6.1. Цель – определить в случае проведения исследований на животных и других биологических тест-системах, имеет ли испытательная лаборатория достаточные средства и условия для обращения с ними, размещения и локализации, предотвращения стрессовых обстановок, которые влияют на испытательную систему и на качество данных.</w:t>
            </w:r>
          </w:p>
          <w:p>
            <w:pPr>
              <w:spacing w:after="20"/>
              <w:ind w:left="20"/>
              <w:jc w:val="both"/>
            </w:pPr>
            <w:r>
              <w:rPr>
                <w:rFonts w:ascii="Times New Roman"/>
                <w:b w:val="false"/>
                <w:i w:val="false"/>
                <w:color w:val="000000"/>
                <w:sz w:val="20"/>
              </w:rPr>
              <w:t>
   6.6.6.2. В испытательной лаборатории проводятся исследования, требующие привлечения разных видов животных или растений, а также микробных или других клеточных или субклеточных систем. Вид используемых тест-систем определяет аспекты в отношении обращения, размещения и локализации, которые будет проверять инспектор. В зависимости от тест-системы и по своему собственному мнению инспектор проверяет:</w:t>
            </w:r>
          </w:p>
          <w:p>
            <w:pPr>
              <w:spacing w:after="20"/>
              <w:ind w:left="20"/>
              <w:jc w:val="both"/>
            </w:pPr>
            <w:r>
              <w:rPr>
                <w:rFonts w:ascii="Times New Roman"/>
                <w:b w:val="false"/>
                <w:i w:val="false"/>
                <w:color w:val="000000"/>
                <w:sz w:val="20"/>
              </w:rPr>
              <w:t>
   а) соответствие испытательной лаборатории используемым испытательным системам и требованиям исследования;</w:t>
            </w:r>
          </w:p>
          <w:p>
            <w:pPr>
              <w:spacing w:after="20"/>
              <w:ind w:left="20"/>
              <w:jc w:val="both"/>
            </w:pPr>
            <w:r>
              <w:rPr>
                <w:rFonts w:ascii="Times New Roman"/>
                <w:b w:val="false"/>
                <w:i w:val="false"/>
                <w:color w:val="000000"/>
                <w:sz w:val="20"/>
              </w:rPr>
              <w:t>
   б) наличие договоренностей о карантине животных и растений, поступающих в испытательную лабораторию, и удовлетворительное функционирование этих договоренностей;</w:t>
            </w:r>
          </w:p>
          <w:p>
            <w:pPr>
              <w:spacing w:after="20"/>
              <w:ind w:left="20"/>
              <w:jc w:val="both"/>
            </w:pPr>
            <w:r>
              <w:rPr>
                <w:rFonts w:ascii="Times New Roman"/>
                <w:b w:val="false"/>
                <w:i w:val="false"/>
                <w:color w:val="000000"/>
                <w:sz w:val="20"/>
              </w:rPr>
              <w:t>
   в) наличие договоренностей об изоляции животных (или других составляющих испытательной системы в случае необходимости), о которых известно или которых подозревают в заболевании или переносе заболеваний;</w:t>
            </w:r>
          </w:p>
          <w:p>
            <w:pPr>
              <w:spacing w:after="20"/>
              <w:ind w:left="20"/>
              <w:jc w:val="both"/>
            </w:pPr>
            <w:r>
              <w:rPr>
                <w:rFonts w:ascii="Times New Roman"/>
                <w:b w:val="false"/>
                <w:i w:val="false"/>
                <w:color w:val="000000"/>
                <w:sz w:val="20"/>
              </w:rPr>
              <w:t>
   г) соответствующий требованиям контроль и регистрация данных о состоянии здоровья, поведении или других аспектах, которые имеют отношение к испытательной системе;</w:t>
            </w:r>
          </w:p>
          <w:p>
            <w:pPr>
              <w:spacing w:after="20"/>
              <w:ind w:left="20"/>
              <w:jc w:val="both"/>
            </w:pPr>
            <w:r>
              <w:rPr>
                <w:rFonts w:ascii="Times New Roman"/>
                <w:b w:val="false"/>
                <w:i w:val="false"/>
                <w:color w:val="000000"/>
                <w:sz w:val="20"/>
              </w:rPr>
              <w:t>
   д) наличие соответствующего требованиям, надлежащего и эффективного оборудования для поддержания необходимых условий окружающей среды, требуемых для каждой испытательной системы;</w:t>
            </w:r>
          </w:p>
          <w:p>
            <w:pPr>
              <w:spacing w:after="20"/>
              <w:ind w:left="20"/>
              <w:jc w:val="both"/>
            </w:pPr>
            <w:r>
              <w:rPr>
                <w:rFonts w:ascii="Times New Roman"/>
                <w:b w:val="false"/>
                <w:i w:val="false"/>
                <w:color w:val="000000"/>
                <w:sz w:val="20"/>
              </w:rPr>
              <w:t>
   е) содержание в чистоте клеток животных, кормушек, резервуаров и других контейнеров, а также сопутствующего оборудования;</w:t>
            </w:r>
          </w:p>
          <w:p>
            <w:pPr>
              <w:spacing w:after="20"/>
              <w:ind w:left="20"/>
              <w:jc w:val="both"/>
            </w:pPr>
            <w:r>
              <w:rPr>
                <w:rFonts w:ascii="Times New Roman"/>
                <w:b w:val="false"/>
                <w:i w:val="false"/>
                <w:color w:val="000000"/>
                <w:sz w:val="20"/>
              </w:rPr>
              <w:t>
   ж) проведение при необходимости проверок условий окружающей среды и вспомогательных систем;</w:t>
            </w:r>
          </w:p>
          <w:p>
            <w:pPr>
              <w:spacing w:after="20"/>
              <w:ind w:left="20"/>
              <w:jc w:val="both"/>
            </w:pPr>
            <w:r>
              <w:rPr>
                <w:rFonts w:ascii="Times New Roman"/>
                <w:b w:val="false"/>
                <w:i w:val="false"/>
                <w:color w:val="000000"/>
                <w:sz w:val="20"/>
              </w:rPr>
              <w:t>
   з) наличие оборудования для удаления и утилизации отходов животных и тест-систем, надлежащее содержание этого оборудования с целью минимизации заражения паразитами, запахов, опасности возникновения заболеваний и загрязнения окружающей среды;</w:t>
            </w:r>
          </w:p>
          <w:p>
            <w:pPr>
              <w:spacing w:after="20"/>
              <w:ind w:left="20"/>
              <w:jc w:val="both"/>
            </w:pPr>
            <w:r>
              <w:rPr>
                <w:rFonts w:ascii="Times New Roman"/>
                <w:b w:val="false"/>
                <w:i w:val="false"/>
                <w:color w:val="000000"/>
                <w:sz w:val="20"/>
              </w:rPr>
              <w:t>
   и) наличие зон хранения корма для животных или аналогичных материалов для всех тест-систем. Эти зоны не используются для хранения других материалов, таких как испытуемые вещества, химикаты или дезинфицирующие вещества для контроля за сельскохозяйственными вредителями. Эти зоны отделяются от зон, в которых находятся животные или содержатся другие биологические испытательные системы;</w:t>
            </w:r>
          </w:p>
          <w:p>
            <w:pPr>
              <w:spacing w:after="20"/>
              <w:ind w:left="20"/>
              <w:jc w:val="both"/>
            </w:pPr>
            <w:r>
              <w:rPr>
                <w:rFonts w:ascii="Times New Roman"/>
                <w:b w:val="false"/>
                <w:i w:val="false"/>
                <w:color w:val="000000"/>
                <w:sz w:val="20"/>
              </w:rPr>
              <w:t>
   к) защита хранящегося корма и подстилок от повреждений вследствие неблагоприятных условий окружающей среды, заражения или загрязнения.</w:t>
            </w:r>
          </w:p>
          <w:p>
            <w:pPr>
              <w:spacing w:after="20"/>
              <w:ind w:left="20"/>
              <w:jc w:val="both"/>
            </w:pPr>
            <w:r>
              <w:rPr>
                <w:rFonts w:ascii="Times New Roman"/>
                <w:b w:val="false"/>
                <w:i w:val="false"/>
                <w:color w:val="000000"/>
                <w:sz w:val="20"/>
              </w:rPr>
              <w:t>
   6.6.7. Инспекция оборудования, материалов и реактивов</w:t>
            </w:r>
          </w:p>
          <w:p>
            <w:pPr>
              <w:spacing w:after="20"/>
              <w:ind w:left="20"/>
              <w:jc w:val="both"/>
            </w:pPr>
            <w:r>
              <w:rPr>
                <w:rFonts w:ascii="Times New Roman"/>
                <w:b w:val="false"/>
                <w:i w:val="false"/>
                <w:color w:val="000000"/>
                <w:sz w:val="20"/>
              </w:rPr>
              <w:t>
   6.6.7.1. Цель – определить, имеет ли испытательная лаборатория правильно размещенное операционное оборудование в достаточном количестве и достаточной мощности для удовлетворения требований проводимых исследований в испытательной лаборатории; проверка надлежащей маркировки, использования и хранения материалов, реактивов и образцов.</w:t>
            </w:r>
          </w:p>
          <w:p>
            <w:pPr>
              <w:spacing w:after="20"/>
              <w:ind w:left="20"/>
              <w:jc w:val="both"/>
            </w:pPr>
            <w:r>
              <w:rPr>
                <w:rFonts w:ascii="Times New Roman"/>
                <w:b w:val="false"/>
                <w:i w:val="false"/>
                <w:color w:val="000000"/>
                <w:sz w:val="20"/>
              </w:rPr>
              <w:t>
   6.6.7.2. Инспектор проверяет:</w:t>
            </w:r>
          </w:p>
          <w:p>
            <w:pPr>
              <w:spacing w:after="20"/>
              <w:ind w:left="20"/>
              <w:jc w:val="both"/>
            </w:pPr>
            <w:r>
              <w:rPr>
                <w:rFonts w:ascii="Times New Roman"/>
                <w:b w:val="false"/>
                <w:i w:val="false"/>
                <w:color w:val="000000"/>
                <w:sz w:val="20"/>
              </w:rPr>
              <w:t>
   а) чистоту и надлежащее функционирование оборудования;</w:t>
            </w:r>
          </w:p>
          <w:p>
            <w:pPr>
              <w:spacing w:after="20"/>
              <w:ind w:left="20"/>
              <w:jc w:val="both"/>
            </w:pPr>
            <w:r>
              <w:rPr>
                <w:rFonts w:ascii="Times New Roman"/>
                <w:b w:val="false"/>
                <w:i w:val="false"/>
                <w:color w:val="000000"/>
                <w:sz w:val="20"/>
              </w:rPr>
              <w:t>
   б) ведение регистрации данных о функционировании, содержании, калибровке и валидации измерительного оборудования и приборов (включая компьютеризированные системы);</w:t>
            </w:r>
          </w:p>
          <w:p>
            <w:pPr>
              <w:spacing w:after="20"/>
              <w:ind w:left="20"/>
              <w:jc w:val="both"/>
            </w:pPr>
            <w:r>
              <w:rPr>
                <w:rFonts w:ascii="Times New Roman"/>
                <w:b w:val="false"/>
                <w:i w:val="false"/>
                <w:color w:val="000000"/>
                <w:sz w:val="20"/>
              </w:rPr>
              <w:t>
   в) надлежащую маркировку материалов и химических реактивов и их хранение при соответствующих температурах, соблюдение сроков годности. Маркировка на реактивах содержит источник получения, вид реактива, концентрацию и (или) другую соответствующую информацию;</w:t>
            </w:r>
          </w:p>
          <w:p>
            <w:pPr>
              <w:spacing w:after="20"/>
              <w:ind w:left="20"/>
              <w:jc w:val="both"/>
            </w:pPr>
            <w:r>
              <w:rPr>
                <w:rFonts w:ascii="Times New Roman"/>
                <w:b w:val="false"/>
                <w:i w:val="false"/>
                <w:color w:val="000000"/>
                <w:sz w:val="20"/>
              </w:rPr>
              <w:t>
   г) на образцах указывается испытательная система, исследование, состав и дата взятия;</w:t>
            </w:r>
          </w:p>
          <w:p>
            <w:pPr>
              <w:spacing w:after="20"/>
              <w:ind w:left="20"/>
              <w:jc w:val="both"/>
            </w:pPr>
            <w:r>
              <w:rPr>
                <w:rFonts w:ascii="Times New Roman"/>
                <w:b w:val="false"/>
                <w:i w:val="false"/>
                <w:color w:val="000000"/>
                <w:sz w:val="20"/>
              </w:rPr>
              <w:t>
   д) используемое оборудование и материалы не влияют в значительной степени на испытательные системы.</w:t>
            </w:r>
          </w:p>
          <w:p>
            <w:pPr>
              <w:spacing w:after="20"/>
              <w:ind w:left="20"/>
              <w:jc w:val="both"/>
            </w:pPr>
            <w:r>
              <w:rPr>
                <w:rFonts w:ascii="Times New Roman"/>
                <w:b w:val="false"/>
                <w:i w:val="false"/>
                <w:color w:val="000000"/>
                <w:sz w:val="20"/>
              </w:rPr>
              <w:t>
   6.6.8. Инспекция тест-систем</w:t>
            </w:r>
          </w:p>
          <w:p>
            <w:pPr>
              <w:spacing w:after="20"/>
              <w:ind w:left="20"/>
              <w:jc w:val="both"/>
            </w:pPr>
            <w:r>
              <w:rPr>
                <w:rFonts w:ascii="Times New Roman"/>
                <w:b w:val="false"/>
                <w:i w:val="false"/>
                <w:color w:val="000000"/>
                <w:sz w:val="20"/>
              </w:rPr>
              <w:t>
   6.6.8.1. Цель – определить наличие соответствующих требованиям процедур для обращения и контроля испытательных систем, которые необходимы для проводимых исследований в испытательной лаборатории, например, химические и физические системы, клеточные и микробные системы, растения и животные.</w:t>
            </w:r>
          </w:p>
          <w:p>
            <w:pPr>
              <w:spacing w:after="20"/>
              <w:ind w:left="20"/>
              <w:jc w:val="both"/>
            </w:pPr>
            <w:r>
              <w:rPr>
                <w:rFonts w:ascii="Times New Roman"/>
                <w:b w:val="false"/>
                <w:i w:val="false"/>
                <w:color w:val="000000"/>
                <w:sz w:val="20"/>
              </w:rPr>
              <w:t>
   6.6.8.2. Физические и химические системы. Инспектор проверяет:</w:t>
            </w:r>
          </w:p>
          <w:p>
            <w:pPr>
              <w:spacing w:after="20"/>
              <w:ind w:left="20"/>
              <w:jc w:val="both"/>
            </w:pPr>
            <w:r>
              <w:rPr>
                <w:rFonts w:ascii="Times New Roman"/>
                <w:b w:val="false"/>
                <w:i w:val="false"/>
                <w:color w:val="000000"/>
                <w:sz w:val="20"/>
              </w:rPr>
              <w:t>
   а) если требуется протоколом, планом, программой исследования Ғ определение стабильности испытуемых и контрольных веществ и использование контрольных веществ, указанных в протоколах, программах исследования;</w:t>
            </w:r>
          </w:p>
          <w:p>
            <w:pPr>
              <w:spacing w:after="20"/>
              <w:ind w:left="20"/>
              <w:jc w:val="both"/>
            </w:pPr>
            <w:r>
              <w:rPr>
                <w:rFonts w:ascii="Times New Roman"/>
                <w:b w:val="false"/>
                <w:i w:val="false"/>
                <w:color w:val="000000"/>
                <w:sz w:val="20"/>
              </w:rPr>
              <w:t>
   б) в автоматических системах данные, полученные в виде графиков, кривых самописца или компьютерных распечаток, регистрируются как исходные данные и архивируются.</w:t>
            </w:r>
          </w:p>
          <w:p>
            <w:pPr>
              <w:spacing w:after="20"/>
              <w:ind w:left="20"/>
              <w:jc w:val="both"/>
            </w:pPr>
            <w:r>
              <w:rPr>
                <w:rFonts w:ascii="Times New Roman"/>
                <w:b w:val="false"/>
                <w:i w:val="false"/>
                <w:color w:val="000000"/>
                <w:sz w:val="20"/>
              </w:rPr>
              <w:t>
   6.6.8.3. Биологические тест-системы. Учитывая соответствующие аспекты, имеющие отношение к обращению, размещению и локализации биологических тест-систем, инспектор проверяет:</w:t>
            </w:r>
          </w:p>
          <w:p>
            <w:pPr>
              <w:spacing w:after="20"/>
              <w:ind w:left="20"/>
              <w:jc w:val="both"/>
            </w:pPr>
            <w:r>
              <w:rPr>
                <w:rFonts w:ascii="Times New Roman"/>
                <w:b w:val="false"/>
                <w:i w:val="false"/>
                <w:color w:val="000000"/>
                <w:sz w:val="20"/>
              </w:rPr>
              <w:t>
   а) испытательные системы соответствуют тем, которые указаны в протоколах, программах исследования;</w:t>
            </w:r>
          </w:p>
          <w:p>
            <w:pPr>
              <w:spacing w:after="20"/>
              <w:ind w:left="20"/>
              <w:jc w:val="both"/>
            </w:pPr>
            <w:r>
              <w:rPr>
                <w:rFonts w:ascii="Times New Roman"/>
                <w:b w:val="false"/>
                <w:i w:val="false"/>
                <w:color w:val="000000"/>
                <w:sz w:val="20"/>
              </w:rPr>
              <w:t>
   б) испытательные системы соответствуют требованиям и, при необходимости, однозначно идентифицированы в исследовании; наличие документов о получении тест-систем: количество полученных, использованных, замененных и утилизированных тест-систем;</w:t>
            </w:r>
          </w:p>
          <w:p>
            <w:pPr>
              <w:spacing w:after="20"/>
              <w:ind w:left="20"/>
              <w:jc w:val="both"/>
            </w:pPr>
            <w:r>
              <w:rPr>
                <w:rFonts w:ascii="Times New Roman"/>
                <w:b w:val="false"/>
                <w:i w:val="false"/>
                <w:color w:val="000000"/>
                <w:sz w:val="20"/>
              </w:rPr>
              <w:t>
   в) надлежащая идентификация со всей необходимой информацией помещения или контейнеров с испытательными системами;</w:t>
            </w:r>
          </w:p>
          <w:p>
            <w:pPr>
              <w:spacing w:after="20"/>
              <w:ind w:left="20"/>
              <w:jc w:val="both"/>
            </w:pPr>
            <w:r>
              <w:rPr>
                <w:rFonts w:ascii="Times New Roman"/>
                <w:b w:val="false"/>
                <w:i w:val="false"/>
                <w:color w:val="000000"/>
                <w:sz w:val="20"/>
              </w:rPr>
              <w:t>
   г) обеспечение раздельного проведения исследований на одних видах животных (или одних биологических тест-системах), но на разных веществах;</w:t>
            </w:r>
          </w:p>
          <w:p>
            <w:pPr>
              <w:spacing w:after="20"/>
              <w:ind w:left="20"/>
              <w:jc w:val="both"/>
            </w:pPr>
            <w:r>
              <w:rPr>
                <w:rFonts w:ascii="Times New Roman"/>
                <w:b w:val="false"/>
                <w:i w:val="false"/>
                <w:color w:val="000000"/>
                <w:sz w:val="20"/>
              </w:rPr>
              <w:t>
   д) соответствующее требованиям разделение видов животных (и других биологических тест-систем) в помещениях или по периодам времени;</w:t>
            </w:r>
          </w:p>
          <w:p>
            <w:pPr>
              <w:spacing w:after="20"/>
              <w:ind w:left="20"/>
              <w:jc w:val="both"/>
            </w:pPr>
            <w:r>
              <w:rPr>
                <w:rFonts w:ascii="Times New Roman"/>
                <w:b w:val="false"/>
                <w:i w:val="false"/>
                <w:color w:val="000000"/>
                <w:sz w:val="20"/>
              </w:rPr>
              <w:t>
   е) соответствие условий биологической испытательной системы той системе, которая указана в протоколе, плане, программе исследования или в СОП в отношении таких аспектов, как температура или циклы дня и ночи;</w:t>
            </w:r>
          </w:p>
          <w:p>
            <w:pPr>
              <w:spacing w:after="20"/>
              <w:ind w:left="20"/>
              <w:jc w:val="both"/>
            </w:pPr>
            <w:r>
              <w:rPr>
                <w:rFonts w:ascii="Times New Roman"/>
                <w:b w:val="false"/>
                <w:i w:val="false"/>
                <w:color w:val="000000"/>
                <w:sz w:val="20"/>
              </w:rPr>
              <w:t>
   ж) соответствие регистрации получения, обращения, размещения или локализации, содержания и оценки состояния испытательным системам;</w:t>
            </w:r>
          </w:p>
          <w:p>
            <w:pPr>
              <w:spacing w:after="20"/>
              <w:ind w:left="20"/>
              <w:jc w:val="both"/>
            </w:pPr>
            <w:r>
              <w:rPr>
                <w:rFonts w:ascii="Times New Roman"/>
                <w:b w:val="false"/>
                <w:i w:val="false"/>
                <w:color w:val="000000"/>
                <w:sz w:val="20"/>
              </w:rPr>
              <w:t>
   з) соответствие информации в письменном виде о проверке, карантине, заболеваемости, смертности, действии на окружающую среду, диагностике и исследовании животных и растительных тест-систем каждой биологической испытательной системы;</w:t>
            </w:r>
          </w:p>
          <w:p>
            <w:pPr>
              <w:spacing w:after="20"/>
              <w:ind w:left="20"/>
              <w:jc w:val="both"/>
            </w:pPr>
            <w:r>
              <w:rPr>
                <w:rFonts w:ascii="Times New Roman"/>
                <w:b w:val="false"/>
                <w:i w:val="false"/>
                <w:color w:val="000000"/>
                <w:sz w:val="20"/>
              </w:rPr>
              <w:t>
   и) наличие положений о надлежащей утилизации тест-систем в конце исследований.</w:t>
            </w:r>
          </w:p>
          <w:p>
            <w:pPr>
              <w:spacing w:after="20"/>
              <w:ind w:left="20"/>
              <w:jc w:val="both"/>
            </w:pPr>
            <w:r>
              <w:rPr>
                <w:rFonts w:ascii="Times New Roman"/>
                <w:b w:val="false"/>
                <w:i w:val="false"/>
                <w:color w:val="000000"/>
                <w:sz w:val="20"/>
              </w:rPr>
              <w:t>
   6.6.9. Инспекция испытуемых и контрольных веществ</w:t>
            </w:r>
          </w:p>
          <w:p>
            <w:pPr>
              <w:spacing w:after="20"/>
              <w:ind w:left="20"/>
              <w:jc w:val="both"/>
            </w:pPr>
            <w:r>
              <w:rPr>
                <w:rFonts w:ascii="Times New Roman"/>
                <w:b w:val="false"/>
                <w:i w:val="false"/>
                <w:color w:val="000000"/>
                <w:sz w:val="20"/>
              </w:rPr>
              <w:t>
   6.6.9.1. Цель – определить, имеет ли испытательная лаборатория процедуры, предназначенные для гарантии того, что подлинность, активность и состав испытуемых и контрольных веществ соответствует спецификациям, а также для надлежащего получения и хранения испытуемых и контрольных веществ.</w:t>
            </w:r>
          </w:p>
          <w:p>
            <w:pPr>
              <w:spacing w:after="20"/>
              <w:ind w:left="20"/>
              <w:jc w:val="both"/>
            </w:pPr>
            <w:r>
              <w:rPr>
                <w:rFonts w:ascii="Times New Roman"/>
                <w:b w:val="false"/>
                <w:i w:val="false"/>
                <w:color w:val="000000"/>
                <w:sz w:val="20"/>
              </w:rPr>
              <w:t>
   6.6.9.2. Инспектор проверяет:</w:t>
            </w:r>
          </w:p>
          <w:p>
            <w:pPr>
              <w:spacing w:after="20"/>
              <w:ind w:left="20"/>
              <w:jc w:val="both"/>
            </w:pPr>
            <w:r>
              <w:rPr>
                <w:rFonts w:ascii="Times New Roman"/>
                <w:b w:val="false"/>
                <w:i w:val="false"/>
                <w:color w:val="000000"/>
                <w:sz w:val="20"/>
              </w:rPr>
              <w:t>
   а) наличие информации в письменном виде о получении (включая идентификацию ответственного лица), обращении, отборе проб, использовании и хранении испытуемых и контрольных веществ;</w:t>
            </w:r>
          </w:p>
          <w:p>
            <w:pPr>
              <w:spacing w:after="20"/>
              <w:ind w:left="20"/>
              <w:jc w:val="both"/>
            </w:pPr>
            <w:r>
              <w:rPr>
                <w:rFonts w:ascii="Times New Roman"/>
                <w:b w:val="false"/>
                <w:i w:val="false"/>
                <w:color w:val="000000"/>
                <w:sz w:val="20"/>
              </w:rPr>
              <w:t>
   б) надлежащую маркировку контейнеров с исследуемыми и контрольными веществами;</w:t>
            </w:r>
          </w:p>
          <w:p>
            <w:pPr>
              <w:spacing w:after="20"/>
              <w:ind w:left="20"/>
              <w:jc w:val="both"/>
            </w:pPr>
            <w:r>
              <w:rPr>
                <w:rFonts w:ascii="Times New Roman"/>
                <w:b w:val="false"/>
                <w:i w:val="false"/>
                <w:color w:val="000000"/>
                <w:sz w:val="20"/>
              </w:rPr>
              <w:t>
   в) соответствие условий хранения для сохранения концентрации, чистоты и стабильности испытуемых и контрольных веществ;</w:t>
            </w:r>
          </w:p>
          <w:p>
            <w:pPr>
              <w:spacing w:after="20"/>
              <w:ind w:left="20"/>
              <w:jc w:val="both"/>
            </w:pPr>
            <w:r>
              <w:rPr>
                <w:rFonts w:ascii="Times New Roman"/>
                <w:b w:val="false"/>
                <w:i w:val="false"/>
                <w:color w:val="000000"/>
                <w:sz w:val="20"/>
              </w:rPr>
              <w:t>
   г) наличие информации в письменном виде об определении подлинности, чистоты, состава, стабильности и предотвращении загрязнения испытуемых и контрольных веществ, если применимо;</w:t>
            </w:r>
          </w:p>
          <w:p>
            <w:pPr>
              <w:spacing w:after="20"/>
              <w:ind w:left="20"/>
              <w:jc w:val="both"/>
            </w:pPr>
            <w:r>
              <w:rPr>
                <w:rFonts w:ascii="Times New Roman"/>
                <w:b w:val="false"/>
                <w:i w:val="false"/>
                <w:color w:val="000000"/>
                <w:sz w:val="20"/>
              </w:rPr>
              <w:t>
   д) в соответствующих случаях наличие процедур для определения гомогенности и стабильности смесей, содержащих испытуемые и контрольные вещества;</w:t>
            </w:r>
          </w:p>
          <w:p>
            <w:pPr>
              <w:spacing w:after="20"/>
              <w:ind w:left="20"/>
              <w:jc w:val="both"/>
            </w:pPr>
            <w:r>
              <w:rPr>
                <w:rFonts w:ascii="Times New Roman"/>
                <w:b w:val="false"/>
                <w:i w:val="false"/>
                <w:color w:val="000000"/>
                <w:sz w:val="20"/>
              </w:rPr>
              <w:t>
   е) маркировку контейнеров, содержащих смеси (или растворы) испытуемых и контрольных веществ, и в соответствующих случаях регистрацию данных о гомогенности и стабильности их содержания;</w:t>
            </w:r>
          </w:p>
          <w:p>
            <w:pPr>
              <w:spacing w:after="20"/>
              <w:ind w:left="20"/>
              <w:jc w:val="both"/>
            </w:pPr>
            <w:r>
              <w:rPr>
                <w:rFonts w:ascii="Times New Roman"/>
                <w:b w:val="false"/>
                <w:i w:val="false"/>
                <w:color w:val="000000"/>
                <w:sz w:val="20"/>
              </w:rPr>
              <w:t>
   ж) если исследование длится более четырех недель, взятие образцов из каждой серии испытуемых и контрольных веществ в аналитических целях и их сохранение в течение соответствующего периода времени;</w:t>
            </w:r>
          </w:p>
          <w:p>
            <w:pPr>
              <w:spacing w:after="20"/>
              <w:ind w:left="20"/>
              <w:jc w:val="both"/>
            </w:pPr>
            <w:r>
              <w:rPr>
                <w:rFonts w:ascii="Times New Roman"/>
                <w:b w:val="false"/>
                <w:i w:val="false"/>
                <w:color w:val="000000"/>
                <w:sz w:val="20"/>
              </w:rPr>
              <w:t>
   з) процедуры для смешанных веществ, предназначенные для предотвращения погрешностей при определении подлинности или перекрестного загрязнения.</w:t>
            </w:r>
          </w:p>
          <w:p>
            <w:pPr>
              <w:spacing w:after="20"/>
              <w:ind w:left="20"/>
              <w:jc w:val="both"/>
            </w:pPr>
            <w:r>
              <w:rPr>
                <w:rFonts w:ascii="Times New Roman"/>
                <w:b w:val="false"/>
                <w:i w:val="false"/>
                <w:color w:val="000000"/>
                <w:sz w:val="20"/>
              </w:rPr>
              <w:t>
   6.6.10. Инспекция стандартных операционных процедур</w:t>
            </w:r>
          </w:p>
          <w:p>
            <w:pPr>
              <w:spacing w:after="20"/>
              <w:ind w:left="20"/>
              <w:jc w:val="both"/>
            </w:pPr>
            <w:r>
              <w:rPr>
                <w:rFonts w:ascii="Times New Roman"/>
                <w:b w:val="false"/>
                <w:i w:val="false"/>
                <w:color w:val="000000"/>
                <w:sz w:val="20"/>
              </w:rPr>
              <w:t>
   6.6.10.1. Цель – определить, имеет ли испытательная лаборатория СОП в письменной форме в отношении всех важных аспектов своей деятельности, учитывая то, что одним из наиболее важных методов управления при контроле деятельности испытательной лаборатории является использование СОП в письменной форме. Это напрямую относится к типовым составляющим элементам исследований, проводимых в испытательной лаборатории.</w:t>
            </w:r>
          </w:p>
          <w:p>
            <w:pPr>
              <w:spacing w:after="20"/>
              <w:ind w:left="20"/>
              <w:jc w:val="both"/>
            </w:pPr>
            <w:r>
              <w:rPr>
                <w:rFonts w:ascii="Times New Roman"/>
                <w:b w:val="false"/>
                <w:i w:val="false"/>
                <w:color w:val="000000"/>
                <w:sz w:val="20"/>
              </w:rPr>
              <w:t>
   6.6.10.2. Инспектор проверяет:</w:t>
            </w:r>
          </w:p>
          <w:p>
            <w:pPr>
              <w:spacing w:after="20"/>
              <w:ind w:left="20"/>
              <w:jc w:val="both"/>
            </w:pPr>
            <w:r>
              <w:rPr>
                <w:rFonts w:ascii="Times New Roman"/>
                <w:b w:val="false"/>
                <w:i w:val="false"/>
                <w:color w:val="000000"/>
                <w:sz w:val="20"/>
              </w:rPr>
              <w:t>
   а) наличие в каждом помещении испытательной лаборатории соответствующих утвержденных копий СОП;</w:t>
            </w:r>
          </w:p>
          <w:p>
            <w:pPr>
              <w:spacing w:after="20"/>
              <w:ind w:left="20"/>
              <w:jc w:val="both"/>
            </w:pPr>
            <w:r>
              <w:rPr>
                <w:rFonts w:ascii="Times New Roman"/>
                <w:b w:val="false"/>
                <w:i w:val="false"/>
                <w:color w:val="000000"/>
                <w:sz w:val="20"/>
              </w:rPr>
              <w:t>
   б) проведение процедур по пересмотру и обновлению СОП;</w:t>
            </w:r>
          </w:p>
          <w:p>
            <w:pPr>
              <w:spacing w:after="20"/>
              <w:ind w:left="20"/>
              <w:jc w:val="both"/>
            </w:pPr>
            <w:r>
              <w:rPr>
                <w:rFonts w:ascii="Times New Roman"/>
                <w:b w:val="false"/>
                <w:i w:val="false"/>
                <w:color w:val="000000"/>
                <w:sz w:val="20"/>
              </w:rPr>
              <w:t>
   в) утверждение и датирование любых поправок и изменений в СОП;</w:t>
            </w:r>
          </w:p>
          <w:p>
            <w:pPr>
              <w:spacing w:after="20"/>
              <w:ind w:left="20"/>
              <w:jc w:val="both"/>
            </w:pPr>
            <w:r>
              <w:rPr>
                <w:rFonts w:ascii="Times New Roman"/>
                <w:b w:val="false"/>
                <w:i w:val="false"/>
                <w:color w:val="000000"/>
                <w:sz w:val="20"/>
              </w:rPr>
              <w:t>
   г) документы с регистрацией предыдущих СОП;</w:t>
            </w:r>
          </w:p>
          <w:p>
            <w:pPr>
              <w:spacing w:after="20"/>
              <w:ind w:left="20"/>
              <w:jc w:val="both"/>
            </w:pPr>
            <w:r>
              <w:rPr>
                <w:rFonts w:ascii="Times New Roman"/>
                <w:b w:val="false"/>
                <w:i w:val="false"/>
                <w:color w:val="000000"/>
                <w:sz w:val="20"/>
              </w:rPr>
              <w:t>
   д) наличие СОП, в частности, для следующих видов деятельности:</w:t>
            </w:r>
          </w:p>
          <w:p>
            <w:pPr>
              <w:spacing w:after="20"/>
              <w:ind w:left="20"/>
              <w:jc w:val="both"/>
            </w:pPr>
            <w:r>
              <w:rPr>
                <w:rFonts w:ascii="Times New Roman"/>
                <w:b w:val="false"/>
                <w:i w:val="false"/>
                <w:color w:val="000000"/>
                <w:sz w:val="20"/>
              </w:rPr>
              <w:t>
   е) получение; определение подлинности, чистоты, состава и стабильности; маркировка; обращение; отбор проб; использование; хранение исследуемых веществ (лекарственных средств) и образцов сравнения (контрольных образцов);</w:t>
            </w:r>
          </w:p>
          <w:p>
            <w:pPr>
              <w:spacing w:after="20"/>
              <w:ind w:left="20"/>
              <w:jc w:val="both"/>
            </w:pPr>
            <w:r>
              <w:rPr>
                <w:rFonts w:ascii="Times New Roman"/>
                <w:b w:val="false"/>
                <w:i w:val="false"/>
                <w:color w:val="000000"/>
                <w:sz w:val="20"/>
              </w:rPr>
              <w:t>
   ж) использование, обслуживание, очистка, калибровка и валидация измерительного оборудования, компьютеризированных систем и оборудования по контролю состояния окружающей среды;</w:t>
            </w:r>
          </w:p>
          <w:p>
            <w:pPr>
              <w:spacing w:after="20"/>
              <w:ind w:left="20"/>
              <w:jc w:val="both"/>
            </w:pPr>
            <w:r>
              <w:rPr>
                <w:rFonts w:ascii="Times New Roman"/>
                <w:b w:val="false"/>
                <w:i w:val="false"/>
                <w:color w:val="000000"/>
                <w:sz w:val="20"/>
              </w:rPr>
              <w:t>
   з) приготовление реактивов и дозирование исследуемых веществ (лекарственных средств) и образцов сравнения (контрольных образцов);</w:t>
            </w:r>
          </w:p>
          <w:p>
            <w:pPr>
              <w:spacing w:after="20"/>
              <w:ind w:left="20"/>
              <w:jc w:val="both"/>
            </w:pPr>
            <w:r>
              <w:rPr>
                <w:rFonts w:ascii="Times New Roman"/>
                <w:b w:val="false"/>
                <w:i w:val="false"/>
                <w:color w:val="000000"/>
                <w:sz w:val="20"/>
              </w:rPr>
              <w:t>
   и) регистрация данных, подготовка отчетов, хранение и извлечение документов и отчетов;</w:t>
            </w:r>
          </w:p>
          <w:p>
            <w:pPr>
              <w:spacing w:after="20"/>
              <w:ind w:left="20"/>
              <w:jc w:val="both"/>
            </w:pPr>
            <w:r>
              <w:rPr>
                <w:rFonts w:ascii="Times New Roman"/>
                <w:b w:val="false"/>
                <w:i w:val="false"/>
                <w:color w:val="000000"/>
                <w:sz w:val="20"/>
              </w:rPr>
              <w:t>
   к) подготовка и контроль состояния окружающей среды в помещениях с испытательными системами;</w:t>
            </w:r>
          </w:p>
          <w:p>
            <w:pPr>
              <w:spacing w:after="20"/>
              <w:ind w:left="20"/>
              <w:jc w:val="both"/>
            </w:pPr>
            <w:r>
              <w:rPr>
                <w:rFonts w:ascii="Times New Roman"/>
                <w:b w:val="false"/>
                <w:i w:val="false"/>
                <w:color w:val="000000"/>
                <w:sz w:val="20"/>
              </w:rPr>
              <w:t>
   л) получение, перемещение, размещение, описание, определение подлинности и обращение с испытательными системами;</w:t>
            </w:r>
          </w:p>
          <w:p>
            <w:pPr>
              <w:spacing w:after="20"/>
              <w:ind w:left="20"/>
              <w:jc w:val="both"/>
            </w:pPr>
            <w:r>
              <w:rPr>
                <w:rFonts w:ascii="Times New Roman"/>
                <w:b w:val="false"/>
                <w:i w:val="false"/>
                <w:color w:val="000000"/>
                <w:sz w:val="20"/>
              </w:rPr>
              <w:t>
   м) обращение с испытательными системами до начала, в течение и в конце исследования;</w:t>
            </w:r>
          </w:p>
          <w:p>
            <w:pPr>
              <w:spacing w:after="20"/>
              <w:ind w:left="20"/>
              <w:jc w:val="both"/>
            </w:pPr>
            <w:r>
              <w:rPr>
                <w:rFonts w:ascii="Times New Roman"/>
                <w:b w:val="false"/>
                <w:i w:val="false"/>
                <w:color w:val="000000"/>
                <w:sz w:val="20"/>
              </w:rPr>
              <w:t>
   н) утилизация тест-систем;</w:t>
            </w:r>
          </w:p>
          <w:p>
            <w:pPr>
              <w:spacing w:after="20"/>
              <w:ind w:left="20"/>
              <w:jc w:val="both"/>
            </w:pPr>
            <w:r>
              <w:rPr>
                <w:rFonts w:ascii="Times New Roman"/>
                <w:b w:val="false"/>
                <w:i w:val="false"/>
                <w:color w:val="000000"/>
                <w:sz w:val="20"/>
              </w:rPr>
              <w:t>
   о) использование очищающих средств и средств для контроля за сельскохозяйственными вредителями;</w:t>
            </w:r>
          </w:p>
          <w:p>
            <w:pPr>
              <w:spacing w:after="20"/>
              <w:ind w:left="20"/>
              <w:jc w:val="both"/>
            </w:pPr>
            <w:r>
              <w:rPr>
                <w:rFonts w:ascii="Times New Roman"/>
                <w:b w:val="false"/>
                <w:i w:val="false"/>
                <w:color w:val="000000"/>
                <w:sz w:val="20"/>
              </w:rPr>
              <w:t>
   п) меры программы обеспечения качества.</w:t>
            </w:r>
          </w:p>
          <w:p>
            <w:pPr>
              <w:spacing w:after="20"/>
              <w:ind w:left="20"/>
              <w:jc w:val="both"/>
            </w:pPr>
            <w:r>
              <w:rPr>
                <w:rFonts w:ascii="Times New Roman"/>
                <w:b w:val="false"/>
                <w:i w:val="false"/>
                <w:color w:val="000000"/>
                <w:sz w:val="20"/>
              </w:rPr>
              <w:t>
   6.6.11. Инспекция проведения исследования</w:t>
            </w:r>
          </w:p>
          <w:p>
            <w:pPr>
              <w:spacing w:after="20"/>
              <w:ind w:left="20"/>
              <w:jc w:val="both"/>
            </w:pPr>
            <w:r>
              <w:rPr>
                <w:rFonts w:ascii="Times New Roman"/>
                <w:b w:val="false"/>
                <w:i w:val="false"/>
                <w:color w:val="000000"/>
                <w:sz w:val="20"/>
              </w:rPr>
              <w:t>
   6.6.11.1. Цель – проверить наличие протокола, плана, программы исследования в письменной форме и соответствие протокола, плана, программы и проведения исследования принципам Стандарта.</w:t>
            </w:r>
          </w:p>
          <w:p>
            <w:pPr>
              <w:spacing w:after="20"/>
              <w:ind w:left="20"/>
              <w:jc w:val="both"/>
            </w:pPr>
            <w:r>
              <w:rPr>
                <w:rFonts w:ascii="Times New Roman"/>
                <w:b w:val="false"/>
                <w:i w:val="false"/>
                <w:color w:val="000000"/>
                <w:sz w:val="20"/>
              </w:rPr>
              <w:t>
   6.6.11.2. Инспектор проверяет:</w:t>
            </w:r>
          </w:p>
          <w:p>
            <w:pPr>
              <w:spacing w:after="20"/>
              <w:ind w:left="20"/>
              <w:jc w:val="both"/>
            </w:pPr>
            <w:r>
              <w:rPr>
                <w:rFonts w:ascii="Times New Roman"/>
                <w:b w:val="false"/>
                <w:i w:val="false"/>
                <w:color w:val="000000"/>
                <w:sz w:val="20"/>
              </w:rPr>
              <w:t>
   а) подпись руководителя исследования на протоколе, плане, программе исследования;</w:t>
            </w:r>
          </w:p>
          <w:p>
            <w:pPr>
              <w:spacing w:after="20"/>
              <w:ind w:left="20"/>
              <w:jc w:val="both"/>
            </w:pPr>
            <w:r>
              <w:rPr>
                <w:rFonts w:ascii="Times New Roman"/>
                <w:b w:val="false"/>
                <w:i w:val="false"/>
                <w:color w:val="000000"/>
                <w:sz w:val="20"/>
              </w:rPr>
              <w:t>
   б) подпись и датирование руководителем исследования любых изменений протокола, программы исследования;</w:t>
            </w:r>
          </w:p>
          <w:p>
            <w:pPr>
              <w:spacing w:after="20"/>
              <w:ind w:left="20"/>
              <w:jc w:val="both"/>
            </w:pPr>
            <w:r>
              <w:rPr>
                <w:rFonts w:ascii="Times New Roman"/>
                <w:b w:val="false"/>
                <w:i w:val="false"/>
                <w:color w:val="000000"/>
                <w:sz w:val="20"/>
              </w:rPr>
              <w:t>
   в) регистрацию даты согласования протокола, программы исследования со спонсором (в соответствующих случаях);</w:t>
            </w:r>
          </w:p>
          <w:p>
            <w:pPr>
              <w:spacing w:after="20"/>
              <w:ind w:left="20"/>
              <w:jc w:val="both"/>
            </w:pPr>
            <w:r>
              <w:rPr>
                <w:rFonts w:ascii="Times New Roman"/>
                <w:b w:val="false"/>
                <w:i w:val="false"/>
                <w:color w:val="000000"/>
                <w:sz w:val="20"/>
              </w:rPr>
              <w:t>
   г) соответствие измерений, наблюдений и результатов протоколу, плану, программе исследования и СОП;</w:t>
            </w:r>
          </w:p>
          <w:p>
            <w:pPr>
              <w:spacing w:after="20"/>
              <w:ind w:left="20"/>
              <w:jc w:val="both"/>
            </w:pPr>
            <w:r>
              <w:rPr>
                <w:rFonts w:ascii="Times New Roman"/>
                <w:b w:val="false"/>
                <w:i w:val="false"/>
                <w:color w:val="000000"/>
                <w:sz w:val="20"/>
              </w:rPr>
              <w:t>
   д) полная, своевременная, точная и разборчивая регистрация результатов этих измерений, наблюдений и результатов, подписание (или инициалы) и датирование;</w:t>
            </w:r>
          </w:p>
          <w:p>
            <w:pPr>
              <w:spacing w:after="20"/>
              <w:ind w:left="20"/>
              <w:jc w:val="both"/>
            </w:pPr>
            <w:r>
              <w:rPr>
                <w:rFonts w:ascii="Times New Roman"/>
                <w:b w:val="false"/>
                <w:i w:val="false"/>
                <w:color w:val="000000"/>
                <w:sz w:val="20"/>
              </w:rPr>
              <w:t>
   е) изменения в исходных данных, включая данные, хранимые в компьютерах, не внесли неясность в документы, включая причину изменения и лицо, ответственное за изменение, и дату, когда такое изменение было внесено;</w:t>
            </w:r>
          </w:p>
          <w:p>
            <w:pPr>
              <w:spacing w:after="20"/>
              <w:ind w:left="20"/>
              <w:jc w:val="both"/>
            </w:pPr>
            <w:r>
              <w:rPr>
                <w:rFonts w:ascii="Times New Roman"/>
                <w:b w:val="false"/>
                <w:i w:val="false"/>
                <w:color w:val="000000"/>
                <w:sz w:val="20"/>
              </w:rPr>
              <w:t>
   ж) идентификацию данных, созданных компьютером или сохраненных, наличие соответствующих процедур по защите этих данных от неуполномоченных изменений или утери;</w:t>
            </w:r>
          </w:p>
          <w:p>
            <w:pPr>
              <w:spacing w:after="20"/>
              <w:ind w:left="20"/>
              <w:jc w:val="both"/>
            </w:pPr>
            <w:r>
              <w:rPr>
                <w:rFonts w:ascii="Times New Roman"/>
                <w:b w:val="false"/>
                <w:i w:val="false"/>
                <w:color w:val="000000"/>
                <w:sz w:val="20"/>
              </w:rPr>
              <w:t>
   з) надежность, точность и валидацию компьютеризированных систем, использованных в исследовании;</w:t>
            </w:r>
          </w:p>
          <w:p>
            <w:pPr>
              <w:spacing w:after="20"/>
              <w:ind w:left="20"/>
              <w:jc w:val="both"/>
            </w:pPr>
            <w:r>
              <w:rPr>
                <w:rFonts w:ascii="Times New Roman"/>
                <w:b w:val="false"/>
                <w:i w:val="false"/>
                <w:color w:val="000000"/>
                <w:sz w:val="20"/>
              </w:rPr>
              <w:t>
   и) изучение и оценку непредвиденных обстоятельств, зарегистрированных в исходных данных;</w:t>
            </w:r>
          </w:p>
          <w:p>
            <w:pPr>
              <w:spacing w:after="20"/>
              <w:ind w:left="20"/>
              <w:jc w:val="both"/>
            </w:pPr>
            <w:r>
              <w:rPr>
                <w:rFonts w:ascii="Times New Roman"/>
                <w:b w:val="false"/>
                <w:i w:val="false"/>
                <w:color w:val="000000"/>
                <w:sz w:val="20"/>
              </w:rPr>
              <w:t>
   к) согласованность и полнота результатов в отчетах исследования (промежуточных и заключительных) и правильное отображение исходных данных.</w:t>
            </w:r>
          </w:p>
          <w:p>
            <w:pPr>
              <w:spacing w:after="20"/>
              <w:ind w:left="20"/>
              <w:jc w:val="both"/>
            </w:pPr>
            <w:r>
              <w:rPr>
                <w:rFonts w:ascii="Times New Roman"/>
                <w:b w:val="false"/>
                <w:i w:val="false"/>
                <w:color w:val="000000"/>
                <w:sz w:val="20"/>
              </w:rPr>
              <w:t>
   6.6.12. Инспекция представления отчета о результатах исследования</w:t>
            </w:r>
          </w:p>
          <w:p>
            <w:pPr>
              <w:spacing w:after="20"/>
              <w:ind w:left="20"/>
              <w:jc w:val="both"/>
            </w:pPr>
            <w:r>
              <w:rPr>
                <w:rFonts w:ascii="Times New Roman"/>
                <w:b w:val="false"/>
                <w:i w:val="false"/>
                <w:color w:val="000000"/>
                <w:sz w:val="20"/>
              </w:rPr>
              <w:t>
   6.6.12.1. Цель – определить соответствие заключительных отчетов принципам Стандарта.</w:t>
            </w:r>
          </w:p>
          <w:p>
            <w:pPr>
              <w:spacing w:after="20"/>
              <w:ind w:left="20"/>
              <w:jc w:val="both"/>
            </w:pPr>
            <w:r>
              <w:rPr>
                <w:rFonts w:ascii="Times New Roman"/>
                <w:b w:val="false"/>
                <w:i w:val="false"/>
                <w:color w:val="000000"/>
                <w:sz w:val="20"/>
              </w:rPr>
              <w:t>
   6.6.12.2. При изучении заключительного отчета инспектор проверяет:</w:t>
            </w:r>
          </w:p>
          <w:p>
            <w:pPr>
              <w:spacing w:after="20"/>
              <w:ind w:left="20"/>
              <w:jc w:val="both"/>
            </w:pPr>
            <w:r>
              <w:rPr>
                <w:rFonts w:ascii="Times New Roman"/>
                <w:b w:val="false"/>
                <w:i w:val="false"/>
                <w:color w:val="000000"/>
                <w:sz w:val="20"/>
              </w:rPr>
              <w:t>
   а) подпись и датирование руководителем исследования для подтверждения ответственности за валидацию исследования и соответствие проведенного исследования принципам Стандарта;</w:t>
            </w:r>
          </w:p>
          <w:p>
            <w:pPr>
              <w:spacing w:after="20"/>
              <w:ind w:left="20"/>
              <w:jc w:val="both"/>
            </w:pPr>
            <w:r>
              <w:rPr>
                <w:rFonts w:ascii="Times New Roman"/>
                <w:b w:val="false"/>
                <w:i w:val="false"/>
                <w:color w:val="000000"/>
                <w:sz w:val="20"/>
              </w:rPr>
              <w:t>
   б) подпись и датирование другими ведущими учеными в том случае, если прилагаются отчеты из сопутствующих дисциплин;</w:t>
            </w:r>
          </w:p>
          <w:p>
            <w:pPr>
              <w:spacing w:after="20"/>
              <w:ind w:left="20"/>
              <w:jc w:val="both"/>
            </w:pPr>
            <w:r>
              <w:rPr>
                <w:rFonts w:ascii="Times New Roman"/>
                <w:b w:val="false"/>
                <w:i w:val="false"/>
                <w:color w:val="000000"/>
                <w:sz w:val="20"/>
              </w:rPr>
              <w:t>
   в) включение отчета об обеспечении качества, подпись и датирование;</w:t>
            </w:r>
          </w:p>
          <w:p>
            <w:pPr>
              <w:spacing w:after="20"/>
              <w:ind w:left="20"/>
              <w:jc w:val="both"/>
            </w:pPr>
            <w:r>
              <w:rPr>
                <w:rFonts w:ascii="Times New Roman"/>
                <w:b w:val="false"/>
                <w:i w:val="false"/>
                <w:color w:val="000000"/>
                <w:sz w:val="20"/>
              </w:rPr>
              <w:t>
   г) внесение изменений ответственным персоналом;</w:t>
            </w:r>
          </w:p>
          <w:p>
            <w:pPr>
              <w:spacing w:after="20"/>
              <w:ind w:left="20"/>
              <w:jc w:val="both"/>
            </w:pPr>
            <w:r>
              <w:rPr>
                <w:rFonts w:ascii="Times New Roman"/>
                <w:b w:val="false"/>
                <w:i w:val="false"/>
                <w:color w:val="000000"/>
                <w:sz w:val="20"/>
              </w:rPr>
              <w:t>
   д) архивное размещение всех образцов, проб и исходных данных.</w:t>
            </w:r>
          </w:p>
          <w:p>
            <w:pPr>
              <w:spacing w:after="20"/>
              <w:ind w:left="20"/>
              <w:jc w:val="both"/>
            </w:pPr>
            <w:r>
              <w:rPr>
                <w:rFonts w:ascii="Times New Roman"/>
                <w:b w:val="false"/>
                <w:i w:val="false"/>
                <w:color w:val="000000"/>
                <w:sz w:val="20"/>
              </w:rPr>
              <w:t>
   6.6.13. Инспекция хранения данных</w:t>
            </w:r>
          </w:p>
          <w:p>
            <w:pPr>
              <w:spacing w:after="20"/>
              <w:ind w:left="20"/>
              <w:jc w:val="both"/>
            </w:pPr>
            <w:r>
              <w:rPr>
                <w:rFonts w:ascii="Times New Roman"/>
                <w:b w:val="false"/>
                <w:i w:val="false"/>
                <w:color w:val="000000"/>
                <w:sz w:val="20"/>
              </w:rPr>
              <w:t>
   6.6.13.1. Цель – определить, имеет ли испытательная лаборатория соответствующие документы и отчеты, меры предосторожности по безопасному хранению документов и материалов;</w:t>
            </w:r>
          </w:p>
          <w:p>
            <w:pPr>
              <w:spacing w:after="20"/>
              <w:ind w:left="20"/>
              <w:jc w:val="both"/>
            </w:pPr>
            <w:r>
              <w:rPr>
                <w:rFonts w:ascii="Times New Roman"/>
                <w:b w:val="false"/>
                <w:i w:val="false"/>
                <w:color w:val="000000"/>
                <w:sz w:val="20"/>
              </w:rPr>
              <w:t>
   6.6.13.2. Инспектор проверяет:</w:t>
            </w:r>
          </w:p>
          <w:p>
            <w:pPr>
              <w:spacing w:after="20"/>
              <w:ind w:left="20"/>
              <w:jc w:val="both"/>
            </w:pPr>
            <w:r>
              <w:rPr>
                <w:rFonts w:ascii="Times New Roman"/>
                <w:b w:val="false"/>
                <w:i w:val="false"/>
                <w:color w:val="000000"/>
                <w:sz w:val="20"/>
              </w:rPr>
              <w:t>
   а) утверждение лица, ответственного за архив;</w:t>
            </w:r>
          </w:p>
          <w:p>
            <w:pPr>
              <w:spacing w:after="20"/>
              <w:ind w:left="20"/>
              <w:jc w:val="both"/>
            </w:pPr>
            <w:r>
              <w:rPr>
                <w:rFonts w:ascii="Times New Roman"/>
                <w:b w:val="false"/>
                <w:i w:val="false"/>
                <w:color w:val="000000"/>
                <w:sz w:val="20"/>
              </w:rPr>
              <w:t>
   б) устройства для хранения протоколов, планов, программ исследований, исходных данных (включая прерванные доклинические (неклинические) исследования), заключительных отчетов, образцов, проб и документов об образовании и обучении персонала;</w:t>
            </w:r>
          </w:p>
          <w:p>
            <w:pPr>
              <w:spacing w:after="20"/>
              <w:ind w:left="20"/>
              <w:jc w:val="both"/>
            </w:pPr>
            <w:r>
              <w:rPr>
                <w:rFonts w:ascii="Times New Roman"/>
                <w:b w:val="false"/>
                <w:i w:val="false"/>
                <w:color w:val="000000"/>
                <w:sz w:val="20"/>
              </w:rPr>
              <w:t>
   в) процедуры для извлечения сохраненных данных;</w:t>
            </w:r>
          </w:p>
          <w:p>
            <w:pPr>
              <w:spacing w:after="20"/>
              <w:ind w:left="20"/>
              <w:jc w:val="both"/>
            </w:pPr>
            <w:r>
              <w:rPr>
                <w:rFonts w:ascii="Times New Roman"/>
                <w:b w:val="false"/>
                <w:i w:val="false"/>
                <w:color w:val="000000"/>
                <w:sz w:val="20"/>
              </w:rPr>
              <w:t>
   г) ограничение доступа к архивам только для уполномоченного персонала, хранение документов у персонала, имеющего доступ к исходным данным, слайдам;</w:t>
            </w:r>
          </w:p>
          <w:p>
            <w:pPr>
              <w:spacing w:after="20"/>
              <w:ind w:left="20"/>
              <w:jc w:val="both"/>
            </w:pPr>
            <w:r>
              <w:rPr>
                <w:rFonts w:ascii="Times New Roman"/>
                <w:b w:val="false"/>
                <w:i w:val="false"/>
                <w:color w:val="000000"/>
                <w:sz w:val="20"/>
              </w:rPr>
              <w:t>
   д) опись материалов, удаленных и восстановленных в архиве;</w:t>
            </w:r>
          </w:p>
          <w:p>
            <w:pPr>
              <w:spacing w:after="20"/>
              <w:ind w:left="20"/>
              <w:jc w:val="both"/>
            </w:pPr>
            <w:r>
              <w:rPr>
                <w:rFonts w:ascii="Times New Roman"/>
                <w:b w:val="false"/>
                <w:i w:val="false"/>
                <w:color w:val="000000"/>
                <w:sz w:val="20"/>
              </w:rPr>
              <w:t>
   е) сохранение документов и материалов в течение требуемого периода времени, защита от утери или повреждения пожаром, неблагоприятными условиями окружающей среды.</w:t>
            </w:r>
          </w:p>
          <w:p>
            <w:pPr>
              <w:spacing w:after="20"/>
              <w:ind w:left="20"/>
              <w:jc w:val="both"/>
            </w:pPr>
            <w:r>
              <w:rPr>
                <w:rFonts w:ascii="Times New Roman"/>
                <w:b w:val="false"/>
                <w:i w:val="false"/>
                <w:color w:val="000000"/>
                <w:sz w:val="20"/>
              </w:rPr>
              <w:t>
   6.7. Аудит исследований</w:t>
            </w:r>
          </w:p>
          <w:p>
            <w:pPr>
              <w:spacing w:after="20"/>
              <w:ind w:left="20"/>
              <w:jc w:val="both"/>
            </w:pPr>
            <w:r>
              <w:rPr>
                <w:rFonts w:ascii="Times New Roman"/>
                <w:b w:val="false"/>
                <w:i w:val="false"/>
                <w:color w:val="000000"/>
                <w:sz w:val="20"/>
              </w:rPr>
              <w:t>
   6.7.1. Инспекции испытательных лабораторий включают в себя аудит исследований (текущих и завершенных). Проведение специфических аудитов исследований является требованием уполномоченного органа, и проводятся независимо от инспекций испытательных лабораторий. В силу существования большого разнообразия исследований, подвергаемые аудиту, применяется только общее руководство. Инспекторам и другим лицам, принимающим участие в аудите исследований, потребуется высказать собственное мнение о характере и масштабе исследований. Цель – восстановление исследования путем сравнения заключительного отчета с протоколом, планом, программой исследования, соответствующими СОП, исходными данными и другими сохраненными материалами.</w:t>
            </w:r>
          </w:p>
          <w:p>
            <w:pPr>
              <w:spacing w:after="20"/>
              <w:ind w:left="20"/>
              <w:jc w:val="both"/>
            </w:pPr>
            <w:r>
              <w:rPr>
                <w:rFonts w:ascii="Times New Roman"/>
                <w:b w:val="false"/>
                <w:i w:val="false"/>
                <w:color w:val="000000"/>
                <w:sz w:val="20"/>
              </w:rPr>
              <w:t>
   6.7.2. При проведении аудита исследования инспектору следует:</w:t>
            </w:r>
          </w:p>
          <w:p>
            <w:pPr>
              <w:spacing w:after="20"/>
              <w:ind w:left="20"/>
              <w:jc w:val="both"/>
            </w:pPr>
            <w:r>
              <w:rPr>
                <w:rFonts w:ascii="Times New Roman"/>
                <w:b w:val="false"/>
                <w:i w:val="false"/>
                <w:color w:val="000000"/>
                <w:sz w:val="20"/>
              </w:rPr>
              <w:t>
   а) получить фамилии, описание работы и краткое изложение обучения и опыта выбранного персонала, вовлеченного в проведение исследования;</w:t>
            </w:r>
          </w:p>
          <w:p>
            <w:pPr>
              <w:spacing w:after="20"/>
              <w:ind w:left="20"/>
              <w:jc w:val="both"/>
            </w:pPr>
            <w:r>
              <w:rPr>
                <w:rFonts w:ascii="Times New Roman"/>
                <w:b w:val="false"/>
                <w:i w:val="false"/>
                <w:color w:val="000000"/>
                <w:sz w:val="20"/>
              </w:rPr>
              <w:t>
   б) проверить наличие достаточного количества персонала, обученного в определенных областях для проведения исследования;</w:t>
            </w:r>
          </w:p>
          <w:p>
            <w:pPr>
              <w:spacing w:after="20"/>
              <w:ind w:left="20"/>
              <w:jc w:val="both"/>
            </w:pPr>
            <w:r>
              <w:rPr>
                <w:rFonts w:ascii="Times New Roman"/>
                <w:b w:val="false"/>
                <w:i w:val="false"/>
                <w:color w:val="000000"/>
                <w:sz w:val="20"/>
              </w:rPr>
              <w:t>
   в) изучить отдельные приспособления или специальное оборудование, используемое в исследовании, проверить документы о калибровке, эксплуатации и обслуживании такого оборудования;</w:t>
            </w:r>
          </w:p>
          <w:p>
            <w:pPr>
              <w:spacing w:after="20"/>
              <w:ind w:left="20"/>
              <w:jc w:val="both"/>
            </w:pPr>
            <w:r>
              <w:rPr>
                <w:rFonts w:ascii="Times New Roman"/>
                <w:b w:val="false"/>
                <w:i w:val="false"/>
                <w:color w:val="000000"/>
                <w:sz w:val="20"/>
              </w:rPr>
              <w:t>
   г) изучить документы в отношении стабильности испытуемого вещества (лекарственного средства), результаты анализов исследуемого вещества (лекарственного средства) и образцов сравнения (контрольных образцов);</w:t>
            </w:r>
          </w:p>
          <w:p>
            <w:pPr>
              <w:spacing w:after="20"/>
              <w:ind w:left="20"/>
              <w:jc w:val="both"/>
            </w:pPr>
            <w:r>
              <w:rPr>
                <w:rFonts w:ascii="Times New Roman"/>
                <w:b w:val="false"/>
                <w:i w:val="false"/>
                <w:color w:val="000000"/>
                <w:sz w:val="20"/>
              </w:rPr>
              <w:t>
   д) попытаться определить, по возможности при помощи интервьюирования, распределение обязанностей среди выбранных сотрудников, принимающих участие в исследовании, с целью подтверждения, что эти лица имели достаточно времени для выполнения своих задач, указанных в протоколе, плане, программе исследования или отчете;</w:t>
            </w:r>
          </w:p>
          <w:p>
            <w:pPr>
              <w:spacing w:after="20"/>
              <w:ind w:left="20"/>
              <w:jc w:val="both"/>
            </w:pPr>
            <w:r>
              <w:rPr>
                <w:rFonts w:ascii="Times New Roman"/>
                <w:b w:val="false"/>
                <w:i w:val="false"/>
                <w:color w:val="000000"/>
                <w:sz w:val="20"/>
              </w:rPr>
              <w:t>
   е) получить копии всех документов в отношении процедур контроля или являющихся неотъемлемой частью исследования, включая:</w:t>
            </w:r>
          </w:p>
          <w:p>
            <w:pPr>
              <w:spacing w:after="20"/>
              <w:ind w:left="20"/>
              <w:jc w:val="both"/>
            </w:pPr>
            <w:r>
              <w:rPr>
                <w:rFonts w:ascii="Times New Roman"/>
                <w:b w:val="false"/>
                <w:i w:val="false"/>
                <w:color w:val="000000"/>
                <w:sz w:val="20"/>
              </w:rPr>
              <w:t>
   ж) протокол, план, программа исследования;</w:t>
            </w:r>
          </w:p>
          <w:p>
            <w:pPr>
              <w:spacing w:after="20"/>
              <w:ind w:left="20"/>
              <w:jc w:val="both"/>
            </w:pPr>
            <w:r>
              <w:rPr>
                <w:rFonts w:ascii="Times New Roman"/>
                <w:b w:val="false"/>
                <w:i w:val="false"/>
                <w:color w:val="000000"/>
                <w:sz w:val="20"/>
              </w:rPr>
              <w:t>
   з) используемые СОП на момент проведения исследования;</w:t>
            </w:r>
          </w:p>
          <w:p>
            <w:pPr>
              <w:spacing w:after="20"/>
              <w:ind w:left="20"/>
              <w:jc w:val="both"/>
            </w:pPr>
            <w:r>
              <w:rPr>
                <w:rFonts w:ascii="Times New Roman"/>
                <w:b w:val="false"/>
                <w:i w:val="false"/>
                <w:color w:val="000000"/>
                <w:sz w:val="20"/>
              </w:rPr>
              <w:t>
   и) журналы учета, лабораторные журналы, документы, рабочие таблицы, распечатки сохраненных в компьютере данных; в соответствующих случаях поверочные расчеты;</w:t>
            </w:r>
          </w:p>
          <w:p>
            <w:pPr>
              <w:spacing w:after="20"/>
              <w:ind w:left="20"/>
              <w:jc w:val="both"/>
            </w:pPr>
            <w:r>
              <w:rPr>
                <w:rFonts w:ascii="Times New Roman"/>
                <w:b w:val="false"/>
                <w:i w:val="false"/>
                <w:color w:val="000000"/>
                <w:sz w:val="20"/>
              </w:rPr>
              <w:t>
   к) заключительный отчет;</w:t>
            </w:r>
          </w:p>
          <w:p>
            <w:pPr>
              <w:spacing w:after="20"/>
              <w:ind w:left="20"/>
              <w:jc w:val="both"/>
            </w:pPr>
            <w:r>
              <w:rPr>
                <w:rFonts w:ascii="Times New Roman"/>
                <w:b w:val="false"/>
                <w:i w:val="false"/>
                <w:color w:val="000000"/>
                <w:sz w:val="20"/>
              </w:rPr>
              <w:t>
   л) если в исследованиях использовались, инспекторам следует зарегистрировать определенное количество отдельных животных с момента их прибытия в испытательную лабораторию до аутопсии. Инспекторам следует</w:t>
            </w:r>
          </w:p>
          <w:p>
            <w:pPr>
              <w:spacing w:after="20"/>
              <w:ind w:left="20"/>
              <w:jc w:val="both"/>
            </w:pPr>
            <w:r>
              <w:rPr>
                <w:rFonts w:ascii="Times New Roman"/>
                <w:b w:val="false"/>
                <w:i w:val="false"/>
                <w:color w:val="000000"/>
                <w:sz w:val="20"/>
              </w:rPr>
              <w:t>
   м) обратить внимание на следующие записи: масса тела животных, прием пищи, воды, дозирование и введение препаратов, клинические наблюдения и результаты аутопсии, клиническая химия; патология.</w:t>
            </w:r>
          </w:p>
          <w:p>
            <w:pPr>
              <w:spacing w:after="20"/>
              <w:ind w:left="20"/>
              <w:jc w:val="both"/>
            </w:pPr>
            <w:r>
              <w:rPr>
                <w:rFonts w:ascii="Times New Roman"/>
                <w:b w:val="false"/>
                <w:i w:val="false"/>
                <w:color w:val="000000"/>
                <w:sz w:val="20"/>
              </w:rPr>
              <w:t>
   6.8. Завершение инспекции или аудита исследования</w:t>
            </w:r>
          </w:p>
          <w:p>
            <w:pPr>
              <w:spacing w:after="20"/>
              <w:ind w:left="20"/>
              <w:jc w:val="both"/>
            </w:pPr>
            <w:r>
              <w:rPr>
                <w:rFonts w:ascii="Times New Roman"/>
                <w:b w:val="false"/>
                <w:i w:val="false"/>
                <w:color w:val="000000"/>
                <w:sz w:val="20"/>
              </w:rPr>
              <w:t>
   6.8.1. После окончания инспекции испытательной лаборатории или аудита исследования инспектор готовится к обсуждению результатов с представителями испытательной лаборатории на заключительной конференции и подготавливает заключительный отчет (отчет о проведенной инспекции).</w:t>
            </w:r>
          </w:p>
          <w:p>
            <w:pPr>
              <w:spacing w:after="20"/>
              <w:ind w:left="20"/>
              <w:jc w:val="both"/>
            </w:pPr>
            <w:r>
              <w:rPr>
                <w:rFonts w:ascii="Times New Roman"/>
                <w:b w:val="false"/>
                <w:i w:val="false"/>
                <w:color w:val="000000"/>
                <w:sz w:val="20"/>
              </w:rPr>
              <w:t>
   6.8.2. При обнаружении незначительных отклонений, в частности при инспекции крупной испытательной лаборатории, от требований принципов Стандарта, которые не оказывают серьезного влияния на достоверность исследований, проводимых в этой испытательной лаборатории. В таких случаях инспектор в отчете сообщает о том, что испытательная лаборатория работает согласно критериям Стандарта. Тем не менее, детали незначительных несоответствий или мелких погрешностей предоставляются руководству испытательной лаборатории. Руководство дает гарантии о принятии соответствующих мер по их устранению. Инспектор посещает испытательную лабораторию через заранее оговоренный период времени и проверяет принятие соответствующих мер.</w:t>
            </w:r>
          </w:p>
          <w:p>
            <w:pPr>
              <w:spacing w:after="20"/>
              <w:ind w:left="20"/>
              <w:jc w:val="both"/>
            </w:pPr>
            <w:r>
              <w:rPr>
                <w:rFonts w:ascii="Times New Roman"/>
                <w:b w:val="false"/>
                <w:i w:val="false"/>
                <w:color w:val="000000"/>
                <w:sz w:val="20"/>
              </w:rPr>
              <w:t>
   6.8.3. Если в течение инспекции испытательной лаборатории или аудита исследования обнаружены серьезные отклонения от принципов Стандарта, которые, по мнению инспектора, влияют на достоверность исследования или на другие исследования, проводимые в испытательной лаборатории, инспектор сообщает об этом в уполномоченный орган. Действия, предпринимаемые этим органом и (или) уполномоченным органом в зависимости от ситуации, будут зависеть от характера и объема несоответствия, а также от юридических и (или) административных положений в программе соблюдения Стандарта.</w:t>
            </w:r>
          </w:p>
          <w:p>
            <w:pPr>
              <w:spacing w:after="20"/>
              <w:ind w:left="20"/>
              <w:jc w:val="both"/>
            </w:pPr>
            <w:r>
              <w:rPr>
                <w:rFonts w:ascii="Times New Roman"/>
                <w:b w:val="false"/>
                <w:i w:val="false"/>
                <w:color w:val="000000"/>
                <w:sz w:val="20"/>
              </w:rPr>
              <w:t>
   6.8.4. Если аудит исследования проводился по запросу уполномоченного органа, необходимо подготовить полный отчет о результатах и отправить в уполномоченный орган.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1808"/>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Арбитражные процедуры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или разногласия во мнениях между инспекторами и руководством испытательной лаборатории разрешаются в ходе инспекции испытательной лаборатории или аудита исследований. Испытательная лаборатория заявляет протест против результатов инспекции испытательной лаборатории или аудита исследований на соответствие Стандарту и (или) в отношении действий в уполномоченный орган.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Обеспечение качества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Система управления обеспечением качества</w:t>
            </w:r>
          </w:p>
          <w:p>
            <w:pPr>
              <w:spacing w:after="20"/>
              <w:ind w:left="20"/>
              <w:jc w:val="both"/>
            </w:pPr>
            <w:r>
              <w:rPr>
                <w:rFonts w:ascii="Times New Roman"/>
                <w:b w:val="false"/>
                <w:i w:val="false"/>
                <w:color w:val="000000"/>
                <w:sz w:val="20"/>
              </w:rPr>
              <w:t>
   8.1.1. Руководство испытательной лаборатории несет ответственность за обеспечение работы испытательной лаборатории в целом в соответствии со Стандартом. Руководство при необходимости делегирует обозначенные виды деятельности по контролю среднему звену руководства, но общая ответственность сохраняется. Неотъемлемой ответственностью руководства является назначение и подбор необходимого количества квалифицированного и опытного персонала, включая сотрудников, необходимых для выполнения функций отдела обеспечения качества (далее – ОК).</w:t>
            </w:r>
          </w:p>
          <w:p>
            <w:pPr>
              <w:spacing w:after="20"/>
              <w:ind w:left="20"/>
              <w:jc w:val="both"/>
            </w:pPr>
            <w:r>
              <w:rPr>
                <w:rFonts w:ascii="Times New Roman"/>
                <w:b w:val="false"/>
                <w:i w:val="false"/>
                <w:color w:val="000000"/>
                <w:sz w:val="20"/>
              </w:rPr>
              <w:t>
   8.1.2. В обязанности руководителя входит назначение соответствующего квалифицированного персонала для выполнения независимой функции ОК. Делегирование функций ОК, связанных с выполнением Стандарта, не нарушает независимость функционирования отдела ОК и не приводит вовлечение персонала СОК в проведение исследования, кроме исполнения функции контроля. Лицо, назначенное ответственным за ОК, имеет прямой доступ к разным уровням руководства, в частности к руководству испытательной лаборатории высшего уровня.</w:t>
            </w:r>
          </w:p>
          <w:p>
            <w:pPr>
              <w:spacing w:after="20"/>
              <w:ind w:left="20"/>
              <w:jc w:val="both"/>
            </w:pPr>
            <w:r>
              <w:rPr>
                <w:rFonts w:ascii="Times New Roman"/>
                <w:b w:val="false"/>
                <w:i w:val="false"/>
                <w:color w:val="000000"/>
                <w:sz w:val="20"/>
              </w:rPr>
              <w:t>
   8.2. Квалификация персонала отдела обеспечения качества</w:t>
            </w:r>
          </w:p>
          <w:p>
            <w:pPr>
              <w:spacing w:after="20"/>
              <w:ind w:left="20"/>
              <w:jc w:val="both"/>
            </w:pPr>
            <w:r>
              <w:rPr>
                <w:rFonts w:ascii="Times New Roman"/>
                <w:b w:val="false"/>
                <w:i w:val="false"/>
                <w:color w:val="000000"/>
                <w:sz w:val="20"/>
              </w:rPr>
              <w:t>
   8.2.1. Персонал отдела качества владеет соответствующими знаниями и имеет опыт, необходимый для исполнения своих обязанностей. Сотрудники ознакомлены с процедурами исследований, стандартами и системами, используемыми в испытательной лаборатории или в ее интересах.</w:t>
            </w:r>
          </w:p>
          <w:p>
            <w:pPr>
              <w:spacing w:after="20"/>
              <w:ind w:left="20"/>
              <w:jc w:val="both"/>
            </w:pPr>
            <w:r>
              <w:rPr>
                <w:rFonts w:ascii="Times New Roman"/>
                <w:b w:val="false"/>
                <w:i w:val="false"/>
                <w:color w:val="000000"/>
                <w:sz w:val="20"/>
              </w:rPr>
              <w:t>
   8.2.2. Лицам, назначенных для исполнения функций ОК, необходимо иметь представление об основных принципах контролируемых видов деятельности. Они также имеют четкое представление о Стандарте.</w:t>
            </w:r>
          </w:p>
          <w:p>
            <w:pPr>
              <w:spacing w:after="20"/>
              <w:ind w:left="20"/>
              <w:jc w:val="both"/>
            </w:pPr>
            <w:r>
              <w:rPr>
                <w:rFonts w:ascii="Times New Roman"/>
                <w:b w:val="false"/>
                <w:i w:val="false"/>
                <w:color w:val="000000"/>
                <w:sz w:val="20"/>
              </w:rPr>
              <w:t>
   8.2.3. В случае отсутствия специальных знаний или необходимости получения заключения еще одного лица рекомендуется обращение за экспертной помощью. Руководство обеспечивает наличие документально изложенной программы обучения, охватывающей все аспекты работы отдела ОК. При необходимости организовывается посещение внутренних и внешних семинаров и курсов. Рекомендуется обучение методам общения и улаживания конфликтов. Обучение проводится постоянно и подлежит периодической проверке.</w:t>
            </w:r>
          </w:p>
          <w:p>
            <w:pPr>
              <w:spacing w:after="20"/>
              <w:ind w:left="20"/>
              <w:jc w:val="both"/>
            </w:pPr>
            <w:r>
              <w:rPr>
                <w:rFonts w:ascii="Times New Roman"/>
                <w:b w:val="false"/>
                <w:i w:val="false"/>
                <w:color w:val="000000"/>
                <w:sz w:val="20"/>
              </w:rPr>
              <w:t>
   8.2.4. Обучение персонала ОК оформляется документально, а также оценивается их компетентность. Эти документы постоянно обновляется и сохраняется.</w:t>
            </w:r>
          </w:p>
          <w:p>
            <w:pPr>
              <w:spacing w:after="20"/>
              <w:ind w:left="20"/>
              <w:jc w:val="both"/>
            </w:pPr>
            <w:r>
              <w:rPr>
                <w:rFonts w:ascii="Times New Roman"/>
                <w:b w:val="false"/>
                <w:i w:val="false"/>
                <w:color w:val="000000"/>
                <w:sz w:val="20"/>
              </w:rPr>
              <w:t>
   8.3. Участие отдела обеспечения качества в разработке стандартных операционных процедур и протоколов, планов, программ исследований</w:t>
            </w:r>
          </w:p>
          <w:p>
            <w:pPr>
              <w:spacing w:after="20"/>
              <w:ind w:left="20"/>
              <w:jc w:val="both"/>
            </w:pPr>
            <w:r>
              <w:rPr>
                <w:rFonts w:ascii="Times New Roman"/>
                <w:b w:val="false"/>
                <w:i w:val="false"/>
                <w:color w:val="000000"/>
                <w:sz w:val="20"/>
              </w:rPr>
              <w:t>
   8.3.1. Руководство несет ответственность за разработку, выпуск, распространение и сохранение СОП. Персонал ОК участвует в подготовке СОП, а так же, в большей степени, проверяют СОП перед применением с целью оценки их ясности и соответствия принципам Стандарта.</w:t>
            </w:r>
          </w:p>
          <w:p>
            <w:pPr>
              <w:spacing w:after="20"/>
              <w:ind w:left="20"/>
              <w:jc w:val="both"/>
            </w:pPr>
            <w:r>
              <w:rPr>
                <w:rFonts w:ascii="Times New Roman"/>
                <w:b w:val="false"/>
                <w:i w:val="false"/>
                <w:color w:val="000000"/>
                <w:sz w:val="20"/>
              </w:rPr>
              <w:t>
   8.3.2. Руководство обеспечивает доступность протокола, плана, программы исследования персоналу ОК перед началом исследования, с целью:</w:t>
            </w:r>
          </w:p>
          <w:p>
            <w:pPr>
              <w:spacing w:after="20"/>
              <w:ind w:left="20"/>
              <w:jc w:val="both"/>
            </w:pPr>
            <w:r>
              <w:rPr>
                <w:rFonts w:ascii="Times New Roman"/>
                <w:b w:val="false"/>
                <w:i w:val="false"/>
                <w:color w:val="000000"/>
                <w:sz w:val="20"/>
              </w:rPr>
              <w:t>
   8.3.3. контроля соответствия протокола, плана, программы исследования принципам Стандарта;</w:t>
            </w:r>
          </w:p>
          <w:p>
            <w:pPr>
              <w:spacing w:after="20"/>
              <w:ind w:left="20"/>
              <w:jc w:val="both"/>
            </w:pPr>
            <w:r>
              <w:rPr>
                <w:rFonts w:ascii="Times New Roman"/>
                <w:b w:val="false"/>
                <w:i w:val="false"/>
                <w:color w:val="000000"/>
                <w:sz w:val="20"/>
              </w:rPr>
              <w:t>
   8.3.4. оценки согласованности протокола, плана, программы исследования;</w:t>
            </w:r>
          </w:p>
          <w:p>
            <w:pPr>
              <w:spacing w:after="20"/>
              <w:ind w:left="20"/>
              <w:jc w:val="both"/>
            </w:pPr>
            <w:r>
              <w:rPr>
                <w:rFonts w:ascii="Times New Roman"/>
                <w:b w:val="false"/>
                <w:i w:val="false"/>
                <w:color w:val="000000"/>
                <w:sz w:val="20"/>
              </w:rPr>
              <w:t>
   8.3.5. определения важных стадий исследования;</w:t>
            </w:r>
          </w:p>
          <w:p>
            <w:pPr>
              <w:spacing w:after="20"/>
              <w:ind w:left="20"/>
              <w:jc w:val="both"/>
            </w:pPr>
            <w:r>
              <w:rPr>
                <w:rFonts w:ascii="Times New Roman"/>
                <w:b w:val="false"/>
                <w:i w:val="false"/>
                <w:color w:val="000000"/>
                <w:sz w:val="20"/>
              </w:rPr>
              <w:t>
   8.3.6. планирования программы контроля в отношении исследования.</w:t>
            </w:r>
          </w:p>
          <w:p>
            <w:pPr>
              <w:spacing w:after="20"/>
              <w:ind w:left="20"/>
              <w:jc w:val="both"/>
            </w:pPr>
            <w:r>
              <w:rPr>
                <w:rFonts w:ascii="Times New Roman"/>
                <w:b w:val="false"/>
                <w:i w:val="false"/>
                <w:color w:val="000000"/>
                <w:sz w:val="20"/>
              </w:rPr>
              <w:t>
   8.3.7. После внесения изменений в протокол, план, программу исследования копии протокола, плана, программы передается в ОК для упрощения контроля исследования.</w:t>
            </w:r>
          </w:p>
          <w:p>
            <w:pPr>
              <w:spacing w:after="20"/>
              <w:ind w:left="20"/>
              <w:jc w:val="both"/>
            </w:pPr>
            <w:r>
              <w:rPr>
                <w:rFonts w:ascii="Times New Roman"/>
                <w:b w:val="false"/>
                <w:i w:val="false"/>
                <w:color w:val="000000"/>
                <w:sz w:val="20"/>
              </w:rPr>
              <w:t>
   8.4. Инспекции службы обеспечения качества</w:t>
            </w:r>
          </w:p>
          <w:p>
            <w:pPr>
              <w:spacing w:after="20"/>
              <w:ind w:left="20"/>
              <w:jc w:val="both"/>
            </w:pPr>
            <w:r>
              <w:rPr>
                <w:rFonts w:ascii="Times New Roman"/>
                <w:b w:val="false"/>
                <w:i w:val="false"/>
                <w:color w:val="000000"/>
                <w:sz w:val="20"/>
              </w:rPr>
              <w:t>
   8.4.1. Программы ОК основаны на следующих видах инспекций:</w:t>
            </w:r>
          </w:p>
          <w:p>
            <w:pPr>
              <w:spacing w:after="20"/>
              <w:ind w:left="20"/>
              <w:jc w:val="both"/>
            </w:pPr>
            <w:r>
              <w:rPr>
                <w:rFonts w:ascii="Times New Roman"/>
                <w:b w:val="false"/>
                <w:i w:val="false"/>
                <w:color w:val="000000"/>
                <w:sz w:val="20"/>
              </w:rPr>
              <w:t>
   8.4.2. инспекции исследований, включающие в себя инспекции, график проведения которых составлен согласно хронологии конкретного исследования и включает определение важных стадий исследования.</w:t>
            </w:r>
          </w:p>
          <w:p>
            <w:pPr>
              <w:spacing w:after="20"/>
              <w:ind w:left="20"/>
              <w:jc w:val="both"/>
            </w:pPr>
            <w:r>
              <w:rPr>
                <w:rFonts w:ascii="Times New Roman"/>
                <w:b w:val="false"/>
                <w:i w:val="false"/>
                <w:color w:val="000000"/>
                <w:sz w:val="20"/>
              </w:rPr>
              <w:t>
   8.4.3. инспекции испытательных лабораторий, включающие в себя инспекции, инспекции общего оборудования и видов деятельности в испытательной лаборатории (в том числе монтаж, вспомогательные службы, компьютерная система, обучение, мониторинг окружающей среды, эксплуатация, калибровка).</w:t>
            </w:r>
          </w:p>
          <w:p>
            <w:pPr>
              <w:spacing w:after="20"/>
              <w:ind w:left="20"/>
              <w:jc w:val="both"/>
            </w:pPr>
            <w:r>
              <w:rPr>
                <w:rFonts w:ascii="Times New Roman"/>
                <w:b w:val="false"/>
                <w:i w:val="false"/>
                <w:color w:val="000000"/>
                <w:sz w:val="20"/>
              </w:rPr>
              <w:t>
   8.4.4. инспекции процедур проводящиеся независимо от конкретных исследований. Выполняются для контроля процедур или процессов повторяющегося характера и осуществляются на выборочной основе. Проводятся в тех случаях, когда один и тот же процесс в испытательной лаборатории осуществляется очень часто, вследствие чего проведение инспекций отдельных исследований считается неэффективным или нецелесообразным. Следует признать, что инспекции отдельных процессов в рамках конкретных этапов, осуществляемых очень часто, приводят к появлению некоторых исследований, не проверенных в индивидуальном порядке в ходе экспериментальных этапов.</w:t>
            </w:r>
          </w:p>
          <w:p>
            <w:pPr>
              <w:spacing w:after="20"/>
              <w:ind w:left="20"/>
              <w:jc w:val="both"/>
            </w:pPr>
            <w:r>
              <w:rPr>
                <w:rFonts w:ascii="Times New Roman"/>
                <w:b w:val="false"/>
                <w:i w:val="false"/>
                <w:color w:val="000000"/>
                <w:sz w:val="20"/>
              </w:rPr>
              <w:t>
   8.4.5. Работа персонала ОК и процедуры планирования в отношении проведения, документирования и подготовки отчетов об инспекциях описаны в СОП. Необходимо вести учет запланированных и текущих исследований. ОК имеет доступ к последнему обновленному варианту основного графика. Такой учет необходим для планирования видов деятельности ОК и оценки ОК в испытательной лаборатории.</w:t>
            </w:r>
          </w:p>
          <w:p>
            <w:pPr>
              <w:spacing w:after="20"/>
              <w:ind w:left="20"/>
              <w:jc w:val="both"/>
            </w:pPr>
            <w:r>
              <w:rPr>
                <w:rFonts w:ascii="Times New Roman"/>
                <w:b w:val="false"/>
                <w:i w:val="false"/>
                <w:color w:val="000000"/>
                <w:sz w:val="20"/>
              </w:rPr>
              <w:t>
   8.4.6. Программа ОК с инспекциями и аудитами подлежит проверке в отношении организации и управления. Как персонал, так и руководство делают обоснование выбора методов, выбранных для исполнения своей работы.</w:t>
            </w:r>
          </w:p>
          <w:p>
            <w:pPr>
              <w:spacing w:after="20"/>
              <w:ind w:left="20"/>
              <w:jc w:val="both"/>
            </w:pPr>
            <w:r>
              <w:rPr>
                <w:rFonts w:ascii="Times New Roman"/>
                <w:b w:val="false"/>
                <w:i w:val="false"/>
                <w:color w:val="000000"/>
                <w:sz w:val="20"/>
              </w:rPr>
              <w:t>
   8.5. Отчеты об инспекциях ОК</w:t>
            </w:r>
          </w:p>
          <w:p>
            <w:pPr>
              <w:spacing w:after="20"/>
              <w:ind w:left="20"/>
              <w:jc w:val="both"/>
            </w:pPr>
            <w:r>
              <w:rPr>
                <w:rFonts w:ascii="Times New Roman"/>
                <w:b w:val="false"/>
                <w:i w:val="false"/>
                <w:color w:val="000000"/>
                <w:sz w:val="20"/>
              </w:rPr>
              <w:t xml:space="preserve">
   Уполномоченный орган при необходимости запрашивает информацию о видах инспекций и датах их проведения, включая стадию инспектируемого исследования. Содержание отчетов о проведении инспекций СОК не рассматривается органом по контролю соблюдения Стандарта, для исключения препятствованию СОК в подготовке отчетов об инспекции. Уполномоченный орган периодически запрашивает доступ к содержанию отчетов об инспекциях, чтобы проверить надлежащее функционирование ОК. Уполномоченный органом не используются такие отчеты как способ установления недостатков в проведенных исследованиях. </w:t>
            </w:r>
          </w:p>
          <w:p>
            <w:pPr>
              <w:spacing w:after="20"/>
              <w:ind w:left="20"/>
              <w:jc w:val="both"/>
            </w:pPr>
            <w:r>
              <w:rPr>
                <w:rFonts w:ascii="Times New Roman"/>
                <w:b w:val="false"/>
                <w:i w:val="false"/>
                <w:color w:val="000000"/>
                <w:sz w:val="20"/>
              </w:rPr>
              <w:t>
   8.6. Аудиты данных и заключительные отчеты</w:t>
            </w:r>
          </w:p>
          <w:p>
            <w:pPr>
              <w:spacing w:after="20"/>
              <w:ind w:left="20"/>
              <w:jc w:val="both"/>
            </w:pPr>
            <w:r>
              <w:rPr>
                <w:rFonts w:ascii="Times New Roman"/>
                <w:b w:val="false"/>
                <w:i w:val="false"/>
                <w:color w:val="000000"/>
                <w:sz w:val="20"/>
              </w:rPr>
              <w:t>
   Аудит исходных данных исследования ОК проводится разными способами. Отдел ОК при необходимости проверяет документы в ходе экспериментальных этапов исследования, инспекций процесса или в ходе аудита заключительных отчетов. Руководство обеспечивает, чтобы все заключительные отчеты, в отношении которых заявлено соответствие Стандартам, были проверены ОК. Такой аудит проводится на заключительной стадии подготовки проекта отчета, когда все исходные данные собраны и не планируется вносить никаких изменений.</w:t>
            </w:r>
          </w:p>
          <w:p>
            <w:pPr>
              <w:spacing w:after="20"/>
              <w:ind w:left="20"/>
              <w:jc w:val="both"/>
            </w:pPr>
            <w:r>
              <w:rPr>
                <w:rFonts w:ascii="Times New Roman"/>
                <w:b w:val="false"/>
                <w:i w:val="false"/>
                <w:color w:val="000000"/>
                <w:sz w:val="20"/>
              </w:rPr>
              <w:t>
   8.6.1. Целью аудита заключительного отчета является определение того, что:</w:t>
            </w:r>
          </w:p>
          <w:p>
            <w:pPr>
              <w:spacing w:after="20"/>
              <w:ind w:left="20"/>
              <w:jc w:val="both"/>
            </w:pPr>
            <w:r>
              <w:rPr>
                <w:rFonts w:ascii="Times New Roman"/>
                <w:b w:val="false"/>
                <w:i w:val="false"/>
                <w:color w:val="000000"/>
                <w:sz w:val="20"/>
              </w:rPr>
              <w:t>
   8.6.2. Исследование было проведено в соответствии с протоколом, планом, программой исследования и СОП;</w:t>
            </w:r>
          </w:p>
          <w:p>
            <w:pPr>
              <w:spacing w:after="20"/>
              <w:ind w:left="20"/>
              <w:jc w:val="both"/>
            </w:pPr>
            <w:r>
              <w:rPr>
                <w:rFonts w:ascii="Times New Roman"/>
                <w:b w:val="false"/>
                <w:i w:val="false"/>
                <w:color w:val="000000"/>
                <w:sz w:val="20"/>
              </w:rPr>
              <w:t>
   8.6.2.2. Исследование было точным и полным образом отражено в отчете;</w:t>
            </w:r>
          </w:p>
          <w:p>
            <w:pPr>
              <w:spacing w:after="20"/>
              <w:ind w:left="20"/>
              <w:jc w:val="both"/>
            </w:pPr>
            <w:r>
              <w:rPr>
                <w:rFonts w:ascii="Times New Roman"/>
                <w:b w:val="false"/>
                <w:i w:val="false"/>
                <w:color w:val="000000"/>
                <w:sz w:val="20"/>
              </w:rPr>
              <w:t>
   8.6.2.3. Отчет содержит все элементы, требуемые Стандартом;</w:t>
            </w:r>
          </w:p>
          <w:p>
            <w:pPr>
              <w:spacing w:after="20"/>
              <w:ind w:left="20"/>
              <w:jc w:val="both"/>
            </w:pPr>
            <w:r>
              <w:rPr>
                <w:rFonts w:ascii="Times New Roman"/>
                <w:b w:val="false"/>
                <w:i w:val="false"/>
                <w:color w:val="000000"/>
                <w:sz w:val="20"/>
              </w:rPr>
              <w:t>
   8.6.2.4. Отчет характеризуется последовательностью и внутренней непротиворечивостью;</w:t>
            </w:r>
          </w:p>
          <w:p>
            <w:pPr>
              <w:spacing w:after="20"/>
              <w:ind w:left="20"/>
              <w:jc w:val="both"/>
            </w:pPr>
            <w:r>
              <w:rPr>
                <w:rFonts w:ascii="Times New Roman"/>
                <w:b w:val="false"/>
                <w:i w:val="false"/>
                <w:color w:val="000000"/>
                <w:sz w:val="20"/>
              </w:rPr>
              <w:t>
   8.6.2.5. Первичные данные собраны полностью и в соответствии с требованиями Стандарта.</w:t>
            </w:r>
          </w:p>
          <w:p>
            <w:pPr>
              <w:spacing w:after="20"/>
              <w:ind w:left="20"/>
              <w:jc w:val="both"/>
            </w:pPr>
            <w:r>
              <w:rPr>
                <w:rFonts w:ascii="Times New Roman"/>
                <w:b w:val="false"/>
                <w:i w:val="false"/>
                <w:color w:val="000000"/>
                <w:sz w:val="20"/>
              </w:rPr>
              <w:t>
   8.6.3. Сотрудникам СОК рекомендуется составлять заключительный отчет об аудите максимально подробно, для того, чтобы была возможность реконструировать аудит. Устанавливаются процедуры, в соответствии с которыми ОК будет узнавать обо всех дополнениях и изменениях в протоколе, плане, программе исследования и отчете в ходе этапа аудита.</w:t>
            </w:r>
          </w:p>
          <w:p>
            <w:pPr>
              <w:spacing w:after="20"/>
              <w:ind w:left="20"/>
              <w:jc w:val="both"/>
            </w:pPr>
            <w:r>
              <w:rPr>
                <w:rFonts w:ascii="Times New Roman"/>
                <w:b w:val="false"/>
                <w:i w:val="false"/>
                <w:color w:val="000000"/>
                <w:sz w:val="20"/>
              </w:rPr>
              <w:t>
   8.6.4. Перед подписанием заключения, ОК контролирует, чтобы все проблемные вопросы, затронутые в ходе аудита ОК, были соответствующим образом рассмотрены в заключительном отчете, все согласованные действия были выполнены, и чтобы никаких изменений, требующих дополнительного аудита, не было внесено в отчет.</w:t>
            </w:r>
          </w:p>
          <w:p>
            <w:pPr>
              <w:spacing w:after="20"/>
              <w:ind w:left="20"/>
              <w:jc w:val="both"/>
            </w:pPr>
            <w:r>
              <w:rPr>
                <w:rFonts w:ascii="Times New Roman"/>
                <w:b w:val="false"/>
                <w:i w:val="false"/>
                <w:color w:val="000000"/>
                <w:sz w:val="20"/>
              </w:rPr>
              <w:t>
   8.6.5. Любые исправления или дополнения завершенного заключительного отчета могут стать объектом аудита со стороны СОК, после чего будет необходимо предоставить пересмотренное или дополнительное заключение СОК.</w:t>
            </w:r>
          </w:p>
          <w:p>
            <w:pPr>
              <w:spacing w:after="20"/>
              <w:ind w:left="20"/>
              <w:jc w:val="both"/>
            </w:pPr>
            <w:r>
              <w:rPr>
                <w:rFonts w:ascii="Times New Roman"/>
                <w:b w:val="false"/>
                <w:i w:val="false"/>
                <w:color w:val="000000"/>
                <w:sz w:val="20"/>
              </w:rPr>
              <w:t>
   8.7. Заключение отдела обеспечения качества</w:t>
            </w:r>
          </w:p>
          <w:p>
            <w:pPr>
              <w:spacing w:after="20"/>
              <w:ind w:left="20"/>
              <w:jc w:val="both"/>
            </w:pPr>
            <w:r>
              <w:rPr>
                <w:rFonts w:ascii="Times New Roman"/>
                <w:b w:val="false"/>
                <w:i w:val="false"/>
                <w:color w:val="000000"/>
                <w:sz w:val="20"/>
              </w:rPr>
              <w:t>
   8.7.1. Подписанное заключение об обеспечении качества включается в заключительный отчет, в котором указаны виды инспекций и даты их проведения, даты сообщения результатов инспекции руководству, руководителю исследования и, когда применимо, ведущему исследователю. В обязанности руководства входит проведение процедур, гарантирующих, что заключение, выданное отделом ОК согласуется с заявлением руководителя исследования о соблюдении Стандарта и соответствует выданному заключительному отчету об исследовании.</w:t>
            </w:r>
          </w:p>
          <w:p>
            <w:pPr>
              <w:spacing w:after="20"/>
              <w:ind w:left="20"/>
              <w:jc w:val="both"/>
            </w:pPr>
            <w:r>
              <w:rPr>
                <w:rFonts w:ascii="Times New Roman"/>
                <w:b w:val="false"/>
                <w:i w:val="false"/>
                <w:color w:val="000000"/>
                <w:sz w:val="20"/>
              </w:rPr>
              <w:t xml:space="preserve">
   8.7.2. Формат заключения ОК соответствует структуре отчета. Необходимо, чтобы заключение содержало полное название исследования, даты и стадии соответствующих видов контроля ОК. В случаях, когда инспекции отдельных исследований не являются частью запланированной программы обеспечения качества, обязательно наличие заключения, подробно описывающего контролирующие инспекции при краткосрочных исследований, когда повторяющиеся инспекции каждого исследования неэффективны или непрактичны. </w:t>
            </w:r>
          </w:p>
          <w:p>
            <w:pPr>
              <w:spacing w:after="20"/>
              <w:ind w:left="20"/>
              <w:jc w:val="both"/>
            </w:pPr>
            <w:r>
              <w:rPr>
                <w:rFonts w:ascii="Times New Roman"/>
                <w:b w:val="false"/>
                <w:i w:val="false"/>
                <w:color w:val="000000"/>
                <w:sz w:val="20"/>
              </w:rPr>
              <w:t>
   8.7.3. Рекомендуется, чтобы заключение СОК было завершено только тогда, когда будет подтверждено заявление руководителя исследования о соответствии Стандарту. Заключение СОК также подтверждает факт, что в заключительном отчете отражены первичные данные. За руководителем исследования остается ответственность за обеспечение того, чтобы в заключительном отчете были выделены области исследования, не соответствующие Стандарту.</w:t>
            </w:r>
          </w:p>
          <w:p>
            <w:pPr>
              <w:spacing w:after="20"/>
              <w:ind w:left="20"/>
              <w:jc w:val="both"/>
            </w:pPr>
            <w:r>
              <w:rPr>
                <w:rFonts w:ascii="Times New Roman"/>
                <w:b w:val="false"/>
                <w:i w:val="false"/>
                <w:color w:val="000000"/>
                <w:sz w:val="20"/>
              </w:rPr>
              <w:t>
    8.8. Служба обеспечения качества и исследования, не регулируемые нормативными требованиями</w:t>
            </w:r>
          </w:p>
          <w:p>
            <w:pPr>
              <w:spacing w:after="20"/>
              <w:ind w:left="20"/>
              <w:jc w:val="both"/>
            </w:pPr>
            <w:r>
              <w:rPr>
                <w:rFonts w:ascii="Times New Roman"/>
                <w:b w:val="false"/>
                <w:i w:val="false"/>
                <w:color w:val="000000"/>
                <w:sz w:val="20"/>
              </w:rPr>
              <w:t xml:space="preserve">
    8.8.1. Соответствие Стандарту является нормативным требованием для одобрения доклинических (неклинических) исследований. Некоторые испытательные лаборатории проводят на одной площадке исследования, которые предназначены и не предназначены для предоставления в уполномоченный орган. Если исследования, не предназначенные для предоставления в уполномоченный орган, проводятся не в соответствии с Стандартом, что негативно влияет на соответствие Стандарту исследований, регулируемых нормативными требованиями. </w:t>
            </w:r>
          </w:p>
          <w:p>
            <w:pPr>
              <w:spacing w:after="20"/>
              <w:ind w:left="20"/>
              <w:jc w:val="both"/>
            </w:pPr>
            <w:r>
              <w:rPr>
                <w:rFonts w:ascii="Times New Roman"/>
                <w:b w:val="false"/>
                <w:i w:val="false"/>
                <w:color w:val="000000"/>
                <w:sz w:val="20"/>
              </w:rPr>
              <w:t>
    8.8.2. В списках исследований, проводимых ОК, обозначаются как регулируемые, так и не регулируемые нормативными требованиями исследования, чтобы позволить провести надлежащую оценку рабочей нагрузки, пригодность испытательных лабораторий и возможное взаимное влияние в процессе проведения испытаний. Для выполнения данной задачи СОК владеет доступом к актуализированному экземпляру основного плана-графика. Является неприемлемым заявлять о соответствии принципам Стандарта уже начатого исследования, не соответствующего требованиям принципам Стандарта. Если проведение исследования, обозначенного в качестве соответствующего принципам Стандарта, продолжается как исследование, не соответствующее Стандарту, это четко документально оформляется.</w:t>
            </w:r>
          </w:p>
          <w:p>
            <w:pPr>
              <w:spacing w:after="20"/>
              <w:ind w:left="20"/>
              <w:jc w:val="both"/>
            </w:pPr>
            <w:r>
              <w:rPr>
                <w:rFonts w:ascii="Times New Roman"/>
                <w:b w:val="false"/>
                <w:i w:val="false"/>
                <w:color w:val="000000"/>
                <w:sz w:val="20"/>
              </w:rPr>
              <w:t>
   8.9. Обеспечение качества в небольших испытательных лабораториях</w:t>
            </w:r>
          </w:p>
          <w:p>
            <w:pPr>
              <w:spacing w:after="20"/>
              <w:ind w:left="20"/>
              <w:jc w:val="both"/>
            </w:pPr>
            <w:r>
              <w:rPr>
                <w:rFonts w:ascii="Times New Roman"/>
                <w:b w:val="false"/>
                <w:i w:val="false"/>
                <w:color w:val="000000"/>
                <w:sz w:val="20"/>
              </w:rPr>
              <w:t>
   8.9.1. В небольших испытательных лабораториях в случае непрактичности содержания персонала, предназначенного исключительно для ОК. Руководство назначает не менее одного сотрудника, с постоянного или частичной занятостью, отвечающего за координацию ОК. Продолжительная работа персонала ОК необходима для накопления опыта и обеспечения непротиворечивой интерпретации данных ОК. Сотрудники, принимающие участие в исследованиях, соответствующих Стандарту, выполняют функции ОК в отношении доклинических (неклинических) исследований, проводимых в других отделах испытательной лаборатории. Персонал, не являющийся штатным сотрудником испытательной лаборатории, выполняют функции ОК, если обеспечена необходимая эффективность, требуемая для соответствия Стандарту.</w:t>
            </w:r>
          </w:p>
          <w:p>
            <w:pPr>
              <w:spacing w:after="20"/>
              <w:ind w:left="20"/>
              <w:jc w:val="both"/>
            </w:pPr>
            <w:r>
              <w:rPr>
                <w:rFonts w:ascii="Times New Roman"/>
                <w:b w:val="false"/>
                <w:i w:val="false"/>
                <w:color w:val="000000"/>
                <w:sz w:val="20"/>
              </w:rPr>
              <w:t xml:space="preserve">
   8.9.3. Данная информация при необходимости дополнительно применяется к многоцентровым исследованиям, при условии четкого определения общей ответственности за координацию.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надлежащей лабораторной</w:t>
            </w:r>
            <w:r>
              <w:br/>
            </w:r>
            <w:r>
              <w:rPr>
                <w:rFonts w:ascii="Times New Roman"/>
                <w:b w:val="false"/>
                <w:i w:val="false"/>
                <w:color w:val="000000"/>
                <w:sz w:val="20"/>
              </w:rPr>
              <w:t>практики 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
        <w:gridCol w:w="12233"/>
      </w:tblGrid>
      <w:tr>
        <w:trPr>
          <w:trHeight w:val="30" w:hRule="atLeast"/>
        </w:trPr>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Руководство по применению Стандарта в краткосрочных </w:t>
            </w:r>
          </w:p>
          <w:p>
            <w:pPr>
              <w:spacing w:after="20"/>
              <w:ind w:left="20"/>
              <w:jc w:val="both"/>
            </w:pPr>
            <w:r>
              <w:rPr>
                <w:rFonts w:ascii="Times New Roman"/>
                <w:b w:val="false"/>
                <w:i w:val="false"/>
                <w:color w:val="000000"/>
                <w:sz w:val="20"/>
              </w:rPr>
              <w:t>
</w:t>
            </w:r>
            <w:r>
              <w:rPr>
                <w:rFonts w:ascii="Times New Roman"/>
                <w:b/>
                <w:i w:val="false"/>
                <w:color w:val="000000"/>
                <w:sz w:val="20"/>
              </w:rPr>
              <w:t>Исследованиях</w:t>
            </w:r>
          </w:p>
        </w:tc>
      </w:tr>
      <w:tr>
        <w:trPr>
          <w:trHeight w:val="30" w:hRule="atLeast"/>
        </w:trPr>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положения</w:t>
            </w:r>
          </w:p>
          <w:p>
            <w:pPr>
              <w:spacing w:after="20"/>
              <w:ind w:left="20"/>
              <w:jc w:val="both"/>
            </w:pPr>
            <w:r>
              <w:rPr>
                <w:rFonts w:ascii="Times New Roman"/>
                <w:b w:val="false"/>
                <w:i w:val="false"/>
                <w:color w:val="000000"/>
                <w:sz w:val="20"/>
              </w:rPr>
              <w:t>
   1.1. Стандарт являются общими и не касаются какого-либо конкретного вида анализа или порядка тестирования. В условиях действия принципов Стандарта краткосрочные исследования составляют отдельную проблему для уполномоченного органа за соблюдением установленных норм, базирующихся на существовании конкретных методов и технических приемов.</w:t>
            </w:r>
          </w:p>
          <w:p>
            <w:pPr>
              <w:spacing w:after="20"/>
              <w:ind w:left="20"/>
              <w:jc w:val="both"/>
            </w:pPr>
            <w:r>
              <w:rPr>
                <w:rFonts w:ascii="Times New Roman"/>
                <w:b w:val="false"/>
                <w:i w:val="false"/>
                <w:color w:val="000000"/>
                <w:sz w:val="20"/>
              </w:rPr>
              <w:t>
   1.2. Краткосрочные биологические исследования включают изучение острой токсичности, ряд исследований мутагенности и исследования острой экотоксичности.</w:t>
            </w:r>
          </w:p>
          <w:p>
            <w:pPr>
              <w:spacing w:after="20"/>
              <w:ind w:left="20"/>
              <w:jc w:val="both"/>
            </w:pPr>
            <w:r>
              <w:rPr>
                <w:rFonts w:ascii="Times New Roman"/>
                <w:b w:val="false"/>
                <w:i w:val="false"/>
                <w:color w:val="000000"/>
                <w:sz w:val="20"/>
              </w:rPr>
              <w:t>
   1.3. Физико-химическими исследованиями считаются те исследования, анализы и измерения, которые имеют малую продолжительность, задействуют широко используемые методики и дают легко воспроизводимые результаты, зачастую представленные в виде простых численных величин или словесных выражений.</w:t>
            </w:r>
          </w:p>
          <w:p>
            <w:pPr>
              <w:spacing w:after="20"/>
              <w:ind w:left="20"/>
              <w:jc w:val="both"/>
            </w:pPr>
            <w:r>
              <w:rPr>
                <w:rFonts w:ascii="Times New Roman"/>
                <w:b w:val="false"/>
                <w:i w:val="false"/>
                <w:color w:val="000000"/>
                <w:sz w:val="20"/>
              </w:rPr>
              <w:t xml:space="preserve">
   1.4. Традиционные физико-химические исследования включают определение химических свойств, температуры плавления, упругости пара, коэффициента распределения, взрывчатых свойств и другие подобные исследования, для которых существуют инструкции по проведению тестов. </w:t>
            </w:r>
          </w:p>
          <w:p>
            <w:pPr>
              <w:spacing w:after="20"/>
              <w:ind w:left="20"/>
              <w:jc w:val="both"/>
            </w:pPr>
            <w:r>
              <w:rPr>
                <w:rFonts w:ascii="Times New Roman"/>
                <w:b w:val="false"/>
                <w:i w:val="false"/>
                <w:color w:val="000000"/>
                <w:sz w:val="20"/>
              </w:rPr>
              <w:t>
   2. Программа обеспечения качества</w:t>
            </w:r>
          </w:p>
          <w:p>
            <w:pPr>
              <w:spacing w:after="20"/>
              <w:ind w:left="20"/>
              <w:jc w:val="both"/>
            </w:pPr>
            <w:r>
              <w:rPr>
                <w:rFonts w:ascii="Times New Roman"/>
                <w:b w:val="false"/>
                <w:i w:val="false"/>
                <w:color w:val="000000"/>
                <w:sz w:val="20"/>
              </w:rPr>
              <w:t>
   2.1. Документальное оформление программы обеспечения качества включает описание пользы, полученной из инспекций исследования, испытательной лаборатории или процедур.</w:t>
            </w:r>
          </w:p>
          <w:p>
            <w:pPr>
              <w:spacing w:after="20"/>
              <w:ind w:left="20"/>
              <w:jc w:val="both"/>
            </w:pPr>
            <w:r>
              <w:rPr>
                <w:rFonts w:ascii="Times New Roman"/>
                <w:b w:val="false"/>
                <w:i w:val="false"/>
                <w:color w:val="000000"/>
                <w:sz w:val="20"/>
              </w:rPr>
              <w:t>
   2.2. Инспекции исследований планируются в соответствии с хронологией данного исследования, с привязкой к первому шагу, определяющему основные фазы эксперимента.</w:t>
            </w:r>
          </w:p>
          <w:p>
            <w:pPr>
              <w:spacing w:after="20"/>
              <w:ind w:left="20"/>
              <w:jc w:val="both"/>
            </w:pPr>
            <w:r>
              <w:rPr>
                <w:rFonts w:ascii="Times New Roman"/>
                <w:b w:val="false"/>
                <w:i w:val="false"/>
                <w:color w:val="000000"/>
                <w:sz w:val="20"/>
              </w:rPr>
              <w:t>
   2.3. Инспекции испытательных площадок не опираются на конкретные исследования, а охватывают производственные помещения и коммуникации, а также операции в пределах испытательной лаборатории (в том числе оборудование, вспомогательные службы, компьютерная система, специальная подготовка, экологический мониторинг, техническое обслуживание, калибровка).</w:t>
            </w:r>
          </w:p>
          <w:p>
            <w:pPr>
              <w:spacing w:after="20"/>
              <w:ind w:left="20"/>
              <w:jc w:val="both"/>
            </w:pPr>
            <w:r>
              <w:rPr>
                <w:rFonts w:ascii="Times New Roman"/>
                <w:b w:val="false"/>
                <w:i w:val="false"/>
                <w:color w:val="000000"/>
                <w:sz w:val="20"/>
              </w:rPr>
              <w:t>
   2.4. Инспекции процессов также проводятся в независимости от конкретных исследований. Их выполняют с целью мониторинга операций и технологических процессов циклического характера и проводят в произвольном порядке. Данные инспекции имеют место, в случае если какая-либо операция очень часто повторяется в рамках испытательной лаборатории, в связи с чем проведение ориентированного на исследование контроля считается неэффективным или непрактичным. При организации ориентированных на технологию проверок, которые охватывают фазы с очень высокой частотой повторения, эмпирические этапы некоторых исследований могут отдельно не проверяться.</w:t>
            </w:r>
          </w:p>
          <w:p>
            <w:pPr>
              <w:spacing w:after="20"/>
              <w:ind w:left="20"/>
              <w:jc w:val="both"/>
            </w:pPr>
            <w:r>
              <w:rPr>
                <w:rFonts w:ascii="Times New Roman"/>
                <w:b w:val="false"/>
                <w:i w:val="false"/>
                <w:color w:val="000000"/>
                <w:sz w:val="20"/>
              </w:rPr>
              <w:t>
   3. Обязанности персонала по обеспечению качества</w:t>
            </w:r>
          </w:p>
          <w:p>
            <w:pPr>
              <w:spacing w:after="20"/>
              <w:ind w:left="20"/>
              <w:jc w:val="both"/>
            </w:pPr>
            <w:r>
              <w:rPr>
                <w:rFonts w:ascii="Times New Roman"/>
                <w:b w:val="false"/>
                <w:i w:val="false"/>
                <w:color w:val="000000"/>
                <w:sz w:val="20"/>
              </w:rPr>
              <w:t>
   3.1. В связи с высокой повторяемостью и типовым характером определенных стандартных краткосрочных исследований в ходе эмпирической фазы исследования СОК отсутствует необходимость инспектировать по-отдельности каждое исследование. В данных обстоятельствах ориентированная на технологию программа контроля охватывает все виды исследований. В СОП обеспечения качества следует оговорить периодичность таких инспекций, принимая во внимание численность, повторяемость и (или) сложность экспериментов, проводимых в данной лаборатории. Частота инспекций уточняется в соответствующих СОП обеспечения качества, и именно СОП гарантируют регулярность контроля всех процессов такого рода.</w:t>
            </w:r>
          </w:p>
          <w:p>
            <w:pPr>
              <w:spacing w:after="20"/>
              <w:ind w:left="20"/>
              <w:jc w:val="both"/>
            </w:pPr>
            <w:r>
              <w:rPr>
                <w:rFonts w:ascii="Times New Roman"/>
                <w:b w:val="false"/>
                <w:i w:val="false"/>
                <w:color w:val="000000"/>
                <w:sz w:val="20"/>
              </w:rPr>
              <w:t>
   3.2. Если отсутствуют отдельные ориентированные на исследование инспекции, то в отчете об обеспечении качества четко описывается, когда и какие виды инспекций проводились. Докладная записка об обеспечении качества свидетельствует об аудите итогового отчета.</w:t>
            </w:r>
          </w:p>
          <w:p>
            <w:pPr>
              <w:spacing w:after="20"/>
              <w:ind w:left="20"/>
              <w:jc w:val="both"/>
            </w:pPr>
            <w:r>
              <w:rPr>
                <w:rFonts w:ascii="Times New Roman"/>
                <w:b w:val="false"/>
                <w:i w:val="false"/>
                <w:color w:val="000000"/>
                <w:sz w:val="20"/>
              </w:rPr>
              <w:t>
   4. Помещения для исследований</w:t>
            </w:r>
          </w:p>
          <w:p>
            <w:pPr>
              <w:spacing w:after="20"/>
              <w:ind w:left="20"/>
              <w:jc w:val="both"/>
            </w:pPr>
            <w:r>
              <w:rPr>
                <w:rFonts w:ascii="Times New Roman"/>
                <w:b w:val="false"/>
                <w:i w:val="false"/>
                <w:color w:val="000000"/>
                <w:sz w:val="20"/>
              </w:rPr>
              <w:t xml:space="preserve">
   Предметом стандартизации для биологических </w:t>
            </w:r>
            <w:r>
              <w:rPr>
                <w:rFonts w:ascii="Times New Roman"/>
                <w:b w:val="false"/>
                <w:i/>
                <w:color w:val="000000"/>
                <w:sz w:val="20"/>
              </w:rPr>
              <w:t>in vitro (ин витро)</w:t>
            </w:r>
            <w:r>
              <w:rPr>
                <w:rFonts w:ascii="Times New Roman"/>
                <w:b w:val="false"/>
                <w:i w:val="false"/>
                <w:color w:val="000000"/>
                <w:sz w:val="20"/>
              </w:rPr>
              <w:t xml:space="preserve"> исследований является заражение испытательной системы. Испытательным лабораториям следует установить материальную базу и процедуры, посредством которых такое вероятное загрязнение очевидно предотвращается и (или) контролируется. </w:t>
            </w:r>
          </w:p>
          <w:p>
            <w:pPr>
              <w:spacing w:after="20"/>
              <w:ind w:left="20"/>
              <w:jc w:val="both"/>
            </w:pPr>
            <w:r>
              <w:rPr>
                <w:rFonts w:ascii="Times New Roman"/>
                <w:b w:val="false"/>
                <w:i w:val="false"/>
                <w:color w:val="000000"/>
                <w:sz w:val="20"/>
              </w:rPr>
              <w:t>
   5. Оборудование, материалы и реактивы</w:t>
            </w:r>
          </w:p>
          <w:p>
            <w:pPr>
              <w:spacing w:after="20"/>
              <w:ind w:left="20"/>
              <w:jc w:val="both"/>
            </w:pPr>
            <w:r>
              <w:rPr>
                <w:rFonts w:ascii="Times New Roman"/>
                <w:b w:val="false"/>
                <w:i w:val="false"/>
                <w:color w:val="000000"/>
                <w:sz w:val="20"/>
              </w:rPr>
              <w:t>
   Оборудование подлежит периодической проверке на предмет длительно сохраняющейся точности количественного определения. Калибровочные стандарты следует считать объектами сравнения, но необязательно оставлять для хранения.</w:t>
            </w:r>
          </w:p>
          <w:p>
            <w:pPr>
              <w:spacing w:after="20"/>
              <w:ind w:left="20"/>
              <w:jc w:val="both"/>
            </w:pPr>
            <w:r>
              <w:rPr>
                <w:rFonts w:ascii="Times New Roman"/>
                <w:b w:val="false"/>
                <w:i w:val="false"/>
                <w:color w:val="000000"/>
                <w:sz w:val="20"/>
              </w:rPr>
              <w:t>
   6. Тест-системы</w:t>
            </w:r>
          </w:p>
          <w:p>
            <w:pPr>
              <w:spacing w:after="20"/>
              <w:ind w:left="20"/>
              <w:jc w:val="both"/>
            </w:pPr>
            <w:r>
              <w:rPr>
                <w:rFonts w:ascii="Times New Roman"/>
                <w:b w:val="false"/>
                <w:i w:val="false"/>
                <w:color w:val="000000"/>
                <w:sz w:val="20"/>
              </w:rPr>
              <w:t>
   6.1. Физическая, химическая. Следует периодически проверять, чистить, ремонтировать и калибровать оборудование, применяемое в физических, химических исследованиях в соответствии с СОП.</w:t>
            </w:r>
          </w:p>
          <w:p>
            <w:pPr>
              <w:spacing w:after="20"/>
              <w:ind w:left="20"/>
              <w:jc w:val="both"/>
            </w:pPr>
            <w:r>
              <w:rPr>
                <w:rFonts w:ascii="Times New Roman"/>
                <w:b w:val="false"/>
                <w:i w:val="false"/>
                <w:color w:val="000000"/>
                <w:sz w:val="20"/>
              </w:rPr>
              <w:t xml:space="preserve">
   6.2. Биологическая. </w:t>
            </w:r>
          </w:p>
          <w:p>
            <w:pPr>
              <w:spacing w:after="20"/>
              <w:ind w:left="20"/>
              <w:jc w:val="both"/>
            </w:pPr>
            <w:r>
              <w:rPr>
                <w:rFonts w:ascii="Times New Roman"/>
                <w:b w:val="false"/>
                <w:i w:val="false"/>
                <w:color w:val="000000"/>
                <w:sz w:val="20"/>
              </w:rPr>
              <w:t xml:space="preserve">
   6.2.1. Описание. Для тестовых систем in vitro требуется вести отчетность для документального подтверждения роста, жизнеспособности и отсутствия заражения серий. Для исследований </w:t>
            </w:r>
            <w:r>
              <w:rPr>
                <w:rFonts w:ascii="Times New Roman"/>
                <w:b w:val="false"/>
                <w:i/>
                <w:color w:val="000000"/>
                <w:sz w:val="20"/>
              </w:rPr>
              <w:t>in vitro</w:t>
            </w:r>
            <w:r>
              <w:rPr>
                <w:rFonts w:ascii="Times New Roman"/>
                <w:b w:val="false"/>
                <w:i w:val="false"/>
                <w:color w:val="000000"/>
                <w:sz w:val="20"/>
              </w:rPr>
              <w:t xml:space="preserve"> необходимо определить подлинность и зафиксировать происхождение, подштамм и режим обслуживания тест-системы.</w:t>
            </w:r>
          </w:p>
          <w:p>
            <w:pPr>
              <w:spacing w:after="20"/>
              <w:ind w:left="20"/>
              <w:jc w:val="both"/>
            </w:pPr>
            <w:r>
              <w:rPr>
                <w:rFonts w:ascii="Times New Roman"/>
                <w:b w:val="false"/>
                <w:i w:val="false"/>
                <w:color w:val="000000"/>
                <w:sz w:val="20"/>
              </w:rPr>
              <w:t xml:space="preserve">
   6.2.2. Определение характеристик тестовой системы, в первую очередь для исследований </w:t>
            </w:r>
            <w:r>
              <w:rPr>
                <w:rFonts w:ascii="Times New Roman"/>
                <w:b w:val="false"/>
                <w:i/>
                <w:color w:val="000000"/>
                <w:sz w:val="20"/>
              </w:rPr>
              <w:t>in vitro</w:t>
            </w:r>
            <w:r>
              <w:rPr>
                <w:rFonts w:ascii="Times New Roman"/>
                <w:b w:val="false"/>
                <w:i w:val="false"/>
                <w:color w:val="000000"/>
                <w:sz w:val="20"/>
              </w:rPr>
              <w:t xml:space="preserve">. Основополагающим является обеспечение того, чтобы использовалась система тестирования, описанная в протоколе, плане, программе исследования и свободная от заражения. </w:t>
            </w:r>
          </w:p>
          <w:p>
            <w:pPr>
              <w:spacing w:after="20"/>
              <w:ind w:left="20"/>
              <w:jc w:val="both"/>
            </w:pPr>
            <w:r>
              <w:rPr>
                <w:rFonts w:ascii="Times New Roman"/>
                <w:b w:val="false"/>
                <w:i w:val="false"/>
                <w:color w:val="000000"/>
                <w:sz w:val="20"/>
              </w:rPr>
              <w:t>
   6.2.3. Изоляция тест-систем. В случае с краткосрочными биологическими исследованиями не обязательно требовать обособления животных и растительных тестовых систем. В СОП испытательной лаборатории следует определить принцип оценки состояния здоровья (прошлая информация о колонии и поставщике, наблюдения, серологический анализ) и последующие действия.</w:t>
            </w:r>
          </w:p>
          <w:p>
            <w:pPr>
              <w:spacing w:after="20"/>
              <w:ind w:left="20"/>
              <w:jc w:val="both"/>
            </w:pPr>
            <w:r>
              <w:rPr>
                <w:rFonts w:ascii="Times New Roman"/>
                <w:b w:val="false"/>
                <w:i w:val="false"/>
                <w:color w:val="000000"/>
                <w:sz w:val="20"/>
              </w:rPr>
              <w:t xml:space="preserve">
   6.2.4. Контроль заражающих материалов в исследованиях </w:t>
            </w:r>
            <w:r>
              <w:rPr>
                <w:rFonts w:ascii="Times New Roman"/>
                <w:b w:val="false"/>
                <w:i/>
                <w:color w:val="000000"/>
                <w:sz w:val="20"/>
              </w:rPr>
              <w:t>in vitro</w:t>
            </w:r>
            <w:r>
              <w:rPr>
                <w:rFonts w:ascii="Times New Roman"/>
                <w:b w:val="false"/>
                <w:i w:val="false"/>
                <w:color w:val="000000"/>
                <w:sz w:val="20"/>
              </w:rPr>
              <w:t>. Надлежит предотвратить воздействие субстанций, которые мешают проведению анализа, на воду, лабораторную посуду и другое лабораторное оборудование. Чтобы выполнить данную задачу, в протокол, план, программу исследования следует включить контрольные группы. Кроме того, для осуществлению этого задания применяется периодическое тестирование систем.</w:t>
            </w:r>
          </w:p>
          <w:p>
            <w:pPr>
              <w:spacing w:after="20"/>
              <w:ind w:left="20"/>
              <w:jc w:val="both"/>
            </w:pPr>
            <w:r>
              <w:rPr>
                <w:rFonts w:ascii="Times New Roman"/>
                <w:b w:val="false"/>
                <w:i w:val="false"/>
                <w:color w:val="000000"/>
                <w:sz w:val="20"/>
              </w:rPr>
              <w:t>
   6.2.5. Описание свойств питательных сред. Типы сред, компоненты и номера партий сред (использование антибиотиков, сыворотки) документально подтверждаются. В СОП рассматривается подготовка и приемка таких сред.</w:t>
            </w:r>
          </w:p>
          <w:p>
            <w:pPr>
              <w:spacing w:after="20"/>
              <w:ind w:left="20"/>
              <w:jc w:val="both"/>
            </w:pPr>
            <w:r>
              <w:rPr>
                <w:rFonts w:ascii="Times New Roman"/>
                <w:b w:val="false"/>
                <w:i w:val="false"/>
                <w:color w:val="000000"/>
                <w:sz w:val="20"/>
              </w:rPr>
              <w:t>
   6.2.6. Эксплуатация испытательной системы. В определенных обстоятельствах допускается повторное использование животных организмов или одновременное тестирование множественных испытуемых объектов на одном животном. Во всех этих случаях обеспечивается обязательное сохранение всей прошлой документации по предыдущему использованию животного организма, а в итоговом отчете делается ссылка на нее. При этом документально заверяется, что такие методы не препятствуют изучению исследуемого вещества.</w:t>
            </w:r>
          </w:p>
          <w:p>
            <w:pPr>
              <w:spacing w:after="20"/>
              <w:ind w:left="20"/>
              <w:jc w:val="both"/>
            </w:pPr>
            <w:r>
              <w:rPr>
                <w:rFonts w:ascii="Times New Roman"/>
                <w:b w:val="false"/>
                <w:i w:val="false"/>
                <w:color w:val="000000"/>
                <w:sz w:val="20"/>
              </w:rPr>
              <w:t>
   7. Исследуемые вещества (лекарственные средства) и образцы сравнения (контрольные образцы)</w:t>
            </w:r>
          </w:p>
          <w:p>
            <w:pPr>
              <w:spacing w:after="20"/>
              <w:ind w:left="20"/>
              <w:jc w:val="both"/>
            </w:pPr>
            <w:r>
              <w:rPr>
                <w:rFonts w:ascii="Times New Roman"/>
                <w:b w:val="false"/>
                <w:i w:val="false"/>
                <w:color w:val="000000"/>
                <w:sz w:val="20"/>
              </w:rPr>
              <w:t>
   7.1. Предоставляются данные для адекватного составления спецификации в отношении каждой серии исследуемого вещества (лекарственного средства) и образца сравнения (контрольного образца). Если испытуемый объект находится на ранней стадии разработки, допускается выполнить аналитическое описание характеристик после проведения биологического исследования. Тем не менее, до даты начала исследования следует получить определенные сведения о химической структуре исследуемого вещества.</w:t>
            </w:r>
          </w:p>
          <w:p>
            <w:pPr>
              <w:spacing w:after="20"/>
              <w:ind w:left="20"/>
              <w:jc w:val="both"/>
            </w:pPr>
            <w:r>
              <w:rPr>
                <w:rFonts w:ascii="Times New Roman"/>
                <w:b w:val="false"/>
                <w:i w:val="false"/>
                <w:color w:val="000000"/>
                <w:sz w:val="20"/>
              </w:rPr>
              <w:t>
   7.2. Рекомендуется в надлежащих случаях определить стабильность исследуемого и ссылочного объектов в условиях хранения.</w:t>
            </w:r>
          </w:p>
          <w:p>
            <w:pPr>
              <w:spacing w:after="20"/>
              <w:ind w:left="20"/>
              <w:jc w:val="both"/>
            </w:pPr>
            <w:r>
              <w:rPr>
                <w:rFonts w:ascii="Times New Roman"/>
                <w:b w:val="false"/>
                <w:i w:val="false"/>
                <w:color w:val="000000"/>
                <w:sz w:val="20"/>
              </w:rPr>
              <w:t>
   7.3. При отсутствии возможности параллельно выполнить подобные анализы для определенных краткосрочных биологических тестов, если промежуток времени между изготовлением и использованием обычно стабильной субстанции составляет несколько минут, требуется обоснование нецелесообразности определения устойчивости тестируемого изделия. По этим причинам очень важно указывать и одобрять в протоколе, плане, программе исследования аналитические требования, а также четко рассматривать их в итоговом отчете.</w:t>
            </w:r>
          </w:p>
          <w:p>
            <w:pPr>
              <w:spacing w:after="20"/>
              <w:ind w:left="20"/>
              <w:jc w:val="both"/>
            </w:pPr>
            <w:r>
              <w:rPr>
                <w:rFonts w:ascii="Times New Roman"/>
                <w:b w:val="false"/>
                <w:i w:val="false"/>
                <w:color w:val="000000"/>
                <w:sz w:val="20"/>
              </w:rPr>
              <w:t>
   7.4. В случае физико-химических исследований допустимо отсутствие данных, относящихся к пунктам 2.6.2.4 и 2.6.2.5 настоящего Стандарта, если исследования проводятся с целью их получения.</w:t>
            </w:r>
          </w:p>
          <w:p>
            <w:pPr>
              <w:spacing w:after="20"/>
              <w:ind w:left="20"/>
              <w:jc w:val="both"/>
            </w:pPr>
            <w:r>
              <w:rPr>
                <w:rFonts w:ascii="Times New Roman"/>
                <w:b w:val="false"/>
                <w:i w:val="false"/>
                <w:color w:val="000000"/>
                <w:sz w:val="20"/>
              </w:rPr>
              <w:t>
   8. Стандартные операционные процедуры</w:t>
            </w:r>
          </w:p>
          <w:p>
            <w:pPr>
              <w:spacing w:after="20"/>
              <w:ind w:left="20"/>
              <w:jc w:val="both"/>
            </w:pPr>
            <w:r>
              <w:rPr>
                <w:rFonts w:ascii="Times New Roman"/>
                <w:b w:val="false"/>
                <w:i w:val="false"/>
                <w:color w:val="000000"/>
                <w:sz w:val="20"/>
              </w:rPr>
              <w:t>
   В обязанности руководства испытательной лаборатории входит контроль разработкой СОП для проводимых в лаборатории исследований.</w:t>
            </w:r>
          </w:p>
          <w:p>
            <w:pPr>
              <w:spacing w:after="20"/>
              <w:ind w:left="20"/>
              <w:jc w:val="both"/>
            </w:pPr>
            <w:r>
              <w:rPr>
                <w:rFonts w:ascii="Times New Roman"/>
                <w:b w:val="false"/>
                <w:i w:val="false"/>
                <w:color w:val="000000"/>
                <w:sz w:val="20"/>
              </w:rPr>
              <w:t>
   9. Проведение исследования</w:t>
            </w:r>
          </w:p>
          <w:p>
            <w:pPr>
              <w:spacing w:after="20"/>
              <w:ind w:left="20"/>
              <w:jc w:val="both"/>
            </w:pPr>
            <w:r>
              <w:rPr>
                <w:rFonts w:ascii="Times New Roman"/>
                <w:b w:val="false"/>
                <w:i w:val="false"/>
                <w:color w:val="000000"/>
                <w:sz w:val="20"/>
              </w:rPr>
              <w:t>
   9.1. Если конкретное краткосрочное исследование или серия подобных исследований регулярно проводится в рамках испытательной лаборатории, целесообразным является составление одного общего протокола, плана, программы исследования, содержащего большую часть основной информации, присутствие которой требуется. Информация заранее одобряется руководством испытательной лаборатории и руководителем исследования, ответственным за подобные исследования, а также СОК.</w:t>
            </w:r>
          </w:p>
          <w:p>
            <w:pPr>
              <w:spacing w:after="20"/>
              <w:ind w:left="20"/>
              <w:jc w:val="both"/>
            </w:pPr>
            <w:r>
              <w:rPr>
                <w:rFonts w:ascii="Times New Roman"/>
                <w:b w:val="false"/>
                <w:i w:val="false"/>
                <w:color w:val="000000"/>
                <w:sz w:val="20"/>
              </w:rPr>
              <w:t>
   9.2. Связанные с экспериментом приложения к таким протоколам, планам, программам (подробные данные по тестируемому объекту, эмпирической дате начала) следует представлять в виде дополнительного документа, который нуждается только в подписи уполномоченного руководителя исследования с датой. Этот объединенный документ – общий протокол, план, программа исследования и связанное с исследованием приложение – представляет собой протокол, план, программу исследования. Подобные дополнения важно незамедлительно представлять руководству испытательной лаборатории и сотрудникам по обеспечению качества.</w:t>
            </w:r>
          </w:p>
          <w:p>
            <w:pPr>
              <w:spacing w:after="20"/>
              <w:ind w:left="20"/>
              <w:jc w:val="both"/>
            </w:pPr>
            <w:r>
              <w:rPr>
                <w:rFonts w:ascii="Times New Roman"/>
                <w:b w:val="false"/>
                <w:i w:val="false"/>
                <w:color w:val="000000"/>
                <w:sz w:val="20"/>
              </w:rPr>
              <w:t>
   10. Содержание протокола, плана, программы исследования</w:t>
            </w:r>
          </w:p>
          <w:p>
            <w:pPr>
              <w:spacing w:after="20"/>
              <w:ind w:left="20"/>
              <w:jc w:val="both"/>
            </w:pPr>
            <w:r>
              <w:rPr>
                <w:rFonts w:ascii="Times New Roman"/>
                <w:b w:val="false"/>
                <w:i w:val="false"/>
                <w:color w:val="000000"/>
                <w:sz w:val="20"/>
              </w:rPr>
              <w:t>
   10.1. Содержание общего протокола, плана, программы исследования и связанного с ними приложения соответствует описанному в параграфах 3.2, 4.2 настоящего Стандарта со следующими уточнениями.</w:t>
            </w:r>
          </w:p>
          <w:p>
            <w:pPr>
              <w:spacing w:after="20"/>
              <w:ind w:left="20"/>
              <w:jc w:val="both"/>
            </w:pPr>
            <w:r>
              <w:rPr>
                <w:rFonts w:ascii="Times New Roman"/>
                <w:b w:val="false"/>
                <w:i w:val="false"/>
                <w:color w:val="000000"/>
                <w:sz w:val="20"/>
              </w:rPr>
              <w:t>
   10.2. Информация о характере и цели исследования не обязательна, если она содержится в описании дизайна.</w:t>
            </w:r>
          </w:p>
          <w:p>
            <w:pPr>
              <w:spacing w:after="20"/>
              <w:ind w:left="20"/>
              <w:jc w:val="both"/>
            </w:pPr>
            <w:r>
              <w:rPr>
                <w:rFonts w:ascii="Times New Roman"/>
                <w:b w:val="false"/>
                <w:i w:val="false"/>
                <w:color w:val="000000"/>
                <w:sz w:val="20"/>
              </w:rPr>
              <w:t>
   10.3. Вопросы пунктов 3.2.5.1-3.2.5.4 настоящего Стандарта исключаются при физико-химических экспериментах.</w:t>
            </w:r>
          </w:p>
          <w:p>
            <w:pPr>
              <w:spacing w:after="20"/>
              <w:ind w:left="20"/>
              <w:jc w:val="both"/>
            </w:pPr>
            <w:r>
              <w:rPr>
                <w:rFonts w:ascii="Times New Roman"/>
                <w:b w:val="false"/>
                <w:i w:val="false"/>
                <w:color w:val="000000"/>
                <w:sz w:val="20"/>
              </w:rPr>
              <w:t>
   10.4. Сведения по пункту 3.2.5.5 настоящего Стандарта в целом возможно представление в краткой, обобщающей форме или со ссылкой на соответствующие СОП или руководства по тестированию.</w:t>
            </w:r>
          </w:p>
          <w:p>
            <w:pPr>
              <w:spacing w:after="20"/>
              <w:ind w:left="20"/>
              <w:jc w:val="both"/>
            </w:pPr>
            <w:r>
              <w:rPr>
                <w:rFonts w:ascii="Times New Roman"/>
                <w:b w:val="false"/>
                <w:i w:val="false"/>
                <w:color w:val="000000"/>
                <w:sz w:val="20"/>
              </w:rPr>
              <w:t>
   11. Представление отчетности по результатам исследования</w:t>
            </w:r>
          </w:p>
          <w:p>
            <w:pPr>
              <w:spacing w:after="20"/>
              <w:ind w:left="20"/>
              <w:jc w:val="both"/>
            </w:pPr>
            <w:r>
              <w:rPr>
                <w:rFonts w:ascii="Times New Roman"/>
                <w:b w:val="false"/>
                <w:i w:val="false"/>
                <w:color w:val="000000"/>
                <w:sz w:val="20"/>
              </w:rPr>
              <w:t>
   11.1. Если осуществляются краткосрочные эксперименты с использованием общих протоколов, планов, программ исследования, целесообразно составление "стандартизированных итоговых отчетов", содержащих большую часть необходимой для подобных отчетов общей информации. Они заранее утверждаются руководством испытательной лаборатории, а также руководителем исследования, ответственного за проведение подобных исследований. В таких случаях издаются связанные с исследованием расширения к таким отчетам (указанием подробных сведений об исследуемом объекте и полученных количественных результатов) в качестве дополнительного акта, нуждающегося только в подписи руководителя исследования с датой. Не допускается использование "шаблонного итогового отчета", в случае если протокол, план, программа исследования изменяется или в нем делаются поправки до или во время проведения исследования, вносятся только соответствующие дополнения в "шаблонный итоговый отчет".</w:t>
            </w:r>
          </w:p>
          <w:p>
            <w:pPr>
              <w:spacing w:after="20"/>
              <w:ind w:left="20"/>
              <w:jc w:val="both"/>
            </w:pPr>
            <w:r>
              <w:rPr>
                <w:rFonts w:ascii="Times New Roman"/>
                <w:b w:val="false"/>
                <w:i w:val="false"/>
                <w:color w:val="000000"/>
                <w:sz w:val="20"/>
              </w:rPr>
              <w:t>
   11.2. Содержание итогового отчета</w:t>
            </w:r>
          </w:p>
          <w:p>
            <w:pPr>
              <w:spacing w:after="20"/>
              <w:ind w:left="20"/>
              <w:jc w:val="both"/>
            </w:pPr>
            <w:r>
              <w:rPr>
                <w:rFonts w:ascii="Times New Roman"/>
                <w:b w:val="false"/>
                <w:i w:val="false"/>
                <w:color w:val="000000"/>
                <w:sz w:val="20"/>
              </w:rPr>
              <w:t>
   11.2.1. Состав полного итогового отчета ("стандартного итогового отчета" и связанного с исследованием приложения) согласовывается с требованиями, описанными в параграфе 4.2 настоящего Стандарта с возможными отступлениями, указанными далее:</w:t>
            </w:r>
          </w:p>
          <w:p>
            <w:pPr>
              <w:spacing w:after="20"/>
              <w:ind w:left="20"/>
              <w:jc w:val="both"/>
            </w:pPr>
            <w:r>
              <w:rPr>
                <w:rFonts w:ascii="Times New Roman"/>
                <w:b w:val="false"/>
                <w:i w:val="false"/>
                <w:color w:val="000000"/>
                <w:sz w:val="20"/>
              </w:rPr>
              <w:t>
   11.2.2. Определение параметров исследуемого вещества (лекарственного вещества), включая чистоту, стабильность и однородность оказывается неактуальным, если исследование проводится для установления этих данных.</w:t>
            </w:r>
          </w:p>
          <w:p>
            <w:pPr>
              <w:spacing w:after="20"/>
              <w:ind w:left="20"/>
              <w:jc w:val="both"/>
            </w:pPr>
            <w:r>
              <w:rPr>
                <w:rFonts w:ascii="Times New Roman"/>
                <w:b w:val="false"/>
                <w:i w:val="false"/>
                <w:color w:val="000000"/>
                <w:sz w:val="20"/>
              </w:rPr>
              <w:t xml:space="preserve">
   11.2.3. Заключение. При необходимости требуется отразить проведение аудита процедур. В заключении по обеспечению качества надлежит ясно указать, что итоговый отчет подвергался аудиту.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надлежащей лабораторной</w:t>
            </w:r>
            <w:r>
              <w:br/>
            </w:r>
            <w:r>
              <w:rPr>
                <w:rFonts w:ascii="Times New Roman"/>
                <w:b w:val="false"/>
                <w:i w:val="false"/>
                <w:color w:val="000000"/>
                <w:sz w:val="20"/>
              </w:rPr>
              <w:t>практики 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Руководство по применению Стандарта для исследований </w:t>
            </w:r>
            <w:r>
              <w:rPr>
                <w:rFonts w:ascii="Times New Roman"/>
                <w:b w:val="false"/>
                <w:i/>
                <w:color w:val="000000"/>
                <w:sz w:val="20"/>
              </w:rPr>
              <w:t>in vitro (ин витро)</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Обязанности</w:t>
            </w:r>
          </w:p>
          <w:p>
            <w:pPr>
              <w:spacing w:after="20"/>
              <w:ind w:left="20"/>
              <w:jc w:val="both"/>
            </w:pPr>
            <w:r>
              <w:rPr>
                <w:rFonts w:ascii="Times New Roman"/>
                <w:b w:val="false"/>
                <w:i w:val="false"/>
                <w:color w:val="000000"/>
                <w:sz w:val="20"/>
              </w:rPr>
              <w:t>
   1.1. Руководство испытательной лаборатории</w:t>
            </w:r>
          </w:p>
          <w:p>
            <w:pPr>
              <w:spacing w:after="20"/>
              <w:ind w:left="20"/>
              <w:jc w:val="both"/>
            </w:pPr>
            <w:r>
              <w:rPr>
                <w:rFonts w:ascii="Times New Roman"/>
                <w:b w:val="false"/>
                <w:i w:val="false"/>
                <w:color w:val="000000"/>
                <w:sz w:val="20"/>
              </w:rPr>
              <w:t xml:space="preserve">
   Обязанности руководства испытательной лаборатории применяется для исследований </w:t>
            </w:r>
            <w:r>
              <w:rPr>
                <w:rFonts w:ascii="Times New Roman"/>
                <w:b w:val="false"/>
                <w:i/>
                <w:color w:val="000000"/>
                <w:sz w:val="20"/>
              </w:rPr>
              <w:t>in vitro и in vivo (ин виво)</w:t>
            </w:r>
            <w:r>
              <w:rPr>
                <w:rFonts w:ascii="Times New Roman"/>
                <w:b w:val="false"/>
                <w:i w:val="false"/>
                <w:color w:val="000000"/>
                <w:sz w:val="20"/>
              </w:rPr>
              <w:t xml:space="preserve">. Требования к руководству испытательной лаборатории по обеспечению наличия квалифицированного персонала и соответствующего оборудования и аппаратуры для своевременного и надлежащего проведения исследования. Руководство испытательной лаборатории гарантирует, что персонал точно понимает выполняемые им функции. Для исследований </w:t>
            </w:r>
            <w:r>
              <w:rPr>
                <w:rFonts w:ascii="Times New Roman"/>
                <w:b w:val="false"/>
                <w:i/>
                <w:color w:val="000000"/>
                <w:sz w:val="20"/>
              </w:rPr>
              <w:t>in vitro</w:t>
            </w:r>
            <w:r>
              <w:rPr>
                <w:rFonts w:ascii="Times New Roman"/>
                <w:b w:val="false"/>
                <w:i w:val="false"/>
                <w:color w:val="000000"/>
                <w:sz w:val="20"/>
              </w:rPr>
              <w:t xml:space="preserve"> при необходимости проведится специального обучения асептическим процедурам и обращению с биологически опасными материалами. Для исследования </w:t>
            </w:r>
            <w:r>
              <w:rPr>
                <w:rFonts w:ascii="Times New Roman"/>
                <w:b w:val="false"/>
                <w:i/>
                <w:color w:val="000000"/>
                <w:sz w:val="20"/>
              </w:rPr>
              <w:t>in vitro</w:t>
            </w:r>
            <w:r>
              <w:rPr>
                <w:rFonts w:ascii="Times New Roman"/>
                <w:b w:val="false"/>
                <w:i w:val="false"/>
                <w:color w:val="000000"/>
                <w:sz w:val="20"/>
              </w:rPr>
              <w:t xml:space="preserve"> при необходимости требуется наличие специальных зон и выполнение процедур для предотвращения загрязнения испытательной системы. Для некоторых исследований </w:t>
            </w:r>
            <w:r>
              <w:rPr>
                <w:rFonts w:ascii="Times New Roman"/>
                <w:b w:val="false"/>
                <w:i/>
                <w:color w:val="000000"/>
                <w:sz w:val="20"/>
              </w:rPr>
              <w:t>in vitro</w:t>
            </w:r>
            <w:r>
              <w:rPr>
                <w:rFonts w:ascii="Times New Roman"/>
                <w:b w:val="false"/>
                <w:i w:val="false"/>
                <w:color w:val="000000"/>
                <w:sz w:val="20"/>
              </w:rPr>
              <w:t xml:space="preserve"> при необходимости требуется использование патентованных материалов или наборов для проведения исследования. Материалы, используемые в исследовании, соответствующем Стандарту, производятся и тестируются на соответствие с использованием надлежащей системы качества. таким образом, возлагая основную ответственность за их соответствие на изготовителя или поставщика, обязанность руководства испытательной лаборатории – подтвердить, что эти условия соответствующим образом выполнены путем оценивания деятельности, методик и политики поставщиков.</w:t>
            </w:r>
          </w:p>
          <w:p>
            <w:pPr>
              <w:spacing w:after="20"/>
              <w:ind w:left="20"/>
              <w:jc w:val="both"/>
            </w:pPr>
            <w:r>
              <w:rPr>
                <w:rFonts w:ascii="Times New Roman"/>
                <w:b w:val="false"/>
                <w:i w:val="false"/>
                <w:color w:val="000000"/>
                <w:sz w:val="20"/>
              </w:rPr>
              <w:t>
   1.2. Руководитель исследования</w:t>
            </w:r>
          </w:p>
          <w:p>
            <w:pPr>
              <w:spacing w:after="20"/>
              <w:ind w:left="20"/>
              <w:jc w:val="both"/>
            </w:pPr>
            <w:r>
              <w:rPr>
                <w:rFonts w:ascii="Times New Roman"/>
                <w:b w:val="false"/>
                <w:i w:val="false"/>
                <w:color w:val="000000"/>
                <w:sz w:val="20"/>
              </w:rPr>
              <w:t xml:space="preserve">
   1.2.1. Общие обязанности руководителя исследования не зависят от типа исследования, а обязанности, перечисленные в стандартах, применяются и к исследованиям </w:t>
            </w:r>
            <w:r>
              <w:rPr>
                <w:rFonts w:ascii="Times New Roman"/>
                <w:b w:val="false"/>
                <w:i/>
                <w:color w:val="000000"/>
                <w:sz w:val="20"/>
              </w:rPr>
              <w:t>in vitro</w:t>
            </w:r>
            <w:r>
              <w:rPr>
                <w:rFonts w:ascii="Times New Roman"/>
                <w:b w:val="false"/>
                <w:i w:val="false"/>
                <w:color w:val="000000"/>
                <w:sz w:val="20"/>
              </w:rPr>
              <w:t xml:space="preserve">. Руководитель исследования продолжает являться центральным и единственным лицом в обеспечении контроля исследования и несет ответственность за общее проведение исследования и формирование отчета об исследовании. </w:t>
            </w:r>
          </w:p>
          <w:p>
            <w:pPr>
              <w:spacing w:after="20"/>
              <w:ind w:left="20"/>
              <w:jc w:val="both"/>
            </w:pPr>
            <w:r>
              <w:rPr>
                <w:rFonts w:ascii="Times New Roman"/>
                <w:b w:val="false"/>
                <w:i w:val="false"/>
                <w:color w:val="000000"/>
                <w:sz w:val="20"/>
              </w:rPr>
              <w:t xml:space="preserve">
    1.2.2. В исследованиях </w:t>
            </w:r>
            <w:r>
              <w:rPr>
                <w:rFonts w:ascii="Times New Roman"/>
                <w:b w:val="false"/>
                <w:i/>
                <w:color w:val="000000"/>
                <w:sz w:val="20"/>
              </w:rPr>
              <w:t>in vitro</w:t>
            </w:r>
            <w:r>
              <w:rPr>
                <w:rFonts w:ascii="Times New Roman"/>
                <w:b w:val="false"/>
                <w:i w:val="false"/>
                <w:color w:val="000000"/>
                <w:sz w:val="20"/>
              </w:rPr>
              <w:t xml:space="preserve"> руководитель исследования уделяет особое внимание документальному оформлению обоснованности и характеристики тест-системы, деятельности, которая более сложная для осуществления в исследованиях </w:t>
            </w:r>
            <w:r>
              <w:rPr>
                <w:rFonts w:ascii="Times New Roman"/>
                <w:b w:val="false"/>
                <w:i/>
                <w:color w:val="000000"/>
                <w:sz w:val="20"/>
              </w:rPr>
              <w:t>in vitro</w:t>
            </w:r>
            <w:r>
              <w:rPr>
                <w:rFonts w:ascii="Times New Roman"/>
                <w:b w:val="false"/>
                <w:i w:val="false"/>
                <w:color w:val="000000"/>
                <w:sz w:val="20"/>
              </w:rPr>
              <w:t xml:space="preserve">. Использование определенных видов организмов обосновывается документированием таких характеристик, которые делают их подходящей моделью для оценки интересующих исследователя эффектов. Характеристика определенного животного осуществляется путем составления документа с указанием вида животного, штамма, субштамма, источника поставки, номера диапазона веса тела, пола и возраста. </w:t>
            </w:r>
          </w:p>
          <w:p>
            <w:pPr>
              <w:spacing w:after="20"/>
              <w:ind w:left="20"/>
              <w:jc w:val="both"/>
            </w:pPr>
            <w:r>
              <w:rPr>
                <w:rFonts w:ascii="Times New Roman"/>
                <w:b w:val="false"/>
                <w:i w:val="false"/>
                <w:color w:val="000000"/>
                <w:sz w:val="20"/>
              </w:rPr>
              <w:t>
   1.2.3. Для обоснования выбора тест-системы руководитель исследования оформляет документ о том, что метод исследования был официально утвержден или является структурно, функционально и (или) механиически сходным с официально утвержденным эталонным методом исследований. Перед использованием новых методов исследований, являющихся структурно, функционально и (или) механически сходными с официально утвержденным эталонным методом исследований, руководитель исследования предоставляет документальное подтверждение о том, что новый метод исследований имеет сопоставимую эффективность при оценке с помощью надлежащего образца сравнения (контрольного образца).</w:t>
            </w:r>
          </w:p>
          <w:p>
            <w:pPr>
              <w:spacing w:after="20"/>
              <w:ind w:left="20"/>
              <w:jc w:val="both"/>
            </w:pPr>
            <w:r>
              <w:rPr>
                <w:rFonts w:ascii="Times New Roman"/>
                <w:b w:val="false"/>
                <w:i w:val="false"/>
                <w:color w:val="000000"/>
                <w:sz w:val="20"/>
              </w:rPr>
              <w:t xml:space="preserve">
   1.2.4. Документальное оформление характеристик систем </w:t>
            </w:r>
            <w:r>
              <w:rPr>
                <w:rFonts w:ascii="Times New Roman"/>
                <w:b w:val="false"/>
                <w:i/>
                <w:color w:val="000000"/>
                <w:sz w:val="20"/>
              </w:rPr>
              <w:t>in vitro</w:t>
            </w:r>
            <w:r>
              <w:rPr>
                <w:rFonts w:ascii="Times New Roman"/>
                <w:b w:val="false"/>
                <w:i w:val="false"/>
                <w:color w:val="000000"/>
                <w:sz w:val="20"/>
              </w:rPr>
              <w:t xml:space="preserve"> является трудной задачей. Хотя руководитель исследования, с помощью поставщика, способен документировать некоторые характеристики тест-системы (линию клеток, возраст, пассажирование, происхождение), а также охарактеризовать испытательную систему, документально зафиксировав, что она обеспечивает необходимую надежность при оценке с помощью надлежащего образца сравнения (контрольного образца), включая, при необходимости, объекты положительного, отрицательного контроля, необработанные контрольные объекты и (или) объекты контроля реактива. В особых случаях рассматривается использование патентованных материалов или наборов для проведения испытаний </w:t>
            </w:r>
            <w:r>
              <w:rPr>
                <w:rFonts w:ascii="Times New Roman"/>
                <w:b w:val="false"/>
                <w:i/>
                <w:color w:val="000000"/>
                <w:sz w:val="20"/>
              </w:rPr>
              <w:t>in vitro</w:t>
            </w:r>
            <w:r>
              <w:rPr>
                <w:rFonts w:ascii="Times New Roman"/>
                <w:b w:val="false"/>
                <w:i w:val="false"/>
                <w:color w:val="000000"/>
                <w:sz w:val="20"/>
              </w:rPr>
              <w:t>. Эффективность таких материалов или испытательных комплектов гарантирируется поставщиком, производителем или патентообладателем, и руководство испытательной лаборатории несет ответственность за то, что поставщик соответствует критериям качества, как указано выше, проверяя деятельность, методики и политику продавца, только руководитель исследования отвечает за подтверждение того, что характеристики данных материалов или наборов действительно отвечают требованиям проведения исследования и что наборы для проведения испытания соответствующим образом валидированы и подходят для предназначенной цели применения. Так как качество и надежность этих материалов или испытательных комплектов напрямую влияют на качество и надежность результатов исследования, руководитель исследования тщательно изучет и критически оценивает полноту и приемлемость документации по контролю качества, предоставленной поставщиком. Руководитель исследования оценивает соответствие системы качества, используемой изготовителем, и имеет в наличии все документы, необходимые для оценки пригодности испытательной системы для использования (результаты исследований характеристик).</w:t>
            </w:r>
          </w:p>
          <w:p>
            <w:pPr>
              <w:spacing w:after="20"/>
              <w:ind w:left="20"/>
              <w:jc w:val="both"/>
            </w:pPr>
            <w:r>
              <w:rPr>
                <w:rFonts w:ascii="Times New Roman"/>
                <w:b w:val="false"/>
                <w:i w:val="false"/>
                <w:color w:val="000000"/>
                <w:sz w:val="20"/>
              </w:rPr>
              <w:t>
   1.3. Персонал исследования</w:t>
            </w:r>
          </w:p>
          <w:p>
            <w:pPr>
              <w:spacing w:after="20"/>
              <w:ind w:left="20"/>
              <w:jc w:val="both"/>
            </w:pPr>
            <w:r>
              <w:rPr>
                <w:rFonts w:ascii="Times New Roman"/>
                <w:b w:val="false"/>
                <w:i w:val="false"/>
                <w:color w:val="000000"/>
                <w:sz w:val="20"/>
              </w:rPr>
              <w:t xml:space="preserve">
   Персонал тщательно соблюдает требования к асептическим условиям, где они применяются, и осуществляет соответствующие процедуры при проведении исследований </w:t>
            </w:r>
            <w:r>
              <w:rPr>
                <w:rFonts w:ascii="Times New Roman"/>
                <w:b w:val="false"/>
                <w:i/>
                <w:color w:val="000000"/>
                <w:sz w:val="20"/>
              </w:rPr>
              <w:t>in vitro,</w:t>
            </w:r>
            <w:r>
              <w:rPr>
                <w:rFonts w:ascii="Times New Roman"/>
                <w:b w:val="false"/>
                <w:i w:val="false"/>
                <w:color w:val="000000"/>
                <w:sz w:val="20"/>
              </w:rPr>
              <w:t xml:space="preserve"> чтобы избежать патогенного загрязнения испытательной системы. Аналогично, персонал применяет соответствующие практики чтобы избежать перекрестного загрязнения между испытательными системами и обеспечить чистоту исследования. Персонал исследования владеет и строго придерживается требований к изолированию испытательных систем и исследованиям с применением биологически опасных материалов. Во время исследований </w:t>
            </w:r>
            <w:r>
              <w:rPr>
                <w:rFonts w:ascii="Times New Roman"/>
                <w:b w:val="false"/>
                <w:i/>
                <w:color w:val="000000"/>
                <w:sz w:val="20"/>
              </w:rPr>
              <w:t>in vitro</w:t>
            </w:r>
            <w:r>
              <w:rPr>
                <w:rFonts w:ascii="Times New Roman"/>
                <w:b w:val="false"/>
                <w:i w:val="false"/>
                <w:color w:val="000000"/>
                <w:sz w:val="20"/>
              </w:rPr>
              <w:t xml:space="preserve"> следует также применять надлежащие меры предосторожности, чтобы свести к минимуму риски от использования опасных химических веществ.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w:t>
            </w:r>
          </w:p>
          <w:p>
            <w:pPr>
              <w:spacing w:after="20"/>
              <w:ind w:left="20"/>
              <w:jc w:val="both"/>
            </w:pPr>
            <w:r>
              <w:rPr>
                <w:rFonts w:ascii="Times New Roman"/>
                <w:b w:val="false"/>
                <w:i w:val="false"/>
                <w:color w:val="000000"/>
                <w:sz w:val="20"/>
              </w:rPr>
              <w:t xml:space="preserve">
   2.1. В целом, деятельность, связанная с ОК, незначительно различается для исследований </w:t>
            </w:r>
            <w:r>
              <w:rPr>
                <w:rFonts w:ascii="Times New Roman"/>
                <w:b w:val="false"/>
                <w:i/>
                <w:color w:val="000000"/>
                <w:sz w:val="20"/>
              </w:rPr>
              <w:t>in vitro</w:t>
            </w:r>
            <w:r>
              <w:rPr>
                <w:rFonts w:ascii="Times New Roman"/>
                <w:b w:val="false"/>
                <w:i w:val="false"/>
                <w:color w:val="000000"/>
                <w:sz w:val="20"/>
              </w:rPr>
              <w:t xml:space="preserve"> и </w:t>
            </w:r>
            <w:r>
              <w:rPr>
                <w:rFonts w:ascii="Times New Roman"/>
                <w:b w:val="false"/>
                <w:i/>
                <w:color w:val="000000"/>
                <w:sz w:val="20"/>
              </w:rPr>
              <w:t>in vivo</w:t>
            </w:r>
            <w:r>
              <w:rPr>
                <w:rFonts w:ascii="Times New Roman"/>
                <w:b w:val="false"/>
                <w:i w:val="false"/>
                <w:color w:val="000000"/>
                <w:sz w:val="20"/>
              </w:rPr>
              <w:t xml:space="preserve">. Исследования </w:t>
            </w:r>
            <w:r>
              <w:rPr>
                <w:rFonts w:ascii="Times New Roman"/>
                <w:b w:val="false"/>
                <w:i/>
                <w:color w:val="000000"/>
                <w:sz w:val="20"/>
              </w:rPr>
              <w:t>in vitro</w:t>
            </w:r>
            <w:r>
              <w:rPr>
                <w:rFonts w:ascii="Times New Roman"/>
                <w:b w:val="false"/>
                <w:i w:val="false"/>
                <w:color w:val="000000"/>
                <w:sz w:val="20"/>
              </w:rPr>
              <w:t xml:space="preserve"> в некоторых случаях классифицируются как краткосрочные исследования; в таких случаях применяется требования приложения 1 Стандарта. Стандарт требует, чтобы СОК инспектировала, главным образом, критические фазы исследования, поэтому важно, чтобы в исследованиях </w:t>
            </w:r>
            <w:r>
              <w:rPr>
                <w:rFonts w:ascii="Times New Roman"/>
                <w:b w:val="false"/>
                <w:i/>
                <w:color w:val="000000"/>
                <w:sz w:val="20"/>
              </w:rPr>
              <w:t>in vitro</w:t>
            </w:r>
            <w:r>
              <w:rPr>
                <w:rFonts w:ascii="Times New Roman"/>
                <w:b w:val="false"/>
                <w:i w:val="false"/>
                <w:color w:val="000000"/>
                <w:sz w:val="20"/>
              </w:rPr>
              <w:t xml:space="preserve"> СОК была хорошо осведомлена о том, что собой представляют критические фазы (и критические аспекты) таких исследований. Поэтому руководителю исследования, ведущим исследователям и исследовательскому персоналу следует совместно разрабатывать руководство по проведению инспекций службой обеспечения качества в соответствующих областях. Поскольку программа обеспечения качества распространяется и на специальные аспекты исследований </w:t>
            </w:r>
            <w:r>
              <w:rPr>
                <w:rFonts w:ascii="Times New Roman"/>
                <w:b w:val="false"/>
                <w:i/>
                <w:color w:val="000000"/>
                <w:sz w:val="20"/>
              </w:rPr>
              <w:t>in vitro</w:t>
            </w:r>
            <w:r>
              <w:rPr>
                <w:rFonts w:ascii="Times New Roman"/>
                <w:b w:val="false"/>
                <w:i w:val="false"/>
                <w:color w:val="000000"/>
                <w:sz w:val="20"/>
              </w:rPr>
              <w:t xml:space="preserve">, образование и обучение персонала СОК четко направлена на формирование способности распознать потенциальные проблемы в специальных областях исследования </w:t>
            </w:r>
            <w:r>
              <w:rPr>
                <w:rFonts w:ascii="Times New Roman"/>
                <w:b w:val="false"/>
                <w:i/>
                <w:color w:val="000000"/>
                <w:sz w:val="20"/>
              </w:rPr>
              <w:t>in vitro</w:t>
            </w:r>
            <w:r>
              <w:rPr>
                <w:rFonts w:ascii="Times New Roman"/>
                <w:b w:val="false"/>
                <w:i w:val="false"/>
                <w:color w:val="000000"/>
                <w:sz w:val="20"/>
              </w:rPr>
              <w:t>.</w:t>
            </w:r>
          </w:p>
          <w:p>
            <w:pPr>
              <w:spacing w:after="20"/>
              <w:ind w:left="20"/>
              <w:jc w:val="both"/>
            </w:pPr>
            <w:r>
              <w:rPr>
                <w:rFonts w:ascii="Times New Roman"/>
                <w:b w:val="false"/>
                <w:i w:val="false"/>
                <w:color w:val="000000"/>
                <w:sz w:val="20"/>
              </w:rPr>
              <w:t>
   2.2. Специальные области, подлежащие инспектированию, включают в себя процедуры и меры, не ограничиваясь ими:</w:t>
            </w:r>
          </w:p>
          <w:p>
            <w:pPr>
              <w:spacing w:after="20"/>
              <w:ind w:left="20"/>
              <w:jc w:val="both"/>
            </w:pPr>
            <w:r>
              <w:rPr>
                <w:rFonts w:ascii="Times New Roman"/>
                <w:b w:val="false"/>
                <w:i w:val="false"/>
                <w:color w:val="000000"/>
                <w:sz w:val="20"/>
              </w:rPr>
              <w:t>
   2.2.1. Мониторинг партий компонентов клеточных и тканевых культуральных сред, являющихся критически важными для эффективности испытательной системы (например, фетальная телячья сыворотка), и других материалов в отношении их воздействия на эффективность испытательной системы;</w:t>
            </w:r>
          </w:p>
          <w:p>
            <w:pPr>
              <w:spacing w:after="20"/>
              <w:ind w:left="20"/>
              <w:jc w:val="both"/>
            </w:pPr>
            <w:r>
              <w:rPr>
                <w:rFonts w:ascii="Times New Roman"/>
                <w:b w:val="false"/>
                <w:i w:val="false"/>
                <w:color w:val="000000"/>
                <w:sz w:val="20"/>
              </w:rPr>
              <w:t xml:space="preserve">
   2.2.2. Оценка и обеспечение функционального и (или) морфологического статуса (и целостности) клеток, тканей и других индикаторных материалов; </w:t>
            </w:r>
          </w:p>
          <w:p>
            <w:pPr>
              <w:spacing w:after="20"/>
              <w:ind w:left="20"/>
              <w:jc w:val="both"/>
            </w:pPr>
            <w:r>
              <w:rPr>
                <w:rFonts w:ascii="Times New Roman"/>
                <w:b w:val="false"/>
                <w:i w:val="false"/>
                <w:color w:val="000000"/>
                <w:sz w:val="20"/>
              </w:rPr>
              <w:t>
   2.2.3. Мониторинг потенциального загрязнения чужеродными клетками, микоплазмой и другими патогенами или другими случайными агентами;</w:t>
            </w:r>
          </w:p>
          <w:p>
            <w:pPr>
              <w:spacing w:after="20"/>
              <w:ind w:left="20"/>
              <w:jc w:val="both"/>
            </w:pPr>
            <w:r>
              <w:rPr>
                <w:rFonts w:ascii="Times New Roman"/>
                <w:b w:val="false"/>
                <w:i w:val="false"/>
                <w:color w:val="000000"/>
                <w:sz w:val="20"/>
              </w:rPr>
              <w:t>
   2.2.4. Очистка и обеззараживание оборудования и аппаратуры и сведение к минимуму источников загрязнения исследуемых элементов и тест-систем;</w:t>
            </w:r>
          </w:p>
          <w:p>
            <w:pPr>
              <w:spacing w:after="20"/>
              <w:ind w:left="20"/>
              <w:jc w:val="both"/>
            </w:pPr>
            <w:r>
              <w:rPr>
                <w:rFonts w:ascii="Times New Roman"/>
                <w:b w:val="false"/>
                <w:i w:val="false"/>
                <w:color w:val="000000"/>
                <w:sz w:val="20"/>
              </w:rPr>
              <w:t>
   2.2.5. Обеспечение надлежащего использования и обслуживания специализированного оборудования;</w:t>
            </w:r>
          </w:p>
          <w:p>
            <w:pPr>
              <w:spacing w:after="20"/>
              <w:ind w:left="20"/>
              <w:jc w:val="both"/>
            </w:pPr>
            <w:r>
              <w:rPr>
                <w:rFonts w:ascii="Times New Roman"/>
                <w:b w:val="false"/>
                <w:i w:val="false"/>
                <w:color w:val="000000"/>
                <w:sz w:val="20"/>
              </w:rPr>
              <w:t>
   2.2.6. Обеспечение надлежащей криоконсервации и восстановления клеток и тканей;</w:t>
            </w:r>
          </w:p>
          <w:p>
            <w:pPr>
              <w:spacing w:after="20"/>
              <w:ind w:left="20"/>
              <w:jc w:val="both"/>
            </w:pPr>
            <w:r>
              <w:rPr>
                <w:rFonts w:ascii="Times New Roman"/>
                <w:b w:val="false"/>
                <w:i w:val="false"/>
                <w:color w:val="000000"/>
                <w:sz w:val="20"/>
              </w:rPr>
              <w:t>
   2.2.7. Обеспечение надлежащих условий для извлечений материалов после хранения в замороженном состоянии;</w:t>
            </w:r>
          </w:p>
          <w:p>
            <w:pPr>
              <w:spacing w:after="20"/>
              <w:ind w:left="20"/>
              <w:jc w:val="both"/>
            </w:pPr>
            <w:r>
              <w:rPr>
                <w:rFonts w:ascii="Times New Roman"/>
                <w:b w:val="false"/>
                <w:i w:val="false"/>
                <w:color w:val="000000"/>
                <w:sz w:val="20"/>
              </w:rPr>
              <w:t>
   2.2.8. Обеспечение стерильности материалов и поставок, используемых для клеточных и тканевых культур;</w:t>
            </w:r>
          </w:p>
          <w:p>
            <w:pPr>
              <w:spacing w:after="20"/>
              <w:ind w:left="20"/>
              <w:jc w:val="both"/>
            </w:pPr>
            <w:r>
              <w:rPr>
                <w:rFonts w:ascii="Times New Roman"/>
                <w:b w:val="false"/>
                <w:i w:val="false"/>
                <w:color w:val="000000"/>
                <w:sz w:val="20"/>
              </w:rPr>
              <w:t>
   2.2.9. Поддержание соответствующего разделения между различными исследованиями и испытательными системами.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Помещения</w:t>
            </w:r>
          </w:p>
          <w:p>
            <w:pPr>
              <w:spacing w:after="20"/>
              <w:ind w:left="20"/>
              <w:jc w:val="both"/>
            </w:pPr>
            <w:r>
              <w:rPr>
                <w:rFonts w:ascii="Times New Roman"/>
                <w:b w:val="false"/>
                <w:i w:val="false"/>
                <w:color w:val="000000"/>
                <w:sz w:val="20"/>
              </w:rPr>
              <w:t>
   3.1. Общие положения</w:t>
            </w:r>
          </w:p>
          <w:p>
            <w:pPr>
              <w:spacing w:after="20"/>
              <w:ind w:left="20"/>
              <w:jc w:val="both"/>
            </w:pPr>
            <w:r>
              <w:rPr>
                <w:rFonts w:ascii="Times New Roman"/>
                <w:b w:val="false"/>
                <w:i w:val="false"/>
                <w:color w:val="000000"/>
                <w:sz w:val="20"/>
              </w:rPr>
              <w:t xml:space="preserve">
   Стандарт устанавливает, что испытательные лаборатории были в соответствии требованиям к выполняемым в них исследованиям и что следует поддерживать соответствующее разделение между различными видами деятельности, чтобы обеспечить надлежащее и беспрепятственное выполнение каждого исследования. Для исследований </w:t>
            </w:r>
            <w:r>
              <w:rPr>
                <w:rFonts w:ascii="Times New Roman"/>
                <w:b w:val="false"/>
                <w:i/>
                <w:color w:val="000000"/>
                <w:sz w:val="20"/>
              </w:rPr>
              <w:t>in vitro</w:t>
            </w:r>
            <w:r>
              <w:rPr>
                <w:rFonts w:ascii="Times New Roman"/>
                <w:b w:val="false"/>
                <w:i w:val="false"/>
                <w:color w:val="000000"/>
                <w:sz w:val="20"/>
              </w:rPr>
              <w:t xml:space="preserve"> обычно требуется ограниченное рабочее пространство и не требуется специальных помещений, исключающих проведение других исследований, следует предпринять меры с тем, чтобы обеспечить надлежащее разделение исследований </w:t>
            </w:r>
            <w:r>
              <w:rPr>
                <w:rFonts w:ascii="Times New Roman"/>
                <w:b w:val="false"/>
                <w:i/>
                <w:color w:val="000000"/>
                <w:sz w:val="20"/>
              </w:rPr>
              <w:t>in vitro</w:t>
            </w:r>
            <w:r>
              <w:rPr>
                <w:rFonts w:ascii="Times New Roman"/>
                <w:b w:val="false"/>
                <w:i w:val="false"/>
                <w:color w:val="000000"/>
                <w:sz w:val="20"/>
              </w:rPr>
              <w:t>, проводимых одновременно в одной и той же физической среде.</w:t>
            </w:r>
          </w:p>
          <w:p>
            <w:pPr>
              <w:spacing w:after="20"/>
              <w:ind w:left="20"/>
              <w:jc w:val="both"/>
            </w:pPr>
            <w:r>
              <w:rPr>
                <w:rFonts w:ascii="Times New Roman"/>
                <w:b w:val="false"/>
                <w:i w:val="false"/>
                <w:color w:val="000000"/>
                <w:sz w:val="20"/>
              </w:rPr>
              <w:t>
   3.2. Оснащение тест-систем</w:t>
            </w:r>
          </w:p>
          <w:p>
            <w:pPr>
              <w:spacing w:after="20"/>
              <w:ind w:left="20"/>
              <w:jc w:val="both"/>
            </w:pPr>
            <w:r>
              <w:rPr>
                <w:rFonts w:ascii="Times New Roman"/>
                <w:b w:val="false"/>
                <w:i w:val="false"/>
                <w:color w:val="000000"/>
                <w:sz w:val="20"/>
              </w:rPr>
              <w:t xml:space="preserve">
   3.2.1. Для обеспечения изоляции тест-систем необходимо иметь в наличии достаточное количество помещений или зон, обеспечивающих сведение к минимуму возможности загрязнения тест-систем. </w:t>
            </w:r>
          </w:p>
          <w:p>
            <w:pPr>
              <w:spacing w:after="20"/>
              <w:ind w:left="20"/>
              <w:jc w:val="both"/>
            </w:pPr>
            <w:r>
              <w:rPr>
                <w:rFonts w:ascii="Times New Roman"/>
                <w:b w:val="false"/>
                <w:i w:val="false"/>
                <w:color w:val="000000"/>
                <w:sz w:val="20"/>
              </w:rPr>
              <w:t>
   3.2.2. Инкубировать клетки или ткани, относящиеся к различным исследованиям, в одном и том же инкубаторе, при условии, что существует разделение в достаточной степени (имеются соответствующие идентификаторы, метки или раздельное размещение для отличия исследований), а также то, что ни один исследуемый элемент не является достаточно летучим, чтобы внести загрязнение в другие исследования при совместном инкубировании.</w:t>
            </w:r>
          </w:p>
          <w:p>
            <w:pPr>
              <w:spacing w:after="20"/>
              <w:ind w:left="20"/>
              <w:jc w:val="both"/>
            </w:pPr>
            <w:r>
              <w:rPr>
                <w:rFonts w:ascii="Times New Roman"/>
                <w:b w:val="false"/>
                <w:i w:val="false"/>
                <w:color w:val="000000"/>
                <w:sz w:val="20"/>
              </w:rPr>
              <w:t>
   3.2.3. Разделение критических фаз исследований возможно не только в пространственном, но и временном отношении. Манипуляция с клеточными или тканевыми культурами, например, процедуры субкультивирования, добавление исследуемого элемента, обычно выполняется в кабинетах с вертикальным ламинарным воздухопотоком, чтобы обеспечить стерильность и защитить испытательные системы, а также персонал исследования и окружающую среду. При таких обстоятельствах соответствующее разделение для предотвращения перекрестного загрязнения между исследованиями обеспечивается путем последовательных манипуляций с испытательными тест-системами, используемыми в отдельных исследованиях, с помощью тщательной очистки и обеззараживания, стерилизации рабочих поверхностей кабинета и соответствующего лабораторного оборудования, используемого в различных видах деятельности, если это необходимо.</w:t>
            </w:r>
          </w:p>
          <w:p>
            <w:pPr>
              <w:spacing w:after="20"/>
              <w:ind w:left="20"/>
              <w:jc w:val="both"/>
            </w:pPr>
            <w:r>
              <w:rPr>
                <w:rFonts w:ascii="Times New Roman"/>
                <w:b w:val="false"/>
                <w:i w:val="false"/>
                <w:color w:val="000000"/>
                <w:sz w:val="20"/>
              </w:rPr>
              <w:t>
   3.2.4. Наличие отведенных комнат или зон со специальным оборудованием, обеспечивающих долгосрочное хранение тест-систем. Оборудование, в том числе контейнеры для хранения, обеспечивают соответствующие условия для сохранения целостности тест-систем в течение длительного времени.</w:t>
            </w:r>
          </w:p>
          <w:p>
            <w:pPr>
              <w:spacing w:after="20"/>
              <w:ind w:left="20"/>
              <w:jc w:val="both"/>
            </w:pPr>
            <w:r>
              <w:rPr>
                <w:rFonts w:ascii="Times New Roman"/>
                <w:b w:val="false"/>
                <w:i w:val="false"/>
                <w:color w:val="000000"/>
                <w:sz w:val="20"/>
              </w:rPr>
              <w:t>
   3.3. Помещения для обработки исследуемых веществ (лекарственных средств) и образцов сравнения (контрольных образцов).</w:t>
            </w:r>
          </w:p>
          <w:p>
            <w:pPr>
              <w:spacing w:after="20"/>
              <w:ind w:left="20"/>
              <w:jc w:val="both"/>
            </w:pPr>
            <w:r>
              <w:rPr>
                <w:rFonts w:ascii="Times New Roman"/>
                <w:b w:val="false"/>
                <w:i w:val="false"/>
                <w:color w:val="000000"/>
                <w:sz w:val="20"/>
              </w:rPr>
              <w:t xml:space="preserve">
   Стерильность является важным фактором в исследованиях </w:t>
            </w:r>
            <w:r>
              <w:rPr>
                <w:rFonts w:ascii="Times New Roman"/>
                <w:b w:val="false"/>
                <w:i/>
                <w:color w:val="000000"/>
                <w:sz w:val="20"/>
              </w:rPr>
              <w:t>in vitro.</w:t>
            </w:r>
            <w:r>
              <w:rPr>
                <w:rFonts w:ascii="Times New Roman"/>
                <w:b w:val="false"/>
                <w:i w:val="false"/>
                <w:color w:val="000000"/>
                <w:sz w:val="20"/>
              </w:rPr>
              <w:t xml:space="preserve"> Помещения или зоны, используемые для подготовки и смешивания исследуемых и эталонных веществ со связующими веществами оснащаются таким образом, чтобы обеспечить работу в асептических условиях и защиту испытательной системы и исследования путем сведения к минимуму возможности их загрязнения в ходе подготовки тестируемых и стандартных объектов (образцов).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Оборудование, материалы и реагенты</w:t>
            </w:r>
          </w:p>
          <w:p>
            <w:pPr>
              <w:spacing w:after="20"/>
              <w:ind w:left="20"/>
              <w:jc w:val="both"/>
            </w:pPr>
            <w:r>
              <w:rPr>
                <w:rFonts w:ascii="Times New Roman"/>
                <w:b w:val="false"/>
                <w:i w:val="false"/>
                <w:color w:val="000000"/>
                <w:sz w:val="20"/>
              </w:rPr>
              <w:t xml:space="preserve">
   4.1. Для целостности и надежности отдельных исследований </w:t>
            </w:r>
            <w:r>
              <w:rPr>
                <w:rFonts w:ascii="Times New Roman"/>
                <w:b w:val="false"/>
                <w:i/>
                <w:color w:val="000000"/>
                <w:sz w:val="20"/>
              </w:rPr>
              <w:t>in vitro</w:t>
            </w:r>
            <w:r>
              <w:rPr>
                <w:rFonts w:ascii="Times New Roman"/>
                <w:b w:val="false"/>
                <w:i w:val="false"/>
                <w:color w:val="000000"/>
                <w:sz w:val="20"/>
              </w:rPr>
              <w:t xml:space="preserve"> обеспечиваются надлежащие условия для определенного оборудования (проведение регулярного технического обслуживания, контроль и калибрование микровесов, микропипеток, кабинетов с вертикальным ламинарным воздухопотоком или инкубаторов). Для специального оборудования следует определить критические параметры, требующие постоянного контроля или настройки предельных величин, наряду с установкой сигнальных устройств.</w:t>
            </w:r>
          </w:p>
          <w:p>
            <w:pPr>
              <w:spacing w:after="20"/>
              <w:ind w:left="20"/>
              <w:jc w:val="both"/>
            </w:pPr>
            <w:r>
              <w:rPr>
                <w:rFonts w:ascii="Times New Roman"/>
                <w:b w:val="false"/>
                <w:i w:val="false"/>
                <w:color w:val="000000"/>
                <w:sz w:val="20"/>
              </w:rPr>
              <w:t xml:space="preserve">
   4.2. Требования Стандарта к реагентам в отношении маркировки и сроков годности в равной степени применяются и к реагентам, используемым для исследований </w:t>
            </w:r>
            <w:r>
              <w:rPr>
                <w:rFonts w:ascii="Times New Roman"/>
                <w:b w:val="false"/>
                <w:i/>
                <w:color w:val="000000"/>
                <w:sz w:val="20"/>
              </w:rPr>
              <w:t>in vitro</w:t>
            </w:r>
            <w:r>
              <w:rPr>
                <w:rFonts w:ascii="Times New Roman"/>
                <w:b w:val="false"/>
                <w:i w:val="false"/>
                <w:color w:val="000000"/>
                <w:sz w:val="20"/>
              </w:rPr>
              <w:t>.</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Тест-системы</w:t>
            </w:r>
          </w:p>
          <w:p>
            <w:pPr>
              <w:spacing w:after="20"/>
              <w:ind w:left="20"/>
              <w:jc w:val="both"/>
            </w:pPr>
            <w:r>
              <w:rPr>
                <w:rFonts w:ascii="Times New Roman"/>
                <w:b w:val="false"/>
                <w:i w:val="false"/>
                <w:color w:val="000000"/>
                <w:sz w:val="20"/>
              </w:rPr>
              <w:t xml:space="preserve">
   5.1. Испытательные системы </w:t>
            </w:r>
            <w:r>
              <w:rPr>
                <w:rFonts w:ascii="Times New Roman"/>
                <w:b w:val="false"/>
                <w:i/>
                <w:color w:val="000000"/>
                <w:sz w:val="20"/>
              </w:rPr>
              <w:t>in vitro</w:t>
            </w:r>
            <w:r>
              <w:rPr>
                <w:rFonts w:ascii="Times New Roman"/>
                <w:b w:val="false"/>
                <w:i w:val="false"/>
                <w:color w:val="000000"/>
                <w:sz w:val="20"/>
              </w:rPr>
              <w:t xml:space="preserve"> – это, в основном, биологические системы, хотя некоторые из самых последних разработок, альтернативных обычным исследованиям </w:t>
            </w:r>
            <w:r>
              <w:rPr>
                <w:rFonts w:ascii="Times New Roman"/>
                <w:b w:val="false"/>
                <w:i/>
                <w:color w:val="000000"/>
                <w:sz w:val="20"/>
              </w:rPr>
              <w:t>in vivo</w:t>
            </w:r>
            <w:r>
              <w:rPr>
                <w:rFonts w:ascii="Times New Roman"/>
                <w:b w:val="false"/>
                <w:i w:val="false"/>
                <w:color w:val="000000"/>
                <w:sz w:val="20"/>
              </w:rPr>
              <w:t xml:space="preserve"> (например, комплект генов для токсикогеномики), имеют некоторые признаки физико-химических тест-систем, а другие, например, токсикометабономика, основываются, большей частью, на аналитической методологии. Испытательные комплекты, включая патентованные испытательные комплекты, также считаются испытательными системами.</w:t>
            </w:r>
          </w:p>
          <w:p>
            <w:pPr>
              <w:spacing w:after="20"/>
              <w:ind w:left="20"/>
              <w:jc w:val="both"/>
            </w:pPr>
            <w:r>
              <w:rPr>
                <w:rFonts w:ascii="Times New Roman"/>
                <w:b w:val="false"/>
                <w:i w:val="false"/>
                <w:color w:val="000000"/>
                <w:sz w:val="20"/>
              </w:rPr>
              <w:t>
   5.2. Условия для тест-систем</w:t>
            </w:r>
          </w:p>
          <w:p>
            <w:pPr>
              <w:spacing w:after="20"/>
              <w:ind w:left="20"/>
              <w:jc w:val="both"/>
            </w:pPr>
            <w:r>
              <w:rPr>
                <w:rFonts w:ascii="Times New Roman"/>
                <w:b w:val="false"/>
                <w:i w:val="false"/>
                <w:color w:val="000000"/>
                <w:sz w:val="20"/>
              </w:rPr>
              <w:t>
   Как и для любых других биологических тест-систем, следует определить, поддерживать и вести мониторинг соответствующих условий, чтобы обеспечить качество и целостность испытательной системы во время хранения и в ходе самого исследования. К этому относится документально оформленное определение, поддерживание и мониторинг жизнеспособности и реактивности испытательной системы, включая регистрацию количества пересевов клеток и показатели времени удвоения популяции. Следует также регистрировать условия окружающей среды (уровень жидкого азота в системе замораживания жидким азотом для хранения, температура, влажность и концентрация СО</w:t>
            </w:r>
            <w:r>
              <w:rPr>
                <w:rFonts w:ascii="Times New Roman"/>
                <w:b w:val="false"/>
                <w:i w:val="false"/>
                <w:color w:val="000000"/>
                <w:vertAlign w:val="subscript"/>
              </w:rPr>
              <w:t>2</w:t>
            </w:r>
            <w:r>
              <w:rPr>
                <w:rFonts w:ascii="Times New Roman"/>
                <w:b w:val="false"/>
                <w:i w:val="false"/>
                <w:color w:val="000000"/>
                <w:sz w:val="20"/>
              </w:rPr>
              <w:t xml:space="preserve"> в инкубаторах), а также любую манипуляцию с испытательной системой, требующуюся для поддержания ее качества и целостности (например, обработка антибиотиками или противогрибковыми средствами, субкультивирование, избирательное культивирование для сокращения частоты спонтанных случаев). Поскольку сохранение надлежащих условий окружающей среды во время хранения испытательной системы в значительно большей степени повлияет на качество данных, чем для других биологических систем, эти регистрационные данные особенно важны для поддержания качества и надежности данных.</w:t>
            </w:r>
          </w:p>
          <w:p>
            <w:pPr>
              <w:spacing w:after="20"/>
              <w:ind w:left="20"/>
              <w:jc w:val="both"/>
            </w:pPr>
            <w:r>
              <w:rPr>
                <w:rFonts w:ascii="Times New Roman"/>
                <w:b w:val="false"/>
                <w:i w:val="false"/>
                <w:color w:val="000000"/>
                <w:sz w:val="20"/>
              </w:rPr>
              <w:t>
   5.3. Недавно полученные испытательные системы</w:t>
            </w:r>
          </w:p>
          <w:p>
            <w:pPr>
              <w:spacing w:after="20"/>
              <w:ind w:left="20"/>
              <w:jc w:val="both"/>
            </w:pPr>
            <w:r>
              <w:rPr>
                <w:rFonts w:ascii="Times New Roman"/>
                <w:b w:val="false"/>
                <w:i w:val="false"/>
                <w:color w:val="000000"/>
                <w:sz w:val="20"/>
              </w:rPr>
              <w:t xml:space="preserve">
   В регистрационных данных исследования следует проанализировать и сохранить документацию, полученную от поставщика тест-систем </w:t>
            </w:r>
            <w:r>
              <w:rPr>
                <w:rFonts w:ascii="Times New Roman"/>
                <w:b w:val="false"/>
                <w:i/>
                <w:color w:val="000000"/>
                <w:sz w:val="20"/>
              </w:rPr>
              <w:t>in vitro</w:t>
            </w:r>
            <w:r>
              <w:rPr>
                <w:rFonts w:ascii="Times New Roman"/>
                <w:b w:val="false"/>
                <w:i w:val="false"/>
                <w:color w:val="000000"/>
                <w:sz w:val="20"/>
              </w:rPr>
              <w:t xml:space="preserve"> (например, происхождение, возраст, число пассажей, время удвоения клеток и прочие соответствующие характеристики, помогающие идентифицировать тест-систему). Для оценки жизнеспособности, пригодности (например, функционального и (или) морфологического статуса клеток и тканей, испытания на наличие известного или предполагаемого микробного или вирусного загрязнения) и чувствительности испытательной системы следует использовать предварительно определенные критерии. Результаты таких оценок оформляются документально и содержатся в регистрационных записях исследования. Если такая оценка невозможна, как, при использовании культур первичных клеток или "восстановленных органов", между поставщиком и пользователем существовуют механизмы оценки и документального оформления пригодности испытательной системы. Данные мониторинга и регистрации эффективности тест-системы относительно объектов отрицательного и положительного контроля служит достаточным доказательством чувствительности конкретной тест-системы. Какие-либо проблемы с испытательной системой, которые влияют на качество, достоверность и надежность исследования, оформляются документально и обсуждаются в заключительном отчете. Обращать внимание продавца на проблемы с испытательными системами, поставленными продавцом, и добиваться корректирующих мер.</w:t>
            </w:r>
          </w:p>
          <w:p>
            <w:pPr>
              <w:spacing w:after="20"/>
              <w:ind w:left="20"/>
              <w:jc w:val="both"/>
            </w:pPr>
            <w:r>
              <w:rPr>
                <w:rFonts w:ascii="Times New Roman"/>
                <w:b w:val="false"/>
                <w:i w:val="false"/>
                <w:color w:val="000000"/>
                <w:sz w:val="20"/>
              </w:rPr>
              <w:t>
   5.4. Записи о тест-системах</w:t>
            </w:r>
          </w:p>
          <w:p>
            <w:pPr>
              <w:spacing w:after="20"/>
              <w:ind w:left="20"/>
              <w:jc w:val="both"/>
            </w:pPr>
            <w:r>
              <w:rPr>
                <w:rFonts w:ascii="Times New Roman"/>
                <w:b w:val="false"/>
                <w:i w:val="false"/>
                <w:color w:val="000000"/>
                <w:sz w:val="20"/>
              </w:rPr>
              <w:t>
   5.4.1. Стандарт требует хранение записей об источнике, дате поступления и состояния тест-систем при поступлении; для клеток и тканей такие записи включают не только непосредственный источник (коммерческого поставщика), но и источник происхождения, где были выделены клетки или ткани (первичные клетки или ткани с донорскими характеристиками; адаптированные клеточные линии из известных источников). Другие сведения, помимо прочего, включают:</w:t>
            </w:r>
          </w:p>
          <w:p>
            <w:pPr>
              <w:spacing w:after="20"/>
              <w:ind w:left="20"/>
              <w:jc w:val="both"/>
            </w:pPr>
            <w:r>
              <w:rPr>
                <w:rFonts w:ascii="Times New Roman"/>
                <w:b w:val="false"/>
                <w:i w:val="false"/>
                <w:color w:val="000000"/>
                <w:sz w:val="20"/>
              </w:rPr>
              <w:t xml:space="preserve">
   1) метод, посредством которого изначально были получены клетки или ткани (получены из эксплантов тканей, биопсии нормальных или раковых тканей, перенос генов путем плазмидной трансфекции или вирусной трансдукции), </w:t>
            </w:r>
          </w:p>
          <w:p>
            <w:pPr>
              <w:spacing w:after="20"/>
              <w:ind w:left="20"/>
              <w:jc w:val="both"/>
            </w:pPr>
            <w:r>
              <w:rPr>
                <w:rFonts w:ascii="Times New Roman"/>
                <w:b w:val="false"/>
                <w:i w:val="false"/>
                <w:color w:val="000000"/>
                <w:sz w:val="20"/>
              </w:rPr>
              <w:t xml:space="preserve">
   2) хронологию хранения, </w:t>
            </w:r>
          </w:p>
          <w:p>
            <w:pPr>
              <w:spacing w:after="20"/>
              <w:ind w:left="20"/>
              <w:jc w:val="both"/>
            </w:pPr>
            <w:r>
              <w:rPr>
                <w:rFonts w:ascii="Times New Roman"/>
                <w:b w:val="false"/>
                <w:i w:val="false"/>
                <w:color w:val="000000"/>
                <w:sz w:val="20"/>
              </w:rPr>
              <w:t xml:space="preserve">
   3) количество пассажей клеточных линий, </w:t>
            </w:r>
          </w:p>
          <w:p>
            <w:pPr>
              <w:spacing w:after="20"/>
              <w:ind w:left="20"/>
              <w:jc w:val="both"/>
            </w:pPr>
            <w:r>
              <w:rPr>
                <w:rFonts w:ascii="Times New Roman"/>
                <w:b w:val="false"/>
                <w:i w:val="false"/>
                <w:color w:val="000000"/>
                <w:sz w:val="20"/>
              </w:rPr>
              <w:t xml:space="preserve">
   4) условия культивирования и интервалы субкультивирования, </w:t>
            </w:r>
          </w:p>
          <w:p>
            <w:pPr>
              <w:spacing w:after="20"/>
              <w:ind w:left="20"/>
              <w:jc w:val="both"/>
            </w:pPr>
            <w:r>
              <w:rPr>
                <w:rFonts w:ascii="Times New Roman"/>
                <w:b w:val="false"/>
                <w:i w:val="false"/>
                <w:color w:val="000000"/>
                <w:sz w:val="20"/>
              </w:rPr>
              <w:t xml:space="preserve">
   5) условия замораживания, размораживания. </w:t>
            </w:r>
          </w:p>
          <w:p>
            <w:pPr>
              <w:spacing w:after="20"/>
              <w:ind w:left="20"/>
              <w:jc w:val="both"/>
            </w:pPr>
            <w:r>
              <w:rPr>
                <w:rFonts w:ascii="Times New Roman"/>
                <w:b w:val="false"/>
                <w:i w:val="false"/>
                <w:color w:val="000000"/>
                <w:sz w:val="20"/>
              </w:rPr>
              <w:t>
   Для трансгенных тест-систем необходимо установить природу трансгена и вести соответствующее управление экспрессией трансгенов.</w:t>
            </w:r>
          </w:p>
          <w:p>
            <w:pPr>
              <w:spacing w:after="20"/>
              <w:ind w:left="20"/>
              <w:jc w:val="both"/>
            </w:pPr>
            <w:r>
              <w:rPr>
                <w:rFonts w:ascii="Times New Roman"/>
                <w:b w:val="false"/>
                <w:i w:val="false"/>
                <w:color w:val="000000"/>
                <w:sz w:val="20"/>
              </w:rPr>
              <w:t>
   5.4.2. Следует уделять особое внимание надлежащей маркировке тест-систем во время хранения и использования, что включает меры по обеспечению износостойкости маркировки. Следует всегда принимать меры по обеспечению правильной идентификации тест-систем, особенно если размер контейнеров и условия хранения (криососуды в жидком азоте, несколько тест-систем, хранящиеся в одном контейнере) являются критическими факторами для маркировки.</w:t>
            </w:r>
          </w:p>
          <w:p>
            <w:pPr>
              <w:spacing w:after="20"/>
              <w:ind w:left="20"/>
              <w:jc w:val="both"/>
            </w:pPr>
            <w:r>
              <w:rPr>
                <w:rFonts w:ascii="Times New Roman"/>
                <w:b w:val="false"/>
                <w:i w:val="false"/>
                <w:color w:val="000000"/>
                <w:sz w:val="20"/>
              </w:rPr>
              <w:t xml:space="preserve">
   5.4.3. Требования Стандарта для тест-систем и реагентов в отношении маркировки и сроков хранения в равной мере применяются и к наборам для проведения испытаний, используемых в качестве тест-систем </w:t>
            </w:r>
            <w:r>
              <w:rPr>
                <w:rFonts w:ascii="Times New Roman"/>
                <w:b w:val="false"/>
                <w:i/>
                <w:color w:val="000000"/>
                <w:sz w:val="20"/>
              </w:rPr>
              <w:t>in vitro</w:t>
            </w:r>
            <w:r>
              <w:rPr>
                <w:rFonts w:ascii="Times New Roman"/>
                <w:b w:val="false"/>
                <w:i w:val="false"/>
                <w:color w:val="000000"/>
                <w:sz w:val="20"/>
              </w:rPr>
              <w:t>. Все наборы для испытаний, используемые в качестве тест-систем или иным образом, с аналитическими целями, имеет срок годности. Продление данного срока годности осуществляется только на основе документально оформленной оценки (или анализа). Наборы для проведения испытаний, используемых в качестве тест-систем, подвергаются оценке, которая оформляется документально, и быть доказательством того, что даже после истечения срока годности реакция не отклоняется от исторических показателей контроля. Например, из ранее зарегистрированных наблюдаемых реакций соответствующей партии наборов для проведения испытаний по отношению к объектам положительного, отрицательного контроля и (или) контроля реактива (носителя, разбавителя). Документально оформленное решение руководителя исследования о продлении срока годности имеет доказательство для данного процесса оценки.</w:t>
            </w:r>
          </w:p>
          <w:p>
            <w:pPr>
              <w:spacing w:after="20"/>
              <w:ind w:left="20"/>
              <w:jc w:val="both"/>
            </w:pPr>
            <w:r>
              <w:rPr>
                <w:rFonts w:ascii="Times New Roman"/>
                <w:b w:val="false"/>
                <w:i w:val="false"/>
                <w:color w:val="000000"/>
                <w:sz w:val="20"/>
              </w:rPr>
              <w:t>
   5.4.4. Чтобы избежать возможной путаницы, номенклатура тест-систем и маркировка тест-систем точно определяется, а на всех записях, полученные при отдельных исследованиях, указывается официально принятое обозначение тест-систем.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Тестируемые и стандартные объекты (в том числе объекты отрицательного и положительного контроля)</w:t>
            </w:r>
          </w:p>
          <w:p>
            <w:pPr>
              <w:spacing w:after="20"/>
              <w:ind w:left="20"/>
              <w:jc w:val="both"/>
            </w:pPr>
            <w:r>
              <w:rPr>
                <w:rFonts w:ascii="Times New Roman"/>
                <w:b w:val="false"/>
                <w:i w:val="false"/>
                <w:color w:val="000000"/>
                <w:sz w:val="20"/>
              </w:rPr>
              <w:t xml:space="preserve">
   6.1. В целом, не существует специальных требований к получению, обработке, отбору проб, хранению и определению характеристик тестируемых и стандартных образцов, используемых в исследованиях </w:t>
            </w:r>
            <w:r>
              <w:rPr>
                <w:rFonts w:ascii="Times New Roman"/>
                <w:b w:val="false"/>
                <w:i/>
                <w:color w:val="000000"/>
                <w:sz w:val="20"/>
              </w:rPr>
              <w:t>in vitro</w:t>
            </w:r>
            <w:r>
              <w:rPr>
                <w:rFonts w:ascii="Times New Roman"/>
                <w:b w:val="false"/>
                <w:i w:val="false"/>
                <w:color w:val="000000"/>
                <w:sz w:val="20"/>
              </w:rPr>
              <w:t>, где применяются испытательные системы, кроме перечисленных в Стандартах. Однако требуются асептические условия при их обработке, чтобы избежать микробного заражения тест-систем.</w:t>
            </w:r>
          </w:p>
          <w:p>
            <w:pPr>
              <w:spacing w:after="20"/>
              <w:ind w:left="20"/>
              <w:jc w:val="both"/>
            </w:pPr>
            <w:r>
              <w:rPr>
                <w:rFonts w:ascii="Times New Roman"/>
                <w:b w:val="false"/>
                <w:i w:val="false"/>
                <w:color w:val="000000"/>
                <w:sz w:val="20"/>
              </w:rPr>
              <w:t xml:space="preserve">
   6.2. Определение концентрации и однородности, необходимо для положительного, отрицательного контроля и (или) контроля реактивов (носителя, разбавителя), поскольку наличие этих показателей достаточное доказательство корректной, ожидаемой ответной реакции тест-системы на них. </w:t>
            </w:r>
          </w:p>
          <w:p>
            <w:pPr>
              <w:spacing w:after="20"/>
              <w:ind w:left="20"/>
              <w:jc w:val="both"/>
            </w:pPr>
            <w:r>
              <w:rPr>
                <w:rFonts w:ascii="Times New Roman"/>
                <w:b w:val="false"/>
                <w:i w:val="false"/>
                <w:color w:val="000000"/>
                <w:sz w:val="20"/>
              </w:rPr>
              <w:t>
   6.3. Срок годности контрольных объектов (образцов) также продливается на основании документальной оценки или анализа. Такая оценка состояется из документального подтверждения того, что реакция соответствующих тест-систем на объекты положительного, отрицательного контроля и (или) контроля реактива не отклоняется от хранящихся в испытательной лаборатории исторических показателей контроля, которые, в свою очередь, сопоставимы с опубликованными эталонными показателями.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Стандартные операционные процедуры</w:t>
            </w:r>
          </w:p>
          <w:p>
            <w:pPr>
              <w:spacing w:after="20"/>
              <w:ind w:left="20"/>
              <w:jc w:val="both"/>
            </w:pPr>
            <w:r>
              <w:rPr>
                <w:rFonts w:ascii="Times New Roman"/>
                <w:b w:val="false"/>
                <w:i w:val="false"/>
                <w:color w:val="000000"/>
                <w:sz w:val="20"/>
              </w:rPr>
              <w:t xml:space="preserve">
   7.1. В дополнение к примерам, приведенным в параграфе 2.7.4 настоящего Стандарта, имеются виды деятельности и процессы, специфические для исследования </w:t>
            </w:r>
            <w:r>
              <w:rPr>
                <w:rFonts w:ascii="Times New Roman"/>
                <w:b w:val="false"/>
                <w:i/>
                <w:color w:val="000000"/>
                <w:sz w:val="20"/>
              </w:rPr>
              <w:t>in vitro</w:t>
            </w:r>
            <w:r>
              <w:rPr>
                <w:rFonts w:ascii="Times New Roman"/>
                <w:b w:val="false"/>
                <w:i w:val="false"/>
                <w:color w:val="000000"/>
                <w:sz w:val="20"/>
              </w:rPr>
              <w:t xml:space="preserve">, которые следует описать в Стандартных операционных процедурах. Такие СОП дополнительно включают в себя следующие примеры деятельности испытательного центра, связанные с проведением испытаний </w:t>
            </w:r>
            <w:r>
              <w:rPr>
                <w:rFonts w:ascii="Times New Roman"/>
                <w:b w:val="false"/>
                <w:i/>
                <w:color w:val="000000"/>
                <w:sz w:val="20"/>
              </w:rPr>
              <w:t>in vitro</w:t>
            </w:r>
            <w:r>
              <w:rPr>
                <w:rFonts w:ascii="Times New Roman"/>
                <w:b w:val="false"/>
                <w:i w:val="false"/>
                <w:color w:val="000000"/>
                <w:sz w:val="20"/>
              </w:rPr>
              <w:t>, но не ограничиваться ими:</w:t>
            </w:r>
          </w:p>
          <w:p>
            <w:pPr>
              <w:spacing w:after="20"/>
              <w:ind w:left="20"/>
              <w:jc w:val="both"/>
            </w:pPr>
            <w:r>
              <w:rPr>
                <w:rFonts w:ascii="Times New Roman"/>
                <w:b w:val="false"/>
                <w:i w:val="false"/>
                <w:color w:val="000000"/>
                <w:sz w:val="20"/>
              </w:rPr>
              <w:t>
   7.2. Лаборатория</w:t>
            </w:r>
          </w:p>
          <w:p>
            <w:pPr>
              <w:spacing w:after="20"/>
              <w:ind w:left="20"/>
              <w:jc w:val="both"/>
            </w:pPr>
            <w:r>
              <w:rPr>
                <w:rFonts w:ascii="Times New Roman"/>
                <w:b w:val="false"/>
                <w:i w:val="false"/>
                <w:color w:val="000000"/>
                <w:sz w:val="20"/>
              </w:rPr>
              <w:t>
   Мониторинг окружающей среды на наличие патогенных микроорганизмов в воздухе и на поверхностях, очистка и дезинфекция, действия, предпринимаемые в случае инфекции или загрязнения в испытательной лаборатории или зоне проведения испытания.</w:t>
            </w:r>
          </w:p>
          <w:p>
            <w:pPr>
              <w:spacing w:after="20"/>
              <w:ind w:left="20"/>
              <w:jc w:val="both"/>
            </w:pPr>
            <w:r>
              <w:rPr>
                <w:rFonts w:ascii="Times New Roman"/>
                <w:b w:val="false"/>
                <w:i w:val="false"/>
                <w:color w:val="000000"/>
                <w:sz w:val="20"/>
              </w:rPr>
              <w:t>
   7.3. Оборудование</w:t>
            </w:r>
          </w:p>
          <w:p>
            <w:pPr>
              <w:spacing w:after="20"/>
              <w:ind w:left="20"/>
              <w:jc w:val="both"/>
            </w:pPr>
            <w:r>
              <w:rPr>
                <w:rFonts w:ascii="Times New Roman"/>
                <w:b w:val="false"/>
                <w:i w:val="false"/>
                <w:color w:val="000000"/>
                <w:sz w:val="20"/>
              </w:rPr>
              <w:t>
   Использование, техническое обслуживание, контроль производительности, уборка и обеззараживание оборудования и инструментов, используемых в работе с культурами клеток и тканей (ламинарных шкафов и инкубаторов; мониторинг уровня жидкого азота в контейнерах для хранения тест-систем; калибровка и мониторинг температуры, влажности и уровней СО</w:t>
            </w:r>
            <w:r>
              <w:rPr>
                <w:rFonts w:ascii="Times New Roman"/>
                <w:b w:val="false"/>
                <w:i w:val="false"/>
                <w:color w:val="000000"/>
                <w:vertAlign w:val="subscript"/>
              </w:rPr>
              <w:t>2</w:t>
            </w:r>
            <w:r>
              <w:rPr>
                <w:rFonts w:ascii="Times New Roman"/>
                <w:b w:val="false"/>
                <w:i w:val="false"/>
                <w:color w:val="000000"/>
                <w:sz w:val="20"/>
              </w:rPr>
              <w:t xml:space="preserve"> в инкубаторах).</w:t>
            </w:r>
          </w:p>
          <w:p>
            <w:pPr>
              <w:spacing w:after="20"/>
              <w:ind w:left="20"/>
              <w:jc w:val="both"/>
            </w:pPr>
            <w:r>
              <w:rPr>
                <w:rFonts w:ascii="Times New Roman"/>
                <w:b w:val="false"/>
                <w:i w:val="false"/>
                <w:color w:val="000000"/>
                <w:sz w:val="20"/>
              </w:rPr>
              <w:t>
   7.4. Материалы, реагенты и растворы</w:t>
            </w:r>
          </w:p>
          <w:p>
            <w:pPr>
              <w:spacing w:after="20"/>
              <w:ind w:left="20"/>
              <w:jc w:val="both"/>
            </w:pPr>
            <w:r>
              <w:rPr>
                <w:rFonts w:ascii="Times New Roman"/>
                <w:b w:val="false"/>
                <w:i w:val="false"/>
                <w:color w:val="000000"/>
                <w:sz w:val="20"/>
              </w:rPr>
              <w:t>
   Оценка пригодности, продление сроков годности, оценка и поддержание стерильности, скрининг распространенных патогенных контаминантов; описание процедур выбора и использования растворителя (разбавителя, носителя); процедуры верификации совместимости растворителя (носителя) и тест-системы.</w:t>
            </w:r>
          </w:p>
          <w:p>
            <w:pPr>
              <w:spacing w:after="20"/>
              <w:ind w:left="20"/>
              <w:jc w:val="both"/>
            </w:pPr>
            <w:r>
              <w:rPr>
                <w:rFonts w:ascii="Times New Roman"/>
                <w:b w:val="false"/>
                <w:i w:val="false"/>
                <w:color w:val="000000"/>
                <w:sz w:val="20"/>
              </w:rPr>
              <w:t>
   7.5. Тест-системы</w:t>
            </w:r>
          </w:p>
          <w:p>
            <w:pPr>
              <w:spacing w:after="20"/>
              <w:ind w:left="20"/>
              <w:jc w:val="both"/>
            </w:pPr>
            <w:r>
              <w:rPr>
                <w:rFonts w:ascii="Times New Roman"/>
                <w:b w:val="false"/>
                <w:i w:val="false"/>
                <w:color w:val="000000"/>
                <w:sz w:val="20"/>
              </w:rPr>
              <w:t>
   Условия для хранения и процедуры для замораживания и размораживания клеток и тканей, исследование на распространенные патогены; визуальный осмотр на наличие загрязняющих веществ; процедуры проверки (с использованием критериев приемлемости) для обеспечения свойств и чувствительности тест-системы после прибытия и во время использования, как непосредственно после прибытия, так и в ходе использования; морфологическая оценка, контроль фенотипа или стабильности кариотипа, контроль стабильности трансгена; режим инициирования культуры, условия культивирования с указанием интервалов субкультивирования; обработка биологически опасных материалов и тест-систем, процедуры утилизации тест-систем.</w:t>
            </w:r>
          </w:p>
          <w:p>
            <w:pPr>
              <w:spacing w:after="20"/>
              <w:ind w:left="20"/>
              <w:jc w:val="both"/>
            </w:pPr>
            <w:r>
              <w:rPr>
                <w:rFonts w:ascii="Times New Roman"/>
                <w:b w:val="false"/>
                <w:i w:val="false"/>
                <w:color w:val="000000"/>
                <w:sz w:val="20"/>
              </w:rPr>
              <w:t>
   7.6. Проведение исследования</w:t>
            </w:r>
          </w:p>
          <w:p>
            <w:pPr>
              <w:spacing w:after="20"/>
              <w:ind w:left="20"/>
              <w:jc w:val="both"/>
            </w:pPr>
            <w:r>
              <w:rPr>
                <w:rFonts w:ascii="Times New Roman"/>
                <w:b w:val="false"/>
                <w:i w:val="false"/>
                <w:color w:val="000000"/>
                <w:sz w:val="20"/>
              </w:rPr>
              <w:t>
   Асептические техники, критерии приемлемости достоверности исследования, критерии для повторного проведения анализа.</w:t>
            </w:r>
          </w:p>
          <w:p>
            <w:pPr>
              <w:spacing w:after="20"/>
              <w:ind w:left="20"/>
              <w:jc w:val="both"/>
            </w:pPr>
            <w:r>
              <w:rPr>
                <w:rFonts w:ascii="Times New Roman"/>
                <w:b w:val="false"/>
                <w:i w:val="false"/>
                <w:color w:val="000000"/>
                <w:sz w:val="20"/>
              </w:rPr>
              <w:t>
   7.7. Обеспечение качества</w:t>
            </w:r>
          </w:p>
          <w:p>
            <w:pPr>
              <w:spacing w:after="20"/>
              <w:ind w:left="20"/>
              <w:jc w:val="both"/>
            </w:pPr>
            <w:r>
              <w:rPr>
                <w:rFonts w:ascii="Times New Roman"/>
                <w:b w:val="false"/>
                <w:i w:val="false"/>
                <w:color w:val="000000"/>
                <w:sz w:val="20"/>
              </w:rPr>
              <w:t>
   Определение критических фаз, частота инспекций.</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Проведение исследования и отчеты о результатах исследования</w:t>
            </w:r>
          </w:p>
          <w:p>
            <w:pPr>
              <w:spacing w:after="20"/>
              <w:ind w:left="20"/>
              <w:jc w:val="both"/>
            </w:pPr>
            <w:r>
              <w:rPr>
                <w:rFonts w:ascii="Times New Roman"/>
                <w:b w:val="false"/>
                <w:i w:val="false"/>
                <w:color w:val="000000"/>
                <w:sz w:val="20"/>
              </w:rPr>
              <w:t xml:space="preserve">
   8.1. Требования Стандарта к эффективности исследований </w:t>
            </w:r>
            <w:r>
              <w:rPr>
                <w:rFonts w:ascii="Times New Roman"/>
                <w:b w:val="false"/>
                <w:i/>
                <w:color w:val="000000"/>
                <w:sz w:val="20"/>
              </w:rPr>
              <w:t xml:space="preserve">in vitro </w:t>
            </w:r>
            <w:r>
              <w:rPr>
                <w:rFonts w:ascii="Times New Roman"/>
                <w:b w:val="false"/>
                <w:i w:val="false"/>
                <w:color w:val="000000"/>
                <w:sz w:val="20"/>
              </w:rPr>
              <w:t>идентичны требованиям, предъявляемым к традиционным исследованиям безопасности.</w:t>
            </w:r>
          </w:p>
          <w:p>
            <w:pPr>
              <w:spacing w:after="20"/>
              <w:ind w:left="20"/>
              <w:jc w:val="both"/>
            </w:pPr>
            <w:r>
              <w:rPr>
                <w:rFonts w:ascii="Times New Roman"/>
                <w:b w:val="false"/>
                <w:i w:val="false"/>
                <w:color w:val="000000"/>
                <w:sz w:val="20"/>
              </w:rPr>
              <w:t xml:space="preserve">
   8.2. Существует несколько вопросов, характерных для исследования </w:t>
            </w:r>
            <w:r>
              <w:rPr>
                <w:rFonts w:ascii="Times New Roman"/>
                <w:b w:val="false"/>
                <w:i/>
                <w:color w:val="000000"/>
                <w:sz w:val="20"/>
              </w:rPr>
              <w:t>in vitro</w:t>
            </w:r>
            <w:r>
              <w:rPr>
                <w:rFonts w:ascii="Times New Roman"/>
                <w:b w:val="false"/>
                <w:i w:val="false"/>
                <w:color w:val="000000"/>
                <w:sz w:val="20"/>
              </w:rPr>
              <w:t xml:space="preserve">, которые следует отражать в протоколе, плане, программе исследования, а также в заключительном отчете об исследовании. Эти вопросы носят, в основном, научный, технический характер, как (научное) требование о том, что любой внутренний контроль (соответствующего объекта положительного, отрицательного контроля, контроля реактива и необработанного объекта), осуществляемый в целях контроля погрешностей и оценки эффективности тест-системы, следует выполнять одновременно с исследуемым веществом (лекарственным средством) во всех исследованиях </w:t>
            </w:r>
            <w:r>
              <w:rPr>
                <w:rFonts w:ascii="Times New Roman"/>
                <w:b w:val="false"/>
                <w:i/>
                <w:color w:val="000000"/>
                <w:sz w:val="20"/>
              </w:rPr>
              <w:t>in vitro</w:t>
            </w:r>
            <w:r>
              <w:rPr>
                <w:rFonts w:ascii="Times New Roman"/>
                <w:b w:val="false"/>
                <w:i w:val="false"/>
                <w:color w:val="000000"/>
                <w:sz w:val="20"/>
              </w:rPr>
              <w:t xml:space="preserve">.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Хранение записей и материалов</w:t>
            </w:r>
          </w:p>
          <w:p>
            <w:pPr>
              <w:spacing w:after="20"/>
              <w:ind w:left="20"/>
              <w:jc w:val="both"/>
            </w:pPr>
            <w:r>
              <w:rPr>
                <w:rFonts w:ascii="Times New Roman"/>
                <w:b w:val="false"/>
                <w:i w:val="false"/>
                <w:color w:val="000000"/>
                <w:sz w:val="20"/>
              </w:rPr>
              <w:t xml:space="preserve">
 9.1. Общие требования Стандарта к хранению применяются и к исследованиям </w:t>
            </w:r>
            <w:r>
              <w:rPr>
                <w:rFonts w:ascii="Times New Roman"/>
                <w:b w:val="false"/>
                <w:i/>
                <w:color w:val="000000"/>
                <w:sz w:val="20"/>
              </w:rPr>
              <w:t>in vitro</w:t>
            </w:r>
            <w:r>
              <w:rPr>
                <w:rFonts w:ascii="Times New Roman"/>
                <w:b w:val="false"/>
                <w:i w:val="false"/>
                <w:color w:val="000000"/>
                <w:sz w:val="20"/>
              </w:rPr>
              <w:t>. Следует сохранять образцы тест-систем, которые можно хранить в течение длительного времени, особенно тест-систем, наличие которых ограничено (например, специальные субклоны клеточных линий, трансгенные клетки и т.д.), чтобы можно было подтвердить идентичность испытательной системы и (или) возможность воспроизвести исследование.</w:t>
            </w:r>
          </w:p>
          <w:p>
            <w:pPr>
              <w:spacing w:after="20"/>
              <w:ind w:left="20"/>
              <w:jc w:val="both"/>
            </w:pPr>
            <w:r>
              <w:rPr>
                <w:rFonts w:ascii="Times New Roman"/>
                <w:b w:val="false"/>
                <w:i w:val="false"/>
                <w:color w:val="000000"/>
                <w:sz w:val="20"/>
              </w:rPr>
              <w:t xml:space="preserve">
   9.2. Необходимо принимать во внимание возможность сохранения проб исследуемого вещества (лекарственного средства) тех исследований </w:t>
            </w:r>
            <w:r>
              <w:rPr>
                <w:rFonts w:ascii="Times New Roman"/>
                <w:b w:val="false"/>
                <w:i/>
                <w:color w:val="000000"/>
                <w:sz w:val="20"/>
              </w:rPr>
              <w:t>in vitro</w:t>
            </w:r>
            <w:r>
              <w:rPr>
                <w:rFonts w:ascii="Times New Roman"/>
                <w:b w:val="false"/>
                <w:i w:val="false"/>
                <w:color w:val="000000"/>
                <w:sz w:val="20"/>
              </w:rPr>
              <w:t xml:space="preserve">, которые относятся к категории краткосрочных, особенно в случаях, когда исследования </w:t>
            </w:r>
            <w:r>
              <w:rPr>
                <w:rFonts w:ascii="Times New Roman"/>
                <w:b w:val="false"/>
                <w:i/>
                <w:color w:val="000000"/>
                <w:sz w:val="20"/>
              </w:rPr>
              <w:t>in vitro</w:t>
            </w:r>
            <w:r>
              <w:rPr>
                <w:rFonts w:ascii="Times New Roman"/>
                <w:b w:val="false"/>
                <w:i w:val="false"/>
                <w:color w:val="000000"/>
                <w:sz w:val="20"/>
              </w:rPr>
              <w:t xml:space="preserve"> составляют основу исследований безопасности.</w:t>
            </w:r>
          </w:p>
          <w:p>
            <w:pPr>
              <w:spacing w:after="20"/>
              <w:ind w:left="20"/>
              <w:jc w:val="both"/>
            </w:pPr>
            <w:r>
              <w:rPr>
                <w:rFonts w:ascii="Times New Roman"/>
                <w:b w:val="false"/>
                <w:i w:val="false"/>
                <w:color w:val="000000"/>
                <w:sz w:val="20"/>
              </w:rPr>
              <w:t>
   9.3. Также следует хранить записи об исторических положительных, отрицательных, неиспользуемых результатах и (или) результатах средств контроля растворителя, используемых для установления допустимого диапазона реакции тест-системы.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надлежащей лабораторной</w:t>
            </w:r>
            <w:r>
              <w:br/>
            </w:r>
            <w:r>
              <w:rPr>
                <w:rFonts w:ascii="Times New Roman"/>
                <w:b w:val="false"/>
                <w:i w:val="false"/>
                <w:color w:val="000000"/>
                <w:sz w:val="20"/>
              </w:rPr>
              <w:t>практики 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
        <w:gridCol w:w="122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Роль и должностные обязанности руководителя исследования при проведении исследований согласно Стандарту</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Роль руководителя исследования</w:t>
            </w:r>
          </w:p>
          <w:p>
            <w:pPr>
              <w:spacing w:after="20"/>
              <w:ind w:left="20"/>
              <w:jc w:val="both"/>
            </w:pPr>
            <w:r>
              <w:rPr>
                <w:rFonts w:ascii="Times New Roman"/>
                <w:b w:val="false"/>
                <w:i w:val="false"/>
                <w:color w:val="000000"/>
                <w:sz w:val="20"/>
              </w:rPr>
              <w:t xml:space="preserve">
   1.1. При исследовании руководитель исследования представляет собой единственное контролирующее лицо с окончательной ответственностью за полное научное руководство им. В этом состоит главная роль руководителя исследования, и все служебные обязанности и обязательства, как обозначено в Стандарте, проистекают из нее. При исследовании в любой момент времени действует только один руководитель. </w:t>
            </w:r>
          </w:p>
          <w:p>
            <w:pPr>
              <w:spacing w:after="20"/>
              <w:ind w:left="20"/>
              <w:jc w:val="both"/>
            </w:pPr>
            <w:r>
              <w:rPr>
                <w:rFonts w:ascii="Times New Roman"/>
                <w:b w:val="false"/>
                <w:i w:val="false"/>
                <w:color w:val="000000"/>
                <w:sz w:val="20"/>
              </w:rPr>
              <w:t>
   1.2. Должность руководителя исследования служит гарантией того, что контролируются научная, административная и исполнительная стороны исследования. Руководитель исследования достигает этого путем согласования усилий управляющего аппарата, научного, технического персонала и программы обеспечения качества.</w:t>
            </w:r>
          </w:p>
          <w:p>
            <w:pPr>
              <w:spacing w:after="20"/>
              <w:ind w:left="20"/>
              <w:jc w:val="both"/>
            </w:pPr>
            <w:r>
              <w:rPr>
                <w:rFonts w:ascii="Times New Roman"/>
                <w:b w:val="false"/>
                <w:i w:val="false"/>
                <w:color w:val="000000"/>
                <w:sz w:val="20"/>
              </w:rPr>
              <w:t>
   1.3. При многоцентровых исследованиях, когда проводятся работы на более чем одной испытательной площадке, и руководитель исследования не имеет возможности осуществления непосредственного надзора, исследовательские операции контролируются подготовленным соответствующим образом, квалифицированным и опытным штатным сотрудником, именуемым главный исследователь. Действуя от имени руководителя исследования, он несет ответственность за проведение конкретных установленных фаз эксперимента в соответствии с применимыми принципами Стандарта.</w:t>
            </w:r>
          </w:p>
          <w:p>
            <w:pPr>
              <w:spacing w:after="20"/>
              <w:ind w:left="20"/>
              <w:jc w:val="both"/>
            </w:pPr>
            <w:r>
              <w:rPr>
                <w:rFonts w:ascii="Times New Roman"/>
                <w:b w:val="false"/>
                <w:i w:val="false"/>
                <w:color w:val="000000"/>
                <w:sz w:val="20"/>
              </w:rPr>
              <w:t>
   1.4. Должность руководителя исследования обычно занимает работник, курирующий научные аспекты исследований, который отвечает за дизайн и утверждение протокола, плана, программы исследования, а также за наблюдение за сбором данных, анализом и отчетностью. На него возлагается обязанность делать итоговые общие выводы по результатам эксперимента. Как ведущий научный сотрудник руководитель исследования сотрудничает с другими исследователями и (или) ведущим исследователем, оставаясь в курсе полученных в ходе эксперимента данных, а также принимая и изучая соответствующие их индивидуальные доклады, чтобы включить в итоговый отчет исследования.</w:t>
            </w:r>
          </w:p>
          <w:p>
            <w:pPr>
              <w:spacing w:after="20"/>
              <w:ind w:left="20"/>
              <w:jc w:val="both"/>
            </w:pPr>
            <w:r>
              <w:rPr>
                <w:rFonts w:ascii="Times New Roman"/>
                <w:b w:val="false"/>
                <w:i w:val="false"/>
                <w:color w:val="000000"/>
                <w:sz w:val="20"/>
              </w:rPr>
              <w:t>
   1.5. В административном порядке для правильного проведения эксперимента руководитель исследования требует и устанавливает соотношение ресурсов, предоставляемых руководствам, таких как персонал, оборудование и материальную базу, с тем, чтобы позаботиться о соответствующем их качестве и доступности согласно графику.</w:t>
            </w:r>
          </w:p>
          <w:p>
            <w:pPr>
              <w:spacing w:after="20"/>
              <w:ind w:left="20"/>
              <w:jc w:val="both"/>
            </w:pPr>
            <w:r>
              <w:rPr>
                <w:rFonts w:ascii="Times New Roman"/>
                <w:b w:val="false"/>
                <w:i w:val="false"/>
                <w:color w:val="000000"/>
                <w:sz w:val="20"/>
              </w:rPr>
              <w:t xml:space="preserve">
   1.6. Соблюдение обязательных условий также входит в обязанности руководителя исследования. В этой роли он несет ответственность за обеспечение того, что исследование осуществляется в соответствии с Стандартом, для подтверждения чего требуется наличие подписи на итоговом отчете исследования. </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Обязанности руководства</w:t>
            </w:r>
          </w:p>
          <w:p>
            <w:pPr>
              <w:spacing w:after="20"/>
              <w:ind w:left="20"/>
              <w:jc w:val="both"/>
            </w:pPr>
            <w:r>
              <w:rPr>
                <w:rFonts w:ascii="Times New Roman"/>
                <w:b w:val="false"/>
                <w:i w:val="false"/>
                <w:color w:val="000000"/>
                <w:sz w:val="20"/>
              </w:rPr>
              <w:t xml:space="preserve">
   Руководство испытательной лаборатории несет ответственность за обеспечение функционирования лаборатории в соответствии с Стандартом, что включает эффективную организацию во всех областях деятельности и назначение достаточного числа квалифицированных и опытных сотрудников, в том числе руководителей исследования, а при необходимости проведения исследования на нескольких площадках – ведущего(их) исследователя(ей). </w:t>
            </w:r>
          </w:p>
          <w:p>
            <w:pPr>
              <w:spacing w:after="20"/>
              <w:ind w:left="20"/>
              <w:jc w:val="both"/>
            </w:pPr>
            <w:r>
              <w:rPr>
                <w:rFonts w:ascii="Times New Roman"/>
                <w:b w:val="false"/>
                <w:i w:val="false"/>
                <w:color w:val="000000"/>
                <w:sz w:val="20"/>
              </w:rPr>
              <w:t>
   2.1. Назначение руководителей исследования</w:t>
            </w:r>
          </w:p>
          <w:p>
            <w:pPr>
              <w:spacing w:after="20"/>
              <w:ind w:left="20"/>
              <w:jc w:val="both"/>
            </w:pPr>
            <w:r>
              <w:rPr>
                <w:rFonts w:ascii="Times New Roman"/>
                <w:b w:val="false"/>
                <w:i w:val="false"/>
                <w:color w:val="000000"/>
                <w:sz w:val="20"/>
              </w:rPr>
              <w:t xml:space="preserve">
   2.1.1. Руководство испытательной лаборатории утверждает документ, определяющий процедуры выбора и назначения руководителей исследования, их заместителей и ведущих(их) исследователя(ей), если это требуется программами контроля соблюдения принципов Стандарта. </w:t>
            </w:r>
          </w:p>
          <w:p>
            <w:pPr>
              <w:spacing w:after="20"/>
              <w:ind w:left="20"/>
              <w:jc w:val="both"/>
            </w:pPr>
            <w:r>
              <w:rPr>
                <w:rFonts w:ascii="Times New Roman"/>
                <w:b w:val="false"/>
                <w:i w:val="false"/>
                <w:color w:val="000000"/>
                <w:sz w:val="20"/>
              </w:rPr>
              <w:t>
   2.1.2. Назначая для исследования руководителя, руководству испытательной лаборатории следует ознакомиться с текущей или ожидаемой рабочей нагрузкой данного сотрудника. Чтобы оценить объем работы, выполняемый каждым человеком в стенах испытательной лаборатории, можно использовать основной график работ, куда включена информация о видах и сроках проведения экспериментов, закрепленных за каждым руководителем исследования. Это также полезный управленческий инструмент при распределении исследований.</w:t>
            </w:r>
          </w:p>
          <w:p>
            <w:pPr>
              <w:spacing w:after="20"/>
              <w:ind w:left="20"/>
              <w:jc w:val="both"/>
            </w:pPr>
            <w:r>
              <w:rPr>
                <w:rFonts w:ascii="Times New Roman"/>
                <w:b w:val="false"/>
                <w:i w:val="false"/>
                <w:color w:val="000000"/>
                <w:sz w:val="20"/>
              </w:rPr>
              <w:t xml:space="preserve">
   2.1.3. Замена руководителя исследования и (или) ведущего исследователя производиться согласно установленным процедурам и оформляется документально. </w:t>
            </w:r>
          </w:p>
          <w:p>
            <w:pPr>
              <w:spacing w:after="20"/>
              <w:ind w:left="20"/>
              <w:jc w:val="both"/>
            </w:pPr>
            <w:r>
              <w:rPr>
                <w:rFonts w:ascii="Times New Roman"/>
                <w:b w:val="false"/>
                <w:i w:val="false"/>
                <w:color w:val="000000"/>
                <w:sz w:val="20"/>
              </w:rPr>
              <w:t>
   2.2. Обучение и профессиональная подготовка руководителей исследования</w:t>
            </w:r>
          </w:p>
          <w:p>
            <w:pPr>
              <w:spacing w:after="20"/>
              <w:ind w:left="20"/>
              <w:jc w:val="both"/>
            </w:pPr>
            <w:r>
              <w:rPr>
                <w:rFonts w:ascii="Times New Roman"/>
                <w:b w:val="false"/>
                <w:i w:val="false"/>
                <w:color w:val="000000"/>
                <w:sz w:val="20"/>
              </w:rPr>
              <w:t>
   2.2.1. Руководство обеспечивает документальное подтверждение обучения и профессиональной подготовки руководителя исследования по всем направлениям деятельности. Обучающая программа обеспечивает, чтобы руководители исследования обладали полным и четким пониманием Стандарта и соответствующей осведомленностью о порядке деятельности испытательной лаборатории. Сюда можно отнести знание и практическое владение другими инструкциями и распоряжениями, имеющими отношение к испытательной лаборатории и конкретному типу исследования. Профессиональная подготовка включает опыт работы под непосредственным надзором компетентных должностных лиц. Периоды наблюдения или стажировка в рамках каждого направления, задействованного в эксперименте, обеспечивают полезное основополагающее понимание соответствующих практических аспектов и научных принципов, а также помогать в установлении способов связи. Посещение внутриведомственных и независимых семинаров и курсов, участие в профессиональных обществах и доступ к подходящей литературе позволяет руководителям исследования поддерживать текущую осведомленность о разработках в их научной области. Профессиональное развитие проводятся непрерывно, и подвергается периодическому пересмотру. Любое обучение и подготовку необходимо документально подтверждать и сохранять записи в течение времени, установленного соответствующими органами власти.</w:t>
            </w:r>
          </w:p>
          <w:p>
            <w:pPr>
              <w:spacing w:after="20"/>
              <w:ind w:left="20"/>
              <w:jc w:val="both"/>
            </w:pPr>
            <w:r>
              <w:rPr>
                <w:rFonts w:ascii="Times New Roman"/>
                <w:b w:val="false"/>
                <w:i w:val="false"/>
                <w:color w:val="000000"/>
                <w:sz w:val="20"/>
              </w:rPr>
              <w:t>
   2.2.2. Официальные отчеты о таких программах отражают последовательность практического обучения и давать ясное указание на тип исследования, в управлении которым сотрудник считается компетентным. Время от времени требуется дополнительная подготовка или переподготовка, после внедрения новой технологии, операций или нормативных требований.</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Обязанности руководителя исследования</w:t>
            </w:r>
          </w:p>
          <w:p>
            <w:pPr>
              <w:spacing w:after="20"/>
              <w:ind w:left="20"/>
              <w:jc w:val="both"/>
            </w:pPr>
            <w:r>
              <w:rPr>
                <w:rFonts w:ascii="Times New Roman"/>
                <w:b w:val="false"/>
                <w:i w:val="false"/>
                <w:color w:val="000000"/>
                <w:sz w:val="20"/>
              </w:rPr>
              <w:t>
   3.1. Руководителем исследования является лицо, которое несет окончательную ответственность за научное проведение исследования и который подтверждает соответствие исследования Стандарту.</w:t>
            </w:r>
          </w:p>
          <w:p>
            <w:pPr>
              <w:spacing w:after="20"/>
              <w:ind w:left="20"/>
              <w:jc w:val="both"/>
            </w:pPr>
            <w:r>
              <w:rPr>
                <w:rFonts w:ascii="Times New Roman"/>
                <w:b w:val="false"/>
                <w:i w:val="false"/>
                <w:color w:val="000000"/>
                <w:sz w:val="20"/>
              </w:rPr>
              <w:t>
   3.2. Начало исследования</w:t>
            </w:r>
          </w:p>
          <w:p>
            <w:pPr>
              <w:spacing w:after="20"/>
              <w:ind w:left="20"/>
              <w:jc w:val="both"/>
            </w:pPr>
            <w:r>
              <w:rPr>
                <w:rFonts w:ascii="Times New Roman"/>
                <w:b w:val="false"/>
                <w:i w:val="false"/>
                <w:color w:val="000000"/>
                <w:sz w:val="20"/>
              </w:rPr>
              <w:t>
   3.2.1. Руководитель исследования своей подписью одобряет протокол, план, программу исследования, который подготавливается до момента начала исследования. В данном документе следует четко установить задачи и весь ход эксперимента, а также способ их достижения. Любые дополнения к протоколу, плану, программе исследования утверждаются, согласно указанному выше. В протоколе, плане, программе многоцентрового исследования следует определить и описать роль ведущего исследователя и каждого испытательной лаборатории, а также испытательных площадок в осуществлении эксперимента.</w:t>
            </w:r>
          </w:p>
          <w:p>
            <w:pPr>
              <w:spacing w:after="20"/>
              <w:ind w:left="20"/>
              <w:jc w:val="both"/>
            </w:pPr>
            <w:r>
              <w:rPr>
                <w:rFonts w:ascii="Times New Roman"/>
                <w:b w:val="false"/>
                <w:i w:val="false"/>
                <w:color w:val="000000"/>
                <w:sz w:val="20"/>
              </w:rPr>
              <w:t>
   3.2.2. Руководителю следует взять на себя ответственность за исследование, подписывая протокол, план, программу исследования на дату, в момент чего тот становится официальным рабочим документом для данного исследования (дата начала исследования). В соответствующем случае руководитель исследования также гарантирует, что протокол, план, программа эксперимента подписывается спонсором и руководством.</w:t>
            </w:r>
          </w:p>
          <w:p>
            <w:pPr>
              <w:spacing w:after="20"/>
              <w:ind w:left="20"/>
              <w:jc w:val="both"/>
            </w:pPr>
            <w:r>
              <w:rPr>
                <w:rFonts w:ascii="Times New Roman"/>
                <w:b w:val="false"/>
                <w:i w:val="false"/>
                <w:color w:val="000000"/>
                <w:sz w:val="20"/>
              </w:rPr>
              <w:t>
   3.2.3. Перед датой начала исследования руководителю исследования необходимо предоставить персоналу по ОК доступ к протоколу, плану, программе исследования для проверки наличия в нем полной информации, необходимой для соблюдения Стандарта.</w:t>
            </w:r>
          </w:p>
          <w:p>
            <w:pPr>
              <w:spacing w:after="20"/>
              <w:ind w:left="20"/>
              <w:jc w:val="both"/>
            </w:pPr>
            <w:r>
              <w:rPr>
                <w:rFonts w:ascii="Times New Roman"/>
                <w:b w:val="false"/>
                <w:i w:val="false"/>
                <w:color w:val="000000"/>
                <w:sz w:val="20"/>
              </w:rPr>
              <w:t>
   3.2.4. До фактической даты начала эксперимента руководитель исследования обеспечивает весь персонал, занятый в эксперименте, копиями протокола, плана, программы исследования, в том числе сотрудников ОК.</w:t>
            </w:r>
          </w:p>
          <w:p>
            <w:pPr>
              <w:spacing w:after="20"/>
              <w:ind w:left="20"/>
              <w:jc w:val="both"/>
            </w:pPr>
            <w:r>
              <w:rPr>
                <w:rFonts w:ascii="Times New Roman"/>
                <w:b w:val="false"/>
                <w:i w:val="false"/>
                <w:color w:val="000000"/>
                <w:sz w:val="20"/>
              </w:rPr>
              <w:t>
   3.2.5. Перед тем, как начнутся какие-либо работы по исследованию, руководитель исследования обязан удостовериться в том, что управление привлекло соответствующие ресурсы для реализации исследования, а также что в наличии имеются подходящие материалы для тестирования и испытательные системы.</w:t>
            </w:r>
          </w:p>
          <w:p>
            <w:pPr>
              <w:spacing w:after="20"/>
              <w:ind w:left="20"/>
              <w:jc w:val="both"/>
            </w:pPr>
            <w:r>
              <w:rPr>
                <w:rFonts w:ascii="Times New Roman"/>
                <w:b w:val="false"/>
                <w:i w:val="false"/>
                <w:color w:val="000000"/>
                <w:sz w:val="20"/>
              </w:rPr>
              <w:t>
   3.3. Ход исследования</w:t>
            </w:r>
          </w:p>
          <w:p>
            <w:pPr>
              <w:spacing w:after="20"/>
              <w:ind w:left="20"/>
              <w:jc w:val="both"/>
            </w:pPr>
            <w:r>
              <w:rPr>
                <w:rFonts w:ascii="Times New Roman"/>
                <w:b w:val="false"/>
                <w:i w:val="false"/>
                <w:color w:val="000000"/>
                <w:sz w:val="20"/>
              </w:rPr>
              <w:t>
   3.3.1. На руководителя исследования возложена ответственность за комплексное управление исследованием. Он гарантирует то, что выполняются все установленные в протоколе, плане, программе исследования процедуры, включая поправки, и все полученные в течение исследования данные полностью задокументированы. В документальном подтверждении нуждаются специфические технические обязанности, которые делегируются компетентному персоналу.</w:t>
            </w:r>
          </w:p>
          <w:p>
            <w:pPr>
              <w:spacing w:after="20"/>
              <w:ind w:left="20"/>
              <w:jc w:val="both"/>
            </w:pPr>
            <w:r>
              <w:rPr>
                <w:rFonts w:ascii="Times New Roman"/>
                <w:b w:val="false"/>
                <w:i w:val="false"/>
                <w:color w:val="000000"/>
                <w:sz w:val="20"/>
              </w:rPr>
              <w:t>
   3.3.2. Участие руководителя исследования в реализации исследования включает пересмотр исследовательских операций и информации для обеспечения выполнения установленных в протоколе, плане, программе исследования процедур и их согласованности со стандартными операционными процедурами. Сюда следует отнести данные, полученные с помощью компьютера. Чтобы это продемонстрировать, в отчетах исследования документально фиксируются виды и регулярность обзорных проверок.</w:t>
            </w:r>
          </w:p>
          <w:p>
            <w:pPr>
              <w:spacing w:after="20"/>
              <w:ind w:left="20"/>
              <w:jc w:val="both"/>
            </w:pPr>
            <w:r>
              <w:rPr>
                <w:rFonts w:ascii="Times New Roman"/>
                <w:b w:val="false"/>
                <w:i w:val="false"/>
                <w:color w:val="000000"/>
                <w:sz w:val="20"/>
              </w:rPr>
              <w:t>
   3.3.3. Поскольку все решения, которые влияют на целостность эксперимента, нуждаются, прежде всего, в одобрении руководителя исследования, то важно, чтобы он оставался в курсе динамики эксперимента. Это имеет особое значение после временного неучастия в исследовании и достигается только посредством сохранения эффективного общения со всеми научными, техническими и руководящими сотрудниками, а при многоцентровом исследовании – с ведущим исследователем. При необходимости порядок взаимодействия обеспечивает возможность быстро сообщить об отклонениях от протокола, плана, программы исследования, а также гарантирует документальное подтверждение возникающих проблем.</w:t>
            </w:r>
          </w:p>
          <w:p>
            <w:pPr>
              <w:spacing w:after="20"/>
              <w:ind w:left="20"/>
              <w:jc w:val="both"/>
            </w:pPr>
            <w:r>
              <w:rPr>
                <w:rFonts w:ascii="Times New Roman"/>
                <w:b w:val="false"/>
                <w:i w:val="false"/>
                <w:color w:val="000000"/>
                <w:sz w:val="20"/>
              </w:rPr>
              <w:t>
   3.3.4. Если данные записываются на бумаге, руководителю исследования следует позаботиться о том, чтобы полученные сведения полностью и точно документировались и создавались в соответствии с Стандартом. В отношении результатов, представленных в электронной форме в компьютеризированной системе, обязательства руководителя исследования остаются теми же, как и в отношении канцелярских систем. Кроме того, руководителю исследования следует убедиться в соответствии компьютеризированных систем предполагаемой области применения и их пригодности для использования в эксперименте.</w:t>
            </w:r>
          </w:p>
          <w:p>
            <w:pPr>
              <w:spacing w:after="20"/>
              <w:ind w:left="20"/>
              <w:jc w:val="both"/>
            </w:pPr>
            <w:r>
              <w:rPr>
                <w:rFonts w:ascii="Times New Roman"/>
                <w:b w:val="false"/>
                <w:i w:val="false"/>
                <w:color w:val="000000"/>
                <w:sz w:val="20"/>
              </w:rPr>
              <w:t>
   3.4. Итоговый отчет</w:t>
            </w:r>
          </w:p>
          <w:p>
            <w:pPr>
              <w:spacing w:after="20"/>
              <w:ind w:left="20"/>
              <w:jc w:val="both"/>
            </w:pPr>
            <w:r>
              <w:rPr>
                <w:rFonts w:ascii="Times New Roman"/>
                <w:b w:val="false"/>
                <w:i w:val="false"/>
                <w:color w:val="000000"/>
                <w:sz w:val="20"/>
              </w:rPr>
              <w:t>
   3.4.1. Итоговый отчет исследования составляется в форме детализированного научного документа, устанавливающего цель исследования, описывающего использованные методы и материалы, обобщающего и представляющего анализ полученных данных, а также излагающего сделанные выводы.</w:t>
            </w:r>
          </w:p>
          <w:p>
            <w:pPr>
              <w:spacing w:after="20"/>
              <w:ind w:left="20"/>
              <w:jc w:val="both"/>
            </w:pPr>
            <w:r>
              <w:rPr>
                <w:rFonts w:ascii="Times New Roman"/>
                <w:b w:val="false"/>
                <w:i w:val="false"/>
                <w:color w:val="000000"/>
                <w:sz w:val="20"/>
              </w:rPr>
              <w:t>
   3.4.2. Лишь убедившись в том, что итоговый отчет дает полное, достоверное и точное представление об исследовании и его результатах, руководителю исследования следует подписать и датировать отчет, свидетельствуя о принятии на себя ответственности за верность сведений. Следует указать степень соответствия Стандарту. Ему следует также самому удостовериться, что имеется доклад ОК и были зафиксированы любые расхождения с протоколом, планом, программой исследования.</w:t>
            </w:r>
          </w:p>
          <w:p>
            <w:pPr>
              <w:spacing w:after="20"/>
              <w:ind w:left="20"/>
              <w:jc w:val="both"/>
            </w:pPr>
            <w:r>
              <w:rPr>
                <w:rFonts w:ascii="Times New Roman"/>
                <w:b w:val="false"/>
                <w:i w:val="false"/>
                <w:color w:val="000000"/>
                <w:sz w:val="20"/>
              </w:rPr>
              <w:t>
   3.5. Архивы</w:t>
            </w:r>
          </w:p>
          <w:p>
            <w:pPr>
              <w:spacing w:after="20"/>
              <w:ind w:left="20"/>
              <w:jc w:val="both"/>
            </w:pPr>
            <w:r>
              <w:rPr>
                <w:rFonts w:ascii="Times New Roman"/>
                <w:b w:val="false"/>
                <w:i w:val="false"/>
                <w:color w:val="000000"/>
                <w:sz w:val="20"/>
              </w:rPr>
              <w:t>
   По окончании исследования (включая штатное завершение) на руководителя исследования возлагается обязанность по своевременной архивации протокола, плана, программы исследования, итогового отчета, необработанных данных и связанного материала. В окончательный рапорт следует включить заявление, свидетельствующее о том, что все образцы исследуемого и референтного объектов, пробы, необработанные данные, протокол, план, программу исследования, итоговый отчет и другая соответствующая документация будут храниться. После передачи сведений в архивы, ответственность за них несет руководство.</w:t>
            </w:r>
          </w:p>
          <w:p>
            <w:pPr>
              <w:spacing w:after="20"/>
              <w:ind w:left="20"/>
              <w:jc w:val="both"/>
            </w:pPr>
            <w:r>
              <w:rPr>
                <w:rFonts w:ascii="Times New Roman"/>
                <w:b w:val="false"/>
                <w:i w:val="false"/>
                <w:color w:val="000000"/>
                <w:sz w:val="20"/>
              </w:rPr>
              <w:t>
   3.6. Заключение субподрядного договора</w:t>
            </w:r>
          </w:p>
          <w:p>
            <w:pPr>
              <w:spacing w:after="20"/>
              <w:ind w:left="20"/>
              <w:jc w:val="both"/>
            </w:pPr>
            <w:r>
              <w:rPr>
                <w:rFonts w:ascii="Times New Roman"/>
                <w:b w:val="false"/>
                <w:i w:val="false"/>
                <w:color w:val="000000"/>
                <w:sz w:val="20"/>
              </w:rPr>
              <w:t>
   Если все части исследования отданы на субподряд, руководитель исследования (и персонал ОК) будет осведомлен о степени соответствия данной лаборатории Стандарту. Когда организация, связанная договором, отвечает требованиям Стандарта, руководителю исследования надлежит в итоговом отчете указать это.</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Изменения к протоколу, плану, программе исследования и отклонения от него</w:t>
            </w:r>
          </w:p>
          <w:p>
            <w:pPr>
              <w:spacing w:after="20"/>
              <w:ind w:left="20"/>
              <w:jc w:val="both"/>
            </w:pPr>
            <w:r>
              <w:rPr>
                <w:rFonts w:ascii="Times New Roman"/>
                <w:b w:val="false"/>
                <w:i w:val="false"/>
                <w:color w:val="000000"/>
                <w:sz w:val="20"/>
              </w:rPr>
              <w:t>
   4.1. Внесение изменений (поправок) в протокол, план, программу исследования</w:t>
            </w:r>
          </w:p>
          <w:p>
            <w:pPr>
              <w:spacing w:after="20"/>
              <w:ind w:left="20"/>
              <w:jc w:val="both"/>
            </w:pPr>
            <w:r>
              <w:rPr>
                <w:rFonts w:ascii="Times New Roman"/>
                <w:b w:val="false"/>
                <w:i w:val="false"/>
                <w:color w:val="000000"/>
                <w:sz w:val="20"/>
              </w:rPr>
              <w:t>
   Для подтверждения преднамеренного изменения дизайна исследования после даты его начала и до наступления события следует оформлять поправки к протоколу, плану, программе исследования. Можно также в результате неожиданного происшествия в ходе исследования, которое требует значительных мер, сделать дополнение. Дополнения, свидетельствующие о причине изменения, последовательно нумеруются, датируются, подписываются и направляются руководителем исследования всем получателям исходного протокола, плана, программы исследования.</w:t>
            </w:r>
          </w:p>
          <w:p>
            <w:pPr>
              <w:spacing w:after="20"/>
              <w:ind w:left="20"/>
              <w:jc w:val="both"/>
            </w:pPr>
            <w:r>
              <w:rPr>
                <w:rFonts w:ascii="Times New Roman"/>
                <w:b w:val="false"/>
                <w:i w:val="false"/>
                <w:color w:val="000000"/>
                <w:sz w:val="20"/>
              </w:rPr>
              <w:t>
   4.2. Отклонения в исследовании</w:t>
            </w:r>
          </w:p>
          <w:p>
            <w:pPr>
              <w:spacing w:after="20"/>
              <w:ind w:left="20"/>
              <w:jc w:val="both"/>
            </w:pPr>
            <w:r>
              <w:rPr>
                <w:rFonts w:ascii="Times New Roman"/>
                <w:b w:val="false"/>
                <w:i w:val="false"/>
                <w:color w:val="000000"/>
                <w:sz w:val="20"/>
              </w:rPr>
              <w:t>
   В то время как поправка представляет собой запланированное изменение в протоколе, плане, программе исследования, отклонение является непредусмотренным изменением, происходящим во время осуществления эксперимента. В документации по исследованию следует фиксировать сведения об исследовании, в том числе расхождение с его протоколом, планом, программой. Данные записи могут инициироваться другими сотрудниками, занятыми в эксперименте, в таком случае все записи своевременно одобряться, описываться, обосновываться и датироваться руководителем исследования и (или) ведущим исследователем, а также храниться вместе с необработанными данными исследования. Руководитель исследования обязан утверждать любые предпринимаемые корректирующие действия. Ему следует рассмотреть целесообразность консультации с другими научными сотрудниками для того, чтобы определить влияние любой подобной информации на исследование, и сообщить (и обсудить при необходимости) об этих отклонениях в итоговом отчете.</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Квалификационные требования к руководителю исследования</w:t>
            </w:r>
          </w:p>
          <w:p>
            <w:pPr>
              <w:spacing w:after="20"/>
              <w:ind w:left="20"/>
              <w:jc w:val="both"/>
            </w:pPr>
            <w:r>
              <w:rPr>
                <w:rFonts w:ascii="Times New Roman"/>
                <w:b w:val="false"/>
                <w:i w:val="false"/>
                <w:color w:val="000000"/>
                <w:sz w:val="20"/>
              </w:rPr>
              <w:t xml:space="preserve">
   Квалификационные требования к руководителю исследования определяются обязательными условиями для каждого конкретного исследования. В обязанности руководства испытательной лаборатории входит установление этих критериев. Более того, руководство испытательной лаборатории отвечает за выбор, контроль и поддержку руководителя исследования, чтобы гарантировать проведение экспериментов в соответствии с Стандартом. Минимальные требования к квалификации, установленные руководством испытательной лаборатории для должности руководителя исследования, отражается в персональных документах кадрового учета. В дополнение к серьезной технической подготовке (образованию) координирующая роль руководителя исследования требует, чтобы сильными сторонами данного лица были навыки в области коммуникации, решения проблем и управления. </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Взаимодействие с исследованием</w:t>
            </w:r>
          </w:p>
          <w:p>
            <w:pPr>
              <w:spacing w:after="20"/>
              <w:ind w:left="20"/>
              <w:jc w:val="both"/>
            </w:pPr>
            <w:r>
              <w:rPr>
                <w:rFonts w:ascii="Times New Roman"/>
                <w:b w:val="false"/>
                <w:i w:val="false"/>
                <w:color w:val="000000"/>
                <w:sz w:val="20"/>
              </w:rPr>
              <w:t xml:space="preserve">
   6.1. Руководитель исследования несет общую ответственность за управление исследованием. Определение "ответственность за общее проведение исследований и заключительный отчет" растолковыватся в широком смысле для таких исследований, в которых руководитель исследования географически удален от фактической экспериментальной работы. При наличии нескольких уровней управления, исследовательского персонала и персонала службы обеспечения качества очень важно, чтобы существовали четкие разграничения полномочий и коммуникационных связей, а также возложенных на них обязанностей с тем, чтобы руководитель исследования мог эффективно выполнять свои обязанности по Стандарту. Это оформляется в письменной форме. При наличии исследований, проводящихся на нескольких испытательных площадках, руководство испытательной лаборатории обеспечивает четкие коммуникационные связи между руководителем исследования, ведущим(и) исследователем(ями), программой(ами) обеспечения качества и исследовательским персоналом. </w:t>
            </w:r>
          </w:p>
          <w:p>
            <w:pPr>
              <w:spacing w:after="20"/>
              <w:ind w:left="20"/>
              <w:jc w:val="both"/>
            </w:pPr>
            <w:r>
              <w:rPr>
                <w:rFonts w:ascii="Times New Roman"/>
                <w:b w:val="false"/>
                <w:i w:val="false"/>
                <w:color w:val="000000"/>
                <w:sz w:val="20"/>
              </w:rPr>
              <w:t xml:space="preserve">
   6.2. В исследованиях, в которых ответственность делегирована ведущему исследователю, руководитель исследования будет опираться на данных сотрудников, чтобы гарантировать, что соответствующий этап исследования проводят в соответствии с планом исследования, соответствующим СОП и Стандарту. Ведущий исследователь связывается с руководителем исследования в случае происшествия, которое оказывает отрицательное воздействие на задачи, определенные в протоколе, плане, программе исследования. при возникновении событий, которые влияют на указанные в плане исследования объекты. Весь обмен информацией подтверждается документально. </w:t>
            </w:r>
          </w:p>
          <w:p>
            <w:pPr>
              <w:spacing w:after="20"/>
              <w:ind w:left="20"/>
              <w:jc w:val="both"/>
            </w:pPr>
            <w:r>
              <w:rPr>
                <w:rFonts w:ascii="Times New Roman"/>
                <w:b w:val="false"/>
                <w:i w:val="false"/>
                <w:color w:val="000000"/>
                <w:sz w:val="20"/>
              </w:rPr>
              <w:t>
   6.3. На всех этапах эксперимента обязательно осуществляется взаимодействие между руководителем исследования и ОК.</w:t>
            </w:r>
          </w:p>
          <w:p>
            <w:pPr>
              <w:spacing w:after="20"/>
              <w:ind w:left="20"/>
              <w:jc w:val="both"/>
            </w:pPr>
            <w:r>
              <w:rPr>
                <w:rFonts w:ascii="Times New Roman"/>
                <w:b w:val="false"/>
                <w:i w:val="false"/>
                <w:color w:val="000000"/>
                <w:sz w:val="20"/>
              </w:rPr>
              <w:t>
   6.4. Такое взаимодействие включает:</w:t>
            </w:r>
          </w:p>
          <w:p>
            <w:pPr>
              <w:spacing w:after="20"/>
              <w:ind w:left="20"/>
              <w:jc w:val="both"/>
            </w:pPr>
            <w:r>
              <w:rPr>
                <w:rFonts w:ascii="Times New Roman"/>
                <w:b w:val="false"/>
                <w:i w:val="false"/>
                <w:color w:val="000000"/>
                <w:sz w:val="20"/>
              </w:rPr>
              <w:t>
   6.4.1. Активное привлечение службы обеспечения качества, например, к своевременному рассмотрению протокола, плана, программы исследования, рассмотрению новых и пересмотренных СОП, посещению персоналом службы обеспечения качества совещаний в начале проведения исследования и решению возможных проблем, касающихся Стандарта.</w:t>
            </w:r>
          </w:p>
          <w:p>
            <w:pPr>
              <w:spacing w:after="20"/>
              <w:ind w:left="20"/>
              <w:jc w:val="both"/>
            </w:pPr>
            <w:r>
              <w:rPr>
                <w:rFonts w:ascii="Times New Roman"/>
                <w:b w:val="false"/>
                <w:i w:val="false"/>
                <w:color w:val="000000"/>
                <w:sz w:val="20"/>
              </w:rPr>
              <w:t>
   6.4.2. Быстрый ответ на отчеты об инспекции и аудите с указанием корректирующих действий и, при необходимости, поддержание связи с персоналом службы обеспечения качества, научным и техническим персоналом с целью содействия в подаче ответов на полученные в ходе инспекции, аудита данные (результаты).</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Замена руководителя исследования</w:t>
            </w:r>
          </w:p>
          <w:p>
            <w:pPr>
              <w:spacing w:after="20"/>
              <w:ind w:left="20"/>
              <w:jc w:val="both"/>
            </w:pPr>
            <w:r>
              <w:rPr>
                <w:rFonts w:ascii="Times New Roman"/>
                <w:b w:val="false"/>
                <w:i w:val="false"/>
                <w:color w:val="000000"/>
                <w:sz w:val="20"/>
              </w:rPr>
              <w:t>
   7.1. Руководитель исследования несет ответственность за общий ход исследования в соответствии с Стандартом. Руководителю исследования следует удостовериться в полном соответствии данным принципам каждого этапа исследования, в точном следовании протоколу, плану, программе исследования, а также в том, что все наблюдения полностью документируются. Теоретически данная ответственность полностью реализовываются только тогда, когда руководитель исследования постоянно присутствует во время проведения исследования. Это не всегда осуществимо на практике, так как неизбежно будут возникать периоды его отсутствия, во время которых появляется необходимость в его замене. Поскольку обстоятельства, при которых руководитель исследования заменяется, не определены в Стандарте, они рассматриваются на уровне выполняемых испытательной лабораторией СОП. Данные СОП имеют отношение к необходимым для замены руководителя исследования процедурам и документации.</w:t>
            </w:r>
          </w:p>
          <w:p>
            <w:pPr>
              <w:spacing w:after="20"/>
              <w:ind w:left="20"/>
              <w:jc w:val="both"/>
            </w:pPr>
            <w:r>
              <w:rPr>
                <w:rFonts w:ascii="Times New Roman"/>
                <w:b w:val="false"/>
                <w:i w:val="false"/>
                <w:color w:val="000000"/>
                <w:sz w:val="20"/>
              </w:rPr>
              <w:t>
   7.2. Решение о замене или временном делегировании ответственности принимает руководство испытательной лаборатории. Все подобные решения следует документировать в письменной форме. Существуют два условия, при которых рассматриваются варианты замен; оба из них имеют значение только для долгосрочных исследований, так как можно предположить, что в течение краткосрочного исследования руководитель исследования присутствует постоянно. Необходимость замены руководителя исследования, являющегося одним из ключевых сотрудников, очевидна в случае окончания срока его работы. В этом случае одной из сторон ответственного лица, пришедшего на замену руководителя исследования (при содействии персонала службы обеспечения качества), необходимо в кратчайшие сроки убедиться в соответствии исследований, проведенных на сегодняшний день, принципам Стандарта. Процедура и причины замены руководителя исследования оформляется документально и подтверждается руководством испытательной лаборатории. Также рекомендуется документирование результатов промежуточного рассмотрения соответствия принципам Стандарта в случае обнаружения недостатков или отклонений.</w:t>
            </w:r>
          </w:p>
          <w:p>
            <w:pPr>
              <w:spacing w:after="20"/>
              <w:ind w:left="20"/>
              <w:jc w:val="both"/>
            </w:pPr>
            <w:r>
              <w:rPr>
                <w:rFonts w:ascii="Times New Roman"/>
                <w:b w:val="false"/>
                <w:i w:val="false"/>
                <w:color w:val="000000"/>
                <w:sz w:val="20"/>
              </w:rPr>
              <w:t>
   7.3. Ко второму кругу обстоятельств, приводящих к временному отсутствию руководителя исследования, относятся праздники, научные совещания, болезнь или несчастный случай. Краткосрочное отсутствие не требует формальной замены руководителя исследования, если при возникновении проблем или непредвиденных ситуаций с ним можно связаться. Если в период отсутствия руководителя исследования ожидается проведение значимых этапов исследования, они могут быть либо перенесены на более удобное время (с внесением, в случае необходимости, изменений в план исследования) или рассматривается замена руководителя исследования либо путем формального выдвижения сотрудника в качестве замены руководителя исследования, либо временной передачи обязанностей квалифицированному сотруднику для выполнения данного конкретного этапа исследования. Если отсутствие руководителя исследования более продолжительно, то предпочтение отдается замене, а не передаче обязанностей.</w:t>
            </w:r>
          </w:p>
          <w:p>
            <w:pPr>
              <w:spacing w:after="20"/>
              <w:ind w:left="20"/>
              <w:jc w:val="both"/>
            </w:pPr>
            <w:r>
              <w:rPr>
                <w:rFonts w:ascii="Times New Roman"/>
                <w:b w:val="false"/>
                <w:i w:val="false"/>
                <w:color w:val="000000"/>
                <w:sz w:val="20"/>
              </w:rPr>
              <w:t>
   7.4. Вернувшийся руководитель исследования независимо от того, был ли он заменен или нет во время его отсутствия, в кратчайшие сроки устанавливает, имели ли место отклонения от Стандарта. Отклонения от Стандарта, возникшие в отсутствие руководителя исследования, документирует возвратившийся руководитель исследования.</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Правовой статус руководителя исследования</w:t>
            </w:r>
          </w:p>
          <w:p>
            <w:pPr>
              <w:spacing w:after="20"/>
              <w:ind w:left="20"/>
              <w:jc w:val="both"/>
            </w:pPr>
            <w:r>
              <w:rPr>
                <w:rFonts w:ascii="Times New Roman"/>
                <w:b w:val="false"/>
                <w:i w:val="false"/>
                <w:color w:val="000000"/>
                <w:sz w:val="20"/>
              </w:rPr>
              <w:t>
   Подпись руководителя исследования, внесенная в заключительный отчет и имеющая юридическую силу, подтверждает ответственность руководителя исследования в отношении выполнения исследования в соответствии с Стандартом и достоверного представления первичных данных в заключительном отчете.</w:t>
            </w:r>
          </w:p>
          <w:p>
            <w:pPr>
              <w:spacing w:after="20"/>
              <w:ind w:left="20"/>
              <w:jc w:val="both"/>
            </w:pPr>
            <w:r>
              <w:rPr>
                <w:rFonts w:ascii="Times New Roman"/>
                <w:b w:val="false"/>
                <w:i w:val="false"/>
                <w:color w:val="000000"/>
                <w:sz w:val="20"/>
              </w:rPr>
              <w:t xml:space="preserve">
   В то же время следует учитывать, что юридическая ответственность руководителя исследования устанавливается законодательством и судопроизводством, а не Стандартом.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надлежащей лабораторной</w:t>
            </w:r>
            <w:r>
              <w:br/>
            </w:r>
            <w:r>
              <w:rPr>
                <w:rFonts w:ascii="Times New Roman"/>
                <w:b w:val="false"/>
                <w:i w:val="false"/>
                <w:color w:val="000000"/>
                <w:sz w:val="20"/>
              </w:rPr>
              <w:t>практики 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
        <w:gridCol w:w="121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Роль и обязанности спонсора в применении Стандарта</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положения</w:t>
            </w:r>
          </w:p>
          <w:p>
            <w:pPr>
              <w:spacing w:after="20"/>
              <w:ind w:left="20"/>
              <w:jc w:val="both"/>
            </w:pPr>
            <w:r>
              <w:rPr>
                <w:rFonts w:ascii="Times New Roman"/>
                <w:b w:val="false"/>
                <w:i w:val="false"/>
                <w:color w:val="000000"/>
                <w:sz w:val="20"/>
              </w:rPr>
              <w:t>
   1.1. У спонсора исследования помимо, прямых есть и косвенные обязанности. Это обусловлено тем фактом, что спонсор часто является стороной, начинающей одно или несколько исследований, и напрямую предоставляет результаты исследований в уполномоченные органы. Поэтому спонсор принимает активное участие в подтверждении соответствия принципам Стандарта всех доклинических (неклинических) исследований безопасности здоровью человека и окружающей среды. Спонсоры не полагаются только на заверения испытательных лабораторий, нанятых для проведения таких исследований.</w:t>
            </w:r>
          </w:p>
          <w:p>
            <w:pPr>
              <w:spacing w:after="20"/>
              <w:ind w:left="20"/>
              <w:jc w:val="both"/>
            </w:pPr>
            <w:r>
              <w:rPr>
                <w:rFonts w:ascii="Times New Roman"/>
                <w:b w:val="false"/>
                <w:i w:val="false"/>
                <w:color w:val="000000"/>
                <w:sz w:val="20"/>
              </w:rPr>
              <w:t>
   1.2. Спонсор:</w:t>
            </w:r>
          </w:p>
          <w:p>
            <w:pPr>
              <w:spacing w:after="20"/>
              <w:ind w:left="20"/>
              <w:jc w:val="both"/>
            </w:pPr>
            <w:r>
              <w:rPr>
                <w:rFonts w:ascii="Times New Roman"/>
                <w:b w:val="false"/>
                <w:i w:val="false"/>
                <w:color w:val="000000"/>
                <w:sz w:val="20"/>
              </w:rPr>
              <w:t>
   1.2.1. лицо, которое начинает и обеспечивает финансирование и другую помощь при проведении доклинических (неклинических) исследований безопасности здоровья человека и окружающей среды (физическое лицо, компания, корпорация, ассоциация, научное или академическое учреждение, государственный орган или его структурное подразделение, а также любой другой орган, образованный на законном основании);</w:t>
            </w:r>
          </w:p>
          <w:p>
            <w:pPr>
              <w:spacing w:after="20"/>
              <w:ind w:left="20"/>
              <w:jc w:val="both"/>
            </w:pPr>
            <w:r>
              <w:rPr>
                <w:rFonts w:ascii="Times New Roman"/>
                <w:b w:val="false"/>
                <w:i w:val="false"/>
                <w:color w:val="000000"/>
                <w:sz w:val="20"/>
              </w:rPr>
              <w:t>
   1.2.2. лицо, которое представляет результаты доклинических (неклинических) исследований безопасности здоровья человека и окружающей среды в уполномоченный орган для регистрации продукта или в других целях, когда требуется соблюдение Стандарта.</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Обязанности спонсора</w:t>
            </w:r>
          </w:p>
          <w:p>
            <w:pPr>
              <w:spacing w:after="20"/>
              <w:ind w:left="20"/>
              <w:jc w:val="both"/>
            </w:pPr>
            <w:r>
              <w:rPr>
                <w:rFonts w:ascii="Times New Roman"/>
                <w:b w:val="false"/>
                <w:i w:val="false"/>
                <w:color w:val="000000"/>
                <w:sz w:val="20"/>
              </w:rPr>
              <w:t>
   2.1. Спонсору следует знать о требованиях принципов Стандарта, в частности о тех, которые имеют отношение к руководству испытательной лаборатории и руководителю исследования, ведущему исследователю.</w:t>
            </w:r>
          </w:p>
          <w:p>
            <w:pPr>
              <w:spacing w:after="20"/>
              <w:ind w:left="20"/>
              <w:jc w:val="both"/>
            </w:pPr>
            <w:r>
              <w:rPr>
                <w:rFonts w:ascii="Times New Roman"/>
                <w:b w:val="false"/>
                <w:i w:val="false"/>
                <w:color w:val="000000"/>
                <w:sz w:val="20"/>
              </w:rPr>
              <w:t>
   2.2. Если какие-то части исследования передаются спонсором на выполнение субподрядчикам, спонсор знает о том, что ответственность за исследование в целом лежит на руководителе исследования, включая достоверность исходных данных и отчет.</w:t>
            </w:r>
          </w:p>
          <w:p>
            <w:pPr>
              <w:spacing w:after="20"/>
              <w:ind w:left="20"/>
              <w:jc w:val="both"/>
            </w:pPr>
            <w:r>
              <w:rPr>
                <w:rFonts w:ascii="Times New Roman"/>
                <w:b w:val="false"/>
                <w:i w:val="false"/>
                <w:color w:val="000000"/>
                <w:sz w:val="20"/>
              </w:rPr>
              <w:t>
   2.3. При заказе доклинических (неклинических) исследований безопасности здоровья человека и окружающей среды спонсору следует быть уверенным, что испытательная лаборатория подходит для проведения определенного вида исследования согласно Стандарту. Спонсор требует от испытательной лаборатории, что исследование проводились согласно Стандарту.</w:t>
            </w:r>
          </w:p>
          <w:p>
            <w:pPr>
              <w:spacing w:after="20"/>
              <w:ind w:left="20"/>
              <w:jc w:val="both"/>
            </w:pPr>
            <w:r>
              <w:rPr>
                <w:rFonts w:ascii="Times New Roman"/>
                <w:b w:val="false"/>
                <w:i w:val="false"/>
                <w:color w:val="000000"/>
                <w:sz w:val="20"/>
              </w:rPr>
              <w:t>
   2.4. Существуют разные способы оценки способности испытательной лаборатории провести исследование согласно Стандарту. Целесообразно изучить работу испытательной лаборатории до проведения исследования, а также в ходе исследования, например, структуру, продолжительность и сложность исследования, чтобы убедиться, что технические средства, оборудование, СОП и персонал соответствуют Стандарту. Если испытательная лаборатория участвует в программе контроля соблюдения Стандарта, к работе можно привлечь уполномоченный орган для определения статуса соответствия испытательной лаборатории Стандарту.</w:t>
            </w:r>
          </w:p>
          <w:p>
            <w:pPr>
              <w:spacing w:after="20"/>
              <w:ind w:left="20"/>
              <w:jc w:val="both"/>
            </w:pPr>
            <w:r>
              <w:rPr>
                <w:rFonts w:ascii="Times New Roman"/>
                <w:b w:val="false"/>
                <w:i w:val="false"/>
                <w:color w:val="000000"/>
                <w:sz w:val="20"/>
              </w:rPr>
              <w:t>
   2.5. Если в уполномоченный орган предоставляются несколько исследований в одном пакете, ответственность за достоверность всего пакета неизмененных заключительных отчетов лежит на спонсоре. Необходимо, чтобы спонсор установил соответствующую связь между его представителями и всеми сторонами, участвующими в проведении исследования, например, руководителем исследования, отделом обеспечения качества и руководством испытательной лаборатории.</w:t>
            </w:r>
          </w:p>
          <w:p>
            <w:pPr>
              <w:spacing w:after="20"/>
              <w:ind w:left="20"/>
              <w:jc w:val="both"/>
            </w:pPr>
            <w:r>
              <w:rPr>
                <w:rFonts w:ascii="Times New Roman"/>
                <w:b w:val="false"/>
                <w:i w:val="false"/>
                <w:color w:val="000000"/>
                <w:sz w:val="20"/>
              </w:rPr>
              <w:t>
   2.6. Уполномоченный орган вправе затребовать утверждения протокола, плана, программы исследования спонсорами в силу правовых особенностей, связанных с ответственностью за достоверность данных исследований.</w:t>
            </w:r>
          </w:p>
          <w:p>
            <w:pPr>
              <w:spacing w:after="20"/>
              <w:ind w:left="20"/>
              <w:jc w:val="both"/>
            </w:pPr>
            <w:r>
              <w:rPr>
                <w:rFonts w:ascii="Times New Roman"/>
                <w:b w:val="false"/>
                <w:i w:val="false"/>
                <w:color w:val="000000"/>
                <w:sz w:val="20"/>
              </w:rPr>
              <w:t>
   2.7. Если архив испытательной лаборатории, в связи с прекращением ее деятельности, передан в архивы спонсора, то он обеспечивает возможность надлежащего хранения и извлечения протоколов, планов, программ исследований, исходных данных, образцов, проб испытуемых и стандартных образцов и заключительных отчетов согласно Стандарту.</w:t>
            </w:r>
          </w:p>
          <w:p>
            <w:pPr>
              <w:spacing w:after="20"/>
              <w:ind w:left="20"/>
              <w:jc w:val="both"/>
            </w:pPr>
            <w:r>
              <w:rPr>
                <w:rFonts w:ascii="Times New Roman"/>
                <w:b w:val="false"/>
                <w:i w:val="false"/>
                <w:color w:val="000000"/>
                <w:sz w:val="20"/>
              </w:rPr>
              <w:t>
   2.8. Спонсор сообщает испытательной лаборатории о известных потенциальных опасностях исследуемого вещества (лекарственного вещества) для здоровья человека или окружающей среды, а также о защитных мерах, которые будут предприняты персоналом испытательной лаборатории.</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Описание свойств исследуемого вещества (лекарственного средства)</w:t>
            </w:r>
          </w:p>
          <w:p>
            <w:pPr>
              <w:spacing w:after="20"/>
              <w:ind w:left="20"/>
              <w:jc w:val="both"/>
            </w:pPr>
            <w:r>
              <w:rPr>
                <w:rFonts w:ascii="Times New Roman"/>
                <w:b w:val="false"/>
                <w:i w:val="false"/>
                <w:color w:val="000000"/>
                <w:sz w:val="20"/>
              </w:rPr>
              <w:t>
   3.1. Стандарт включает требования к описанию свойств исследуемого вещества (лекарственного средства). Необходимо точно указывать название исследуемого вещества (лекарственного средства) и его свойства. Определение свойств исследуемого вещества (лекарственного средства) выполняет испытательная лаборатория, работающий по контракту, или спонсор. Если требуется, чтобы свойства определил спонсор, этот факт отражается в заключительном отчете. Спонсорам не следует забывать о том, что результатом определения свойств не в соответствии с Стандартом приведет к отклонениям исследования.</w:t>
            </w:r>
          </w:p>
          <w:p>
            <w:pPr>
              <w:spacing w:after="20"/>
              <w:ind w:left="20"/>
              <w:jc w:val="both"/>
            </w:pPr>
            <w:r>
              <w:rPr>
                <w:rFonts w:ascii="Times New Roman"/>
                <w:b w:val="false"/>
                <w:i w:val="false"/>
                <w:color w:val="000000"/>
                <w:sz w:val="20"/>
              </w:rPr>
              <w:t>
   3.2. Если информация о свойствах исследуемого вещества (лекарственного средства) не представлена спонсором испытательной лаборатории, работающей по контракту, этот факт также отражается в заключительном отчете.</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Предоставление данных в уполномоченный орган</w:t>
            </w:r>
          </w:p>
          <w:p>
            <w:pPr>
              <w:spacing w:after="20"/>
              <w:ind w:left="20"/>
              <w:jc w:val="both"/>
            </w:pPr>
            <w:r>
              <w:rPr>
                <w:rFonts w:ascii="Times New Roman"/>
                <w:b w:val="false"/>
                <w:i w:val="false"/>
                <w:color w:val="000000"/>
                <w:sz w:val="20"/>
              </w:rPr>
              <w:t>
   Ответственными за научную достоверность исследования является руководитель исследования, а не спонсор, обязанностью которого является принятие решения исходя из результатов исследований, предоставлять или не предоставлять исследуемое вещество (лекарственное средство) на регистрацию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надлежащей лабораторной</w:t>
            </w:r>
            <w:r>
              <w:br/>
            </w:r>
            <w:r>
              <w:rPr>
                <w:rFonts w:ascii="Times New Roman"/>
                <w:b w:val="false"/>
                <w:i w:val="false"/>
                <w:color w:val="000000"/>
                <w:sz w:val="20"/>
              </w:rPr>
              <w:t>практики 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доклинических (неклинических) исследований лекарственных средств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доклинических (неклинических) исследований лекарственных средств является получение научными методами вне организма человека оценок и доказательств безопасности, качества и эффективности лекарственных средств.</w:t>
            </w:r>
          </w:p>
          <w:p>
            <w:pPr>
              <w:spacing w:after="20"/>
              <w:ind w:left="20"/>
              <w:jc w:val="both"/>
            </w:pPr>
            <w:r>
              <w:rPr>
                <w:rFonts w:ascii="Times New Roman"/>
                <w:b w:val="false"/>
                <w:i w:val="false"/>
                <w:color w:val="000000"/>
                <w:sz w:val="20"/>
              </w:rPr>
              <w:t>
   Доклиническое (неклиническое) изучение безопасности лекарственных средств проводится с соблюдением требований Стандарта, обеспечивает качество и воспроизводимость полученных данных.</w:t>
            </w:r>
          </w:p>
          <w:p>
            <w:pPr>
              <w:spacing w:after="20"/>
              <w:ind w:left="20"/>
              <w:jc w:val="both"/>
            </w:pPr>
            <w:r>
              <w:rPr>
                <w:rFonts w:ascii="Times New Roman"/>
                <w:b w:val="false"/>
                <w:i w:val="false"/>
                <w:color w:val="000000"/>
                <w:sz w:val="20"/>
              </w:rPr>
              <w:t xml:space="preserve">
   Доклиническое (неклиническое) изучение лекарственных средств проводится по следующим направлениям: </w:t>
            </w:r>
          </w:p>
          <w:p>
            <w:pPr>
              <w:spacing w:after="20"/>
              <w:ind w:left="20"/>
              <w:jc w:val="both"/>
            </w:pPr>
            <w:r>
              <w:rPr>
                <w:rFonts w:ascii="Times New Roman"/>
                <w:b w:val="false"/>
                <w:i w:val="false"/>
                <w:color w:val="000000"/>
                <w:sz w:val="20"/>
              </w:rPr>
              <w:t xml:space="preserve">
   а) изучение фармакологии лекарственного средства (первичная и вторичная фармакодинамика и фармакология безопасности, фармакология лекарственного взаимодействия); </w:t>
            </w:r>
          </w:p>
          <w:p>
            <w:pPr>
              <w:spacing w:after="20"/>
              <w:ind w:left="20"/>
              <w:jc w:val="both"/>
            </w:pPr>
            <w:r>
              <w:rPr>
                <w:rFonts w:ascii="Times New Roman"/>
                <w:b w:val="false"/>
                <w:i w:val="false"/>
                <w:color w:val="000000"/>
                <w:sz w:val="20"/>
              </w:rPr>
              <w:t xml:space="preserve">
   б) изучение фармакокинетики лекарственного средства (абсорбция, распределение, метаболизм, выведение, фармакокинетическое лекарственное взаимодействие, иные исследования фармакокинетики); </w:t>
            </w:r>
          </w:p>
          <w:p>
            <w:pPr>
              <w:spacing w:after="20"/>
              <w:ind w:left="20"/>
              <w:jc w:val="both"/>
            </w:pPr>
            <w:r>
              <w:rPr>
                <w:rFonts w:ascii="Times New Roman"/>
                <w:b w:val="false"/>
                <w:i w:val="false"/>
                <w:color w:val="000000"/>
                <w:sz w:val="20"/>
              </w:rPr>
              <w:t xml:space="preserve">
   в) токсикологические исследования (токсичность при однократном и повторном введениях лекарственного средства, генотоксичность, канцерогенность, репродуктивная токсичность, эмбриотоксичность, местная переносимость, иные исследования токсичности). </w:t>
            </w:r>
          </w:p>
          <w:p>
            <w:pPr>
              <w:spacing w:after="20"/>
              <w:ind w:left="20"/>
              <w:jc w:val="both"/>
            </w:pPr>
            <w:r>
              <w:rPr>
                <w:rFonts w:ascii="Times New Roman"/>
                <w:b w:val="false"/>
                <w:i w:val="false"/>
                <w:color w:val="000000"/>
                <w:sz w:val="20"/>
              </w:rPr>
              <w:t>
   Для организации и проведения доклинического (неклинического) исследования лекарственного средства разработчики лекарственных средств могут привлекать научно-исследовательские организации, образовательные организации высшего образования, иные организации, имеющие необходимую материально-техническую базу и квалифицированных специалистов в соответствующей области исследования.</w:t>
            </w:r>
          </w:p>
          <w:p>
            <w:pPr>
              <w:spacing w:after="20"/>
              <w:ind w:left="20"/>
              <w:jc w:val="both"/>
            </w:pPr>
            <w:r>
              <w:rPr>
                <w:rFonts w:ascii="Times New Roman"/>
                <w:b w:val="false"/>
                <w:i w:val="false"/>
                <w:color w:val="000000"/>
                <w:sz w:val="20"/>
              </w:rPr>
              <w:t xml:space="preserve">
   Необходимый объем и методология проведения доклинических (неклинических) исследований лекарственных средств определяется свойствами лекарственного средства и способом его производства. </w:t>
            </w:r>
          </w:p>
          <w:p>
            <w:pPr>
              <w:spacing w:after="20"/>
              <w:ind w:left="20"/>
              <w:jc w:val="both"/>
            </w:pPr>
            <w:r>
              <w:rPr>
                <w:rFonts w:ascii="Times New Roman"/>
                <w:b w:val="false"/>
                <w:i w:val="false"/>
                <w:color w:val="000000"/>
                <w:sz w:val="20"/>
              </w:rPr>
              <w:t xml:space="preserve">
         Основные требования к оценке безопасности лекарственных средств </w:t>
            </w:r>
          </w:p>
          <w:p>
            <w:pPr>
              <w:spacing w:after="20"/>
              <w:ind w:left="20"/>
              <w:jc w:val="both"/>
            </w:pPr>
            <w:r>
              <w:rPr>
                <w:rFonts w:ascii="Times New Roman"/>
                <w:b w:val="false"/>
                <w:i w:val="false"/>
                <w:color w:val="000000"/>
                <w:sz w:val="20"/>
              </w:rPr>
              <w:t>
   Изучение общетоксического действия.</w:t>
            </w:r>
          </w:p>
          <w:p>
            <w:pPr>
              <w:spacing w:after="20"/>
              <w:ind w:left="20"/>
              <w:jc w:val="both"/>
            </w:pPr>
            <w:r>
              <w:rPr>
                <w:rFonts w:ascii="Times New Roman"/>
                <w:b w:val="false"/>
                <w:i w:val="false"/>
                <w:color w:val="000000"/>
                <w:sz w:val="20"/>
              </w:rPr>
              <w:t>
   1. Оценка общетоксического действия является обязательной для:</w:t>
            </w:r>
          </w:p>
          <w:p>
            <w:pPr>
              <w:spacing w:after="20"/>
              <w:ind w:left="20"/>
              <w:jc w:val="both"/>
            </w:pPr>
            <w:r>
              <w:rPr>
                <w:rFonts w:ascii="Times New Roman"/>
                <w:b w:val="false"/>
                <w:i w:val="false"/>
                <w:color w:val="000000"/>
                <w:sz w:val="20"/>
              </w:rPr>
              <w:t>
   а) как для субстанции, так и готовых лекарственных форм новых оригинальных веществ;</w:t>
            </w:r>
          </w:p>
          <w:p>
            <w:pPr>
              <w:spacing w:after="20"/>
              <w:ind w:left="20"/>
              <w:jc w:val="both"/>
            </w:pPr>
            <w:r>
              <w:rPr>
                <w:rFonts w:ascii="Times New Roman"/>
                <w:b w:val="false"/>
                <w:i w:val="false"/>
                <w:color w:val="000000"/>
                <w:sz w:val="20"/>
              </w:rPr>
              <w:t>
   б) новой лекарственной формы, если она содержит новые активные ингредиенты или вспомогательные вещества, не разрешенные для применения в медицинской практике;</w:t>
            </w:r>
          </w:p>
          <w:p>
            <w:pPr>
              <w:spacing w:after="20"/>
              <w:ind w:left="20"/>
              <w:jc w:val="both"/>
            </w:pPr>
            <w:r>
              <w:rPr>
                <w:rFonts w:ascii="Times New Roman"/>
                <w:b w:val="false"/>
                <w:i w:val="false"/>
                <w:color w:val="000000"/>
                <w:sz w:val="20"/>
              </w:rPr>
              <w:t>
   в) лекарственной формы известных лекарственных средств при измененной технологии ее производства;</w:t>
            </w:r>
          </w:p>
          <w:p>
            <w:pPr>
              <w:spacing w:after="20"/>
              <w:ind w:left="20"/>
              <w:jc w:val="both"/>
            </w:pPr>
            <w:r>
              <w:rPr>
                <w:rFonts w:ascii="Times New Roman"/>
                <w:b w:val="false"/>
                <w:i w:val="false"/>
                <w:color w:val="000000"/>
                <w:sz w:val="20"/>
              </w:rPr>
              <w:t>
   г) лекарственной формы известных лекарственных средств, рекомендованных для нового пути введения;</w:t>
            </w:r>
          </w:p>
          <w:p>
            <w:pPr>
              <w:spacing w:after="20"/>
              <w:ind w:left="20"/>
              <w:jc w:val="both"/>
            </w:pPr>
            <w:r>
              <w:rPr>
                <w:rFonts w:ascii="Times New Roman"/>
                <w:b w:val="false"/>
                <w:i w:val="false"/>
                <w:color w:val="000000"/>
                <w:sz w:val="20"/>
              </w:rPr>
              <w:t>
   д) новых комбинаций разрешенных лекарственных средств, если установлено изменение фармакокинетических параметров компонентов.</w:t>
            </w:r>
          </w:p>
          <w:p>
            <w:pPr>
              <w:spacing w:after="20"/>
              <w:ind w:left="20"/>
              <w:jc w:val="both"/>
            </w:pPr>
            <w:r>
              <w:rPr>
                <w:rFonts w:ascii="Times New Roman"/>
                <w:b w:val="false"/>
                <w:i w:val="false"/>
                <w:color w:val="000000"/>
                <w:sz w:val="20"/>
              </w:rPr>
              <w:t>
   2. Все новые лекарственные средства изучаются на грызунах (рандомбредных или линейных) и негрызунах. Длительность токсикологического эксперимента определяется продолжительностью его клинического применения (согласно таблице).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3"/>
              <w:gridCol w:w="3274"/>
              <w:gridCol w:w="4103"/>
            </w:tblGrid>
            <w:tr>
              <w:trPr>
                <w:trHeight w:val="30" w:hRule="atLeast"/>
              </w:trPr>
              <w:tc>
                <w:tcPr>
                  <w:tcW w:w="4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применения средства у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введения средства животным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Подострая токсичность</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токсичность</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дней</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дней</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дней</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дней</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дней</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дней</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дней</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дней</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месяцев и более</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дней</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Исследования на грызунах.</w:t>
            </w:r>
          </w:p>
          <w:p>
            <w:pPr>
              <w:spacing w:after="20"/>
              <w:ind w:left="20"/>
              <w:jc w:val="both"/>
            </w:pPr>
            <w:r>
              <w:rPr>
                <w:rFonts w:ascii="Times New Roman"/>
                <w:b w:val="false"/>
                <w:i w:val="false"/>
                <w:color w:val="000000"/>
                <w:sz w:val="20"/>
              </w:rPr>
              <w:t>
   Изучение острой токсичности:</w:t>
            </w:r>
          </w:p>
          <w:p>
            <w:pPr>
              <w:spacing w:after="20"/>
              <w:ind w:left="20"/>
              <w:jc w:val="both"/>
            </w:pPr>
            <w:r>
              <w:rPr>
                <w:rFonts w:ascii="Times New Roman"/>
                <w:b w:val="false"/>
                <w:i w:val="false"/>
                <w:color w:val="000000"/>
                <w:sz w:val="20"/>
              </w:rPr>
              <w:t>
   а) животные: два вида (мыши, крысы) половозрелые, обоего пола;</w:t>
            </w:r>
          </w:p>
          <w:p>
            <w:pPr>
              <w:spacing w:after="20"/>
              <w:ind w:left="20"/>
              <w:jc w:val="both"/>
            </w:pPr>
            <w:r>
              <w:rPr>
                <w:rFonts w:ascii="Times New Roman"/>
                <w:b w:val="false"/>
                <w:i w:val="false"/>
                <w:color w:val="000000"/>
                <w:sz w:val="20"/>
              </w:rPr>
              <w:t>
   б) число животных в группе не менее 5 животных;</w:t>
            </w:r>
          </w:p>
          <w:p>
            <w:pPr>
              <w:spacing w:after="20"/>
              <w:ind w:left="20"/>
              <w:jc w:val="both"/>
            </w:pPr>
            <w:r>
              <w:rPr>
                <w:rFonts w:ascii="Times New Roman"/>
                <w:b w:val="false"/>
                <w:i w:val="false"/>
                <w:color w:val="000000"/>
                <w:sz w:val="20"/>
              </w:rPr>
              <w:t>
   в) путь введения: пероральный и парентеральный, включая рекомендованный для клинического применения;</w:t>
            </w:r>
          </w:p>
          <w:p>
            <w:pPr>
              <w:spacing w:after="20"/>
              <w:ind w:left="20"/>
              <w:jc w:val="both"/>
            </w:pPr>
            <w:r>
              <w:rPr>
                <w:rFonts w:ascii="Times New Roman"/>
                <w:b w:val="false"/>
                <w:i w:val="false"/>
                <w:color w:val="000000"/>
                <w:sz w:val="20"/>
              </w:rPr>
              <w:t>
   г) дозы: 4-5 доз, достаточных для расчета DL</w:t>
            </w:r>
            <w:r>
              <w:rPr>
                <w:rFonts w:ascii="Times New Roman"/>
                <w:b w:val="false"/>
                <w:i w:val="false"/>
                <w:color w:val="000000"/>
                <w:vertAlign w:val="subscript"/>
              </w:rPr>
              <w:t>50</w:t>
            </w:r>
            <w:r>
              <w:rPr>
                <w:rFonts w:ascii="Times New Roman"/>
                <w:b w:val="false"/>
                <w:i w:val="false"/>
                <w:color w:val="000000"/>
                <w:sz w:val="20"/>
              </w:rPr>
              <w:t xml:space="preserve">; если вещество обладает малой токсичностью, то следует ввести максимально возможную дозу при изучении острой токсичности с учетом технических возможностей; </w:t>
            </w:r>
          </w:p>
          <w:p>
            <w:pPr>
              <w:spacing w:after="20"/>
              <w:ind w:left="20"/>
              <w:jc w:val="both"/>
            </w:pPr>
            <w:r>
              <w:rPr>
                <w:rFonts w:ascii="Times New Roman"/>
                <w:b w:val="false"/>
                <w:i w:val="false"/>
                <w:color w:val="000000"/>
                <w:sz w:val="20"/>
              </w:rPr>
              <w:t>
   д) при изучении острой токсичности, используется 5 групп животных;</w:t>
            </w:r>
          </w:p>
          <w:p>
            <w:pPr>
              <w:spacing w:after="20"/>
              <w:ind w:left="20"/>
              <w:jc w:val="both"/>
            </w:pPr>
            <w:r>
              <w:rPr>
                <w:rFonts w:ascii="Times New Roman"/>
                <w:b w:val="false"/>
                <w:i w:val="false"/>
                <w:color w:val="000000"/>
                <w:sz w:val="20"/>
              </w:rPr>
              <w:t>
   е) среднесмертельная доза DL</w:t>
            </w:r>
            <w:r>
              <w:rPr>
                <w:rFonts w:ascii="Times New Roman"/>
                <w:b w:val="false"/>
                <w:i w:val="false"/>
                <w:color w:val="000000"/>
                <w:vertAlign w:val="subscript"/>
              </w:rPr>
              <w:t>50</w:t>
            </w:r>
            <w:r>
              <w:rPr>
                <w:rFonts w:ascii="Times New Roman"/>
                <w:b w:val="false"/>
                <w:i w:val="false"/>
                <w:color w:val="000000"/>
                <w:sz w:val="20"/>
              </w:rPr>
              <w:t xml:space="preserve"> рассчитывается методом пробит-анализа;</w:t>
            </w:r>
          </w:p>
          <w:p>
            <w:pPr>
              <w:spacing w:after="20"/>
              <w:ind w:left="20"/>
              <w:jc w:val="both"/>
            </w:pPr>
            <w:r>
              <w:rPr>
                <w:rFonts w:ascii="Times New Roman"/>
                <w:b w:val="false"/>
                <w:i w:val="false"/>
                <w:color w:val="000000"/>
                <w:sz w:val="20"/>
              </w:rPr>
              <w:t>
   ж) частота введения: однократно;</w:t>
            </w:r>
          </w:p>
          <w:p>
            <w:pPr>
              <w:spacing w:after="20"/>
              <w:ind w:left="20"/>
              <w:jc w:val="both"/>
            </w:pPr>
            <w:r>
              <w:rPr>
                <w:rFonts w:ascii="Times New Roman"/>
                <w:b w:val="false"/>
                <w:i w:val="false"/>
                <w:color w:val="000000"/>
                <w:sz w:val="20"/>
              </w:rPr>
              <w:t>
   з) период наблюдения: 14 дней;</w:t>
            </w:r>
          </w:p>
          <w:p>
            <w:pPr>
              <w:spacing w:after="20"/>
              <w:ind w:left="20"/>
              <w:jc w:val="both"/>
            </w:pPr>
            <w:r>
              <w:rPr>
                <w:rFonts w:ascii="Times New Roman"/>
                <w:b w:val="false"/>
                <w:i w:val="false"/>
                <w:color w:val="000000"/>
                <w:sz w:val="20"/>
              </w:rPr>
              <w:t>
   и) экспериментальная программа: ежедневное наблюдение общего состояния, взвешивание животных 3 раза в течение периода наблюдения, вскрытие павших животных и всех выживших в конце эксперимента, макроскопическое описание, определение относительной массы органов и изучение гистологической структуры органов с выраженными макроскопическими изменениями.</w:t>
            </w:r>
          </w:p>
          <w:p>
            <w:pPr>
              <w:spacing w:after="20"/>
              <w:ind w:left="20"/>
              <w:jc w:val="both"/>
            </w:pPr>
            <w:r>
              <w:rPr>
                <w:rFonts w:ascii="Times New Roman"/>
                <w:b w:val="false"/>
                <w:i w:val="false"/>
                <w:color w:val="000000"/>
                <w:sz w:val="20"/>
              </w:rPr>
              <w:t>
   4. Изучение подострой (субхронической) токсичности.</w:t>
            </w:r>
          </w:p>
          <w:p>
            <w:pPr>
              <w:spacing w:after="20"/>
              <w:ind w:left="20"/>
              <w:jc w:val="both"/>
            </w:pPr>
            <w:r>
              <w:rPr>
                <w:rFonts w:ascii="Times New Roman"/>
                <w:b w:val="false"/>
                <w:i w:val="false"/>
                <w:color w:val="000000"/>
                <w:sz w:val="20"/>
              </w:rPr>
              <w:t>
   а) животные: один вид взрослых животных обоего пола;</w:t>
            </w:r>
          </w:p>
          <w:p>
            <w:pPr>
              <w:spacing w:after="20"/>
              <w:ind w:left="20"/>
              <w:jc w:val="both"/>
            </w:pPr>
            <w:r>
              <w:rPr>
                <w:rFonts w:ascii="Times New Roman"/>
                <w:b w:val="false"/>
                <w:i w:val="false"/>
                <w:color w:val="000000"/>
                <w:sz w:val="20"/>
              </w:rPr>
              <w:t>
   б) число животных в группе не менее, чем по 10 особей обоего пола;</w:t>
            </w:r>
          </w:p>
          <w:p>
            <w:pPr>
              <w:spacing w:after="20"/>
              <w:ind w:left="20"/>
              <w:jc w:val="both"/>
            </w:pPr>
            <w:r>
              <w:rPr>
                <w:rFonts w:ascii="Times New Roman"/>
                <w:b w:val="false"/>
                <w:i w:val="false"/>
                <w:color w:val="000000"/>
                <w:sz w:val="20"/>
              </w:rPr>
              <w:t>
   в) путь введения: рекомендованный для клинического применения;</w:t>
            </w:r>
          </w:p>
          <w:p>
            <w:pPr>
              <w:spacing w:after="20"/>
              <w:ind w:left="20"/>
              <w:jc w:val="both"/>
            </w:pPr>
            <w:r>
              <w:rPr>
                <w:rFonts w:ascii="Times New Roman"/>
                <w:b w:val="false"/>
                <w:i w:val="false"/>
                <w:color w:val="000000"/>
                <w:sz w:val="20"/>
              </w:rPr>
              <w:t>
   3.2.1. Дозы: три дозы с обязательным формированием контрольных групп самок и самцов; меньшая из исследуемых доз - терапевтическая, максимальная вызывает интоксикацию и частичную гибель животных, средняя выбирается между ними;</w:t>
            </w:r>
          </w:p>
          <w:p>
            <w:pPr>
              <w:spacing w:after="20"/>
              <w:ind w:left="20"/>
              <w:jc w:val="both"/>
            </w:pPr>
            <w:r>
              <w:rPr>
                <w:rFonts w:ascii="Times New Roman"/>
                <w:b w:val="false"/>
                <w:i w:val="false"/>
                <w:color w:val="000000"/>
                <w:sz w:val="20"/>
              </w:rPr>
              <w:t>
   3.2.2. Экспериментальная программа: ежедневная регистрация общего состояния, взвешивание 1 раз в неделю, потребление пищи каждым животным или группой, по крайней мере, 1 раз в неделю в течение эксперимента. До введения препарата и в течение эксперимента проводятся гематологические, биохимические, офтальмологические, физиологические исследования, проводится анализ мочи, а при необходимости дополнительные исследования.</w:t>
            </w:r>
          </w:p>
          <w:p>
            <w:pPr>
              <w:spacing w:after="20"/>
              <w:ind w:left="20"/>
              <w:jc w:val="both"/>
            </w:pPr>
            <w:r>
              <w:rPr>
                <w:rFonts w:ascii="Times New Roman"/>
                <w:b w:val="false"/>
                <w:i w:val="false"/>
                <w:color w:val="000000"/>
                <w:sz w:val="20"/>
              </w:rPr>
              <w:t>
   Погибшие в течение эксперимента и умирающие животные подлежат вскрытию, макроскопическому описанию, органы взвешиваются и подвергаются гистологическому исследованию. В конце опыта все выжившие животные в каждой группе подвергаются вскрытию, макроскопическому описанию, органы взвешиваются.</w:t>
            </w:r>
          </w:p>
          <w:p>
            <w:pPr>
              <w:spacing w:after="20"/>
              <w:ind w:left="20"/>
              <w:jc w:val="both"/>
            </w:pPr>
            <w:r>
              <w:rPr>
                <w:rFonts w:ascii="Times New Roman"/>
                <w:b w:val="false"/>
                <w:i w:val="false"/>
                <w:color w:val="000000"/>
                <w:sz w:val="20"/>
              </w:rPr>
              <w:t>
   Гематологические и биохимические исследования проводятся при завершении эксперимента и у умерших животных. Гистологическому исследованию подвергаются, все контрольные животные и те, которые подвергались воздействию наибольшей изученной дозы препарата. Органы и ткани животных остальных групп подвергаются гистологическому изучению по итогам исследования воздействия максимальной дозы и на основании макроскопических изменений органов.</w:t>
            </w:r>
          </w:p>
          <w:p>
            <w:pPr>
              <w:spacing w:after="20"/>
              <w:ind w:left="20"/>
              <w:jc w:val="both"/>
            </w:pPr>
            <w:r>
              <w:rPr>
                <w:rFonts w:ascii="Times New Roman"/>
                <w:b w:val="false"/>
                <w:i w:val="false"/>
                <w:color w:val="000000"/>
                <w:sz w:val="20"/>
              </w:rPr>
              <w:t>
   3.3. Изучение хронической токсичности.</w:t>
            </w:r>
          </w:p>
          <w:p>
            <w:pPr>
              <w:spacing w:after="20"/>
              <w:ind w:left="20"/>
              <w:jc w:val="both"/>
            </w:pPr>
            <w:r>
              <w:rPr>
                <w:rFonts w:ascii="Times New Roman"/>
                <w:b w:val="false"/>
                <w:i w:val="false"/>
                <w:color w:val="000000"/>
                <w:sz w:val="20"/>
              </w:rPr>
              <w:t>
   3.3.1. Животные: один вид здоровых взрослых животных обоего пола;</w:t>
            </w:r>
          </w:p>
          <w:p>
            <w:pPr>
              <w:spacing w:after="20"/>
              <w:ind w:left="20"/>
              <w:jc w:val="both"/>
            </w:pPr>
            <w:r>
              <w:rPr>
                <w:rFonts w:ascii="Times New Roman"/>
                <w:b w:val="false"/>
                <w:i w:val="false"/>
                <w:color w:val="000000"/>
                <w:sz w:val="20"/>
              </w:rPr>
              <w:t>
   3.3.2. Число животных в каждой группе составляет не менее чем по 20 особей обоего пола.</w:t>
            </w:r>
          </w:p>
          <w:p>
            <w:pPr>
              <w:spacing w:after="20"/>
              <w:ind w:left="20"/>
              <w:jc w:val="both"/>
            </w:pPr>
            <w:r>
              <w:rPr>
                <w:rFonts w:ascii="Times New Roman"/>
                <w:b w:val="false"/>
                <w:i w:val="false"/>
                <w:color w:val="000000"/>
                <w:sz w:val="20"/>
              </w:rPr>
              <w:t>
   3.3.3. Путь введения: по возможности соответствует рекомендованному для клинического применения.</w:t>
            </w:r>
          </w:p>
          <w:p>
            <w:pPr>
              <w:spacing w:after="20"/>
              <w:ind w:left="20"/>
              <w:jc w:val="both"/>
            </w:pPr>
            <w:r>
              <w:rPr>
                <w:rFonts w:ascii="Times New Roman"/>
                <w:b w:val="false"/>
                <w:i w:val="false"/>
                <w:color w:val="000000"/>
                <w:sz w:val="20"/>
              </w:rPr>
              <w:t>
   3.3.4. Дозы: лекарственное средство изучается в трех дозах с осязательным выделением контрольной группы животных.</w:t>
            </w:r>
          </w:p>
          <w:p>
            <w:pPr>
              <w:spacing w:after="20"/>
              <w:ind w:left="20"/>
              <w:jc w:val="both"/>
            </w:pPr>
            <w:r>
              <w:rPr>
                <w:rFonts w:ascii="Times New Roman"/>
                <w:b w:val="false"/>
                <w:i w:val="false"/>
                <w:color w:val="000000"/>
                <w:sz w:val="20"/>
              </w:rPr>
              <w:t>
   Если введение вещества требует растворителей или каких-либо добавок, то, наряду с интактным контролем необходим контроль, получающий соответствующий растворитель. Выбор изучаемых доз в хроническом эксперименте базируется на результатах фармакологических исследований, острой и подострой токсичности. Наименьшая из изучаемых доз - эффективная доза для используемого в эксперименте вида животного. Максимальная доза вызывает проявления интоксикации, но не гибель подопытных животных. Средняя доза занимает промежуточное положение между ними.</w:t>
            </w:r>
          </w:p>
          <w:p>
            <w:pPr>
              <w:spacing w:after="20"/>
              <w:ind w:left="20"/>
              <w:jc w:val="both"/>
            </w:pPr>
            <w:r>
              <w:rPr>
                <w:rFonts w:ascii="Times New Roman"/>
                <w:b w:val="false"/>
                <w:i w:val="false"/>
                <w:color w:val="000000"/>
                <w:sz w:val="20"/>
              </w:rPr>
              <w:t>
   3.3.5. Длительность введения: от 6 до 12 месяцев с частотой 7 раз в неделю.</w:t>
            </w:r>
          </w:p>
          <w:p>
            <w:pPr>
              <w:spacing w:after="20"/>
              <w:ind w:left="20"/>
              <w:jc w:val="both"/>
            </w:pPr>
            <w:r>
              <w:rPr>
                <w:rFonts w:ascii="Times New Roman"/>
                <w:b w:val="false"/>
                <w:i w:val="false"/>
                <w:color w:val="000000"/>
                <w:sz w:val="20"/>
              </w:rPr>
              <w:t xml:space="preserve">
   3.3.6. </w:t>
            </w:r>
            <w:r>
              <w:rPr>
                <w:rFonts w:ascii="Times New Roman"/>
                <w:b w:val="false"/>
                <w:i/>
                <w:color w:val="000000"/>
                <w:sz w:val="20"/>
              </w:rPr>
              <w:t>Экспериментальная программа:</w:t>
            </w:r>
            <w:r>
              <w:rPr>
                <w:rFonts w:ascii="Times New Roman"/>
                <w:b w:val="false"/>
                <w:i w:val="false"/>
                <w:color w:val="000000"/>
                <w:sz w:val="20"/>
              </w:rPr>
              <w:t xml:space="preserve"> общее состояние всех животных регистрируется ежедневно; взвешивание производится 1 раз в неделю в первые 3 месяца эксперимента, затем 1 раз в месяц; потребление пищи каждым животным или группой измеряется 1 раз в месяц; у части животных каждой группы необходимо провести анализ мочи, офтальмологические, гематологические, биохимические и физиологические исследования каждые 6 месяцев в течение введения препарата.</w:t>
            </w:r>
          </w:p>
          <w:p>
            <w:pPr>
              <w:spacing w:after="20"/>
              <w:ind w:left="20"/>
              <w:jc w:val="both"/>
            </w:pPr>
            <w:r>
              <w:rPr>
                <w:rFonts w:ascii="Times New Roman"/>
                <w:b w:val="false"/>
                <w:i w:val="false"/>
                <w:color w:val="000000"/>
                <w:sz w:val="20"/>
              </w:rPr>
              <w:t>
   </w:t>
            </w:r>
            <w:r>
              <w:rPr>
                <w:rFonts w:ascii="Times New Roman"/>
                <w:b w:val="false"/>
                <w:i/>
                <w:color w:val="000000"/>
                <w:sz w:val="20"/>
              </w:rPr>
              <w:t>Интегральные тесты:</w:t>
            </w:r>
            <w:r>
              <w:rPr>
                <w:rFonts w:ascii="Times New Roman"/>
                <w:b w:val="false"/>
                <w:i w:val="false"/>
                <w:color w:val="000000"/>
                <w:sz w:val="20"/>
              </w:rPr>
              <w:t xml:space="preserve"> выживаемость, прирост массы тела, потребление пищи, общее поведение, осмотр, пальпация, ректальная температура.</w:t>
            </w:r>
          </w:p>
          <w:p>
            <w:pPr>
              <w:spacing w:after="20"/>
              <w:ind w:left="20"/>
              <w:jc w:val="both"/>
            </w:pPr>
            <w:r>
              <w:rPr>
                <w:rFonts w:ascii="Times New Roman"/>
                <w:b w:val="false"/>
                <w:i w:val="false"/>
                <w:color w:val="000000"/>
                <w:sz w:val="20"/>
              </w:rPr>
              <w:t>
   </w:t>
            </w:r>
            <w:r>
              <w:rPr>
                <w:rFonts w:ascii="Times New Roman"/>
                <w:b w:val="false"/>
                <w:i/>
                <w:color w:val="000000"/>
                <w:sz w:val="20"/>
              </w:rPr>
              <w:t>Гематологические исследования:</w:t>
            </w:r>
            <w:r>
              <w:rPr>
                <w:rFonts w:ascii="Times New Roman"/>
                <w:b w:val="false"/>
                <w:i w:val="false"/>
                <w:color w:val="000000"/>
                <w:sz w:val="20"/>
              </w:rPr>
              <w:t xml:space="preserve"> гематокрит, гемоглобин, количество эритроцитов, цветовой показатель, скорость оседания эритроцитов, средний объем эритроцитов, количество лейкоцитов, лейкограмма, тромбоциты, ретикулоциты, миелограмма, коагулограмма.</w:t>
            </w:r>
          </w:p>
          <w:p>
            <w:pPr>
              <w:spacing w:after="20"/>
              <w:ind w:left="20"/>
              <w:jc w:val="both"/>
            </w:pPr>
            <w:r>
              <w:rPr>
                <w:rFonts w:ascii="Times New Roman"/>
                <w:b w:val="false"/>
                <w:i w:val="false"/>
                <w:color w:val="000000"/>
                <w:sz w:val="20"/>
              </w:rPr>
              <w:t>
   </w:t>
            </w:r>
            <w:r>
              <w:rPr>
                <w:rFonts w:ascii="Times New Roman"/>
                <w:b w:val="false"/>
                <w:i/>
                <w:color w:val="000000"/>
                <w:sz w:val="20"/>
              </w:rPr>
              <w:t>Биохимические исследования сыворотки крови:</w:t>
            </w:r>
            <w:r>
              <w:rPr>
                <w:rFonts w:ascii="Times New Roman"/>
                <w:b w:val="false"/>
                <w:i w:val="false"/>
                <w:color w:val="000000"/>
                <w:sz w:val="20"/>
              </w:rPr>
              <w:t xml:space="preserve"> аспартатрансаминаза, аланинтрансаминаза, лактатдегидрогеназа, билирубин, глюкоза, ионы натрия, калия, общий белок, мочевина, креатинин, щелочная фосфатаза, общие липиды, общий холестерин.</w:t>
            </w:r>
          </w:p>
          <w:p>
            <w:pPr>
              <w:spacing w:after="20"/>
              <w:ind w:left="20"/>
              <w:jc w:val="both"/>
            </w:pPr>
            <w:r>
              <w:rPr>
                <w:rFonts w:ascii="Times New Roman"/>
                <w:b w:val="false"/>
                <w:i w:val="false"/>
                <w:color w:val="000000"/>
                <w:sz w:val="20"/>
              </w:rPr>
              <w:t>
   </w:t>
            </w:r>
            <w:r>
              <w:rPr>
                <w:rFonts w:ascii="Times New Roman"/>
                <w:b w:val="false"/>
                <w:i/>
                <w:color w:val="000000"/>
                <w:sz w:val="20"/>
              </w:rPr>
              <w:t>Исследование мочи:</w:t>
            </w:r>
            <w:r>
              <w:rPr>
                <w:rFonts w:ascii="Times New Roman"/>
                <w:b w:val="false"/>
                <w:i w:val="false"/>
                <w:color w:val="000000"/>
                <w:sz w:val="20"/>
              </w:rPr>
              <w:t xml:space="preserve"> спонтанный диурез, рН мочи, белок, билирубин, сахар, кетоновые тела, уробилиноген, мочевина, ионы натрия, калия, анализ осадка мочи</w:t>
            </w:r>
          </w:p>
          <w:p>
            <w:pPr>
              <w:spacing w:after="20"/>
              <w:ind w:left="20"/>
              <w:jc w:val="both"/>
            </w:pPr>
            <w:r>
              <w:rPr>
                <w:rFonts w:ascii="Times New Roman"/>
                <w:b w:val="false"/>
                <w:i w:val="false"/>
                <w:color w:val="000000"/>
                <w:sz w:val="20"/>
              </w:rPr>
              <w:t>
   </w:t>
            </w:r>
            <w:r>
              <w:rPr>
                <w:rFonts w:ascii="Times New Roman"/>
                <w:b w:val="false"/>
                <w:i/>
                <w:color w:val="000000"/>
                <w:sz w:val="20"/>
              </w:rPr>
              <w:t>Нагрузочные пробы:</w:t>
            </w:r>
            <w:r>
              <w:rPr>
                <w:rFonts w:ascii="Times New Roman"/>
                <w:b w:val="false"/>
                <w:i w:val="false"/>
                <w:color w:val="000000"/>
                <w:sz w:val="20"/>
              </w:rPr>
              <w:t xml:space="preserve"> бромсульфалеиновая проба, длительность "гексеналового сна", оценка секреторной функции почек по экскреции фенолового красного.</w:t>
            </w:r>
          </w:p>
          <w:p>
            <w:pPr>
              <w:spacing w:after="20"/>
              <w:ind w:left="20"/>
              <w:jc w:val="both"/>
            </w:pPr>
            <w:r>
              <w:rPr>
                <w:rFonts w:ascii="Times New Roman"/>
                <w:b w:val="false"/>
                <w:i w:val="false"/>
                <w:color w:val="000000"/>
                <w:sz w:val="20"/>
              </w:rPr>
              <w:t>
   </w:t>
            </w:r>
            <w:r>
              <w:rPr>
                <w:rFonts w:ascii="Times New Roman"/>
                <w:b w:val="false"/>
                <w:i/>
                <w:color w:val="000000"/>
                <w:sz w:val="20"/>
              </w:rPr>
              <w:t>Физиологические исследования:</w:t>
            </w:r>
            <w:r>
              <w:rPr>
                <w:rFonts w:ascii="Times New Roman"/>
                <w:b w:val="false"/>
                <w:i w:val="false"/>
                <w:color w:val="000000"/>
                <w:sz w:val="20"/>
              </w:rPr>
              <w:t xml:space="preserve"> тест "открытого" поля, спонтанная двигательная активность, исследовательский рефлекс, рефлекс активного и пассивного избегания, суммация подпороговых импульсов, электрокардиография, измерение кровяного давления.</w:t>
            </w:r>
          </w:p>
          <w:p>
            <w:pPr>
              <w:spacing w:after="20"/>
              <w:ind w:left="20"/>
              <w:jc w:val="both"/>
            </w:pPr>
            <w:r>
              <w:rPr>
                <w:rFonts w:ascii="Times New Roman"/>
                <w:b w:val="false"/>
                <w:i w:val="false"/>
                <w:color w:val="000000"/>
                <w:sz w:val="20"/>
              </w:rPr>
              <w:t>
   </w:t>
            </w:r>
            <w:r>
              <w:rPr>
                <w:rFonts w:ascii="Times New Roman"/>
                <w:b w:val="false"/>
                <w:i/>
                <w:color w:val="000000"/>
                <w:sz w:val="20"/>
              </w:rPr>
              <w:t>Патоморфологические исследования.</w:t>
            </w:r>
            <w:r>
              <w:rPr>
                <w:rFonts w:ascii="Times New Roman"/>
                <w:b w:val="false"/>
                <w:i w:val="false"/>
                <w:color w:val="000000"/>
                <w:sz w:val="20"/>
              </w:rPr>
              <w:t xml:space="preserve"> Гистологическому исследованию подвергаются следующие органы и ткани животных: кожа, молочные железы, лимфатические узлы, подчелюстные железы, грудина, бедро, костный мозг, тимус, трахея, легкие, сердце*, щитовидная железа, пара- щитовидная железа, язык, пищевод, желудок, 12-перстная кишка, тонкий кишечник, толстый кишечник, печень*, поджелудочная железа, селезенка*, почки*, надпочечники*, мочевой пузырь, семенные пузырьки, простата*, яички*, яичники*, матка, влагалище, головной мозг*, гипофиз*, спинной мозг, глазное яблоко и другие органы и ткани с макроскопическими изменениями. При этом органы, отмеченные звездочкой, взвешиваются.</w:t>
            </w:r>
          </w:p>
          <w:p>
            <w:pPr>
              <w:spacing w:after="20"/>
              <w:ind w:left="20"/>
              <w:jc w:val="both"/>
            </w:pPr>
            <w:r>
              <w:rPr>
                <w:rFonts w:ascii="Times New Roman"/>
                <w:b w:val="false"/>
                <w:i w:val="false"/>
                <w:color w:val="000000"/>
                <w:sz w:val="20"/>
              </w:rPr>
              <w:t>
   Погибшие и умирающие животные подвергаются вскрытию, описывается макроскопически, органы взвешиваются и подвергаются гистологическому исследованию.</w:t>
            </w:r>
          </w:p>
          <w:p>
            <w:pPr>
              <w:spacing w:after="20"/>
              <w:ind w:left="20"/>
              <w:jc w:val="both"/>
            </w:pPr>
            <w:r>
              <w:rPr>
                <w:rFonts w:ascii="Times New Roman"/>
                <w:b w:val="false"/>
                <w:i w:val="false"/>
                <w:color w:val="000000"/>
                <w:sz w:val="20"/>
              </w:rPr>
              <w:t>
   После прекращения введения препарата часть животных оставляется для изучения восстановительного периода, если установлены функциональные изменения; остальные выжившие животные подвергаются вскрытию, макроскопическому описанию, органы взвешиваются.</w:t>
            </w:r>
          </w:p>
          <w:p>
            <w:pPr>
              <w:spacing w:after="20"/>
              <w:ind w:left="20"/>
              <w:jc w:val="both"/>
            </w:pPr>
            <w:r>
              <w:rPr>
                <w:rFonts w:ascii="Times New Roman"/>
                <w:b w:val="false"/>
                <w:i w:val="false"/>
                <w:color w:val="000000"/>
                <w:sz w:val="20"/>
              </w:rPr>
              <w:t>
   Гистологическому исследованию подвергаются животные контрольной группы и группы, подвергающейся воздействию максимальной дозы препарата; органы животных других групп подвергаются гистологическому исследованию по мере необходимости, при обнаружении макроскопических изменений в органах, при выявлении органов-мишеней; необходимые гематологические и биохимические исследования проводятся во всех группах при забое.</w:t>
            </w:r>
          </w:p>
          <w:p>
            <w:pPr>
              <w:spacing w:after="20"/>
              <w:ind w:left="20"/>
              <w:jc w:val="both"/>
            </w:pPr>
            <w:r>
              <w:rPr>
                <w:rFonts w:ascii="Times New Roman"/>
                <w:b w:val="false"/>
                <w:i w:val="false"/>
                <w:color w:val="000000"/>
                <w:sz w:val="20"/>
              </w:rPr>
              <w:t>
   4. Исследования на негрызунах (собаки-бигль, обезьяны).</w:t>
            </w:r>
          </w:p>
          <w:p>
            <w:pPr>
              <w:spacing w:after="20"/>
              <w:ind w:left="20"/>
              <w:jc w:val="both"/>
            </w:pPr>
            <w:r>
              <w:rPr>
                <w:rFonts w:ascii="Times New Roman"/>
                <w:b w:val="false"/>
                <w:i w:val="false"/>
                <w:color w:val="000000"/>
                <w:sz w:val="20"/>
              </w:rPr>
              <w:t>
   4.1. Острая токсичность</w:t>
            </w:r>
          </w:p>
          <w:p>
            <w:pPr>
              <w:spacing w:after="20"/>
              <w:ind w:left="20"/>
              <w:jc w:val="both"/>
            </w:pPr>
            <w:r>
              <w:rPr>
                <w:rFonts w:ascii="Times New Roman"/>
                <w:b w:val="false"/>
                <w:i w:val="false"/>
                <w:color w:val="000000"/>
                <w:sz w:val="20"/>
              </w:rPr>
              <w:t>
   4.1.1. Животные: один вид животных;</w:t>
            </w:r>
          </w:p>
          <w:p>
            <w:pPr>
              <w:spacing w:after="20"/>
              <w:ind w:left="20"/>
              <w:jc w:val="both"/>
            </w:pPr>
            <w:r>
              <w:rPr>
                <w:rFonts w:ascii="Times New Roman"/>
                <w:b w:val="false"/>
                <w:i w:val="false"/>
                <w:color w:val="000000"/>
                <w:sz w:val="20"/>
              </w:rPr>
              <w:t>
   4.1.2. Число животных в группе не менее 2-х животных;</w:t>
            </w:r>
          </w:p>
          <w:p>
            <w:pPr>
              <w:spacing w:after="20"/>
              <w:ind w:left="20"/>
              <w:jc w:val="both"/>
            </w:pPr>
            <w:r>
              <w:rPr>
                <w:rFonts w:ascii="Times New Roman"/>
                <w:b w:val="false"/>
                <w:i w:val="false"/>
                <w:color w:val="000000"/>
                <w:sz w:val="20"/>
              </w:rPr>
              <w:t>
   4.1.3. Путь введения: рекомендованный для клинического применения;</w:t>
            </w:r>
          </w:p>
          <w:p>
            <w:pPr>
              <w:spacing w:after="20"/>
              <w:ind w:left="20"/>
              <w:jc w:val="both"/>
            </w:pPr>
            <w:r>
              <w:rPr>
                <w:rFonts w:ascii="Times New Roman"/>
                <w:b w:val="false"/>
                <w:i w:val="false"/>
                <w:color w:val="000000"/>
                <w:sz w:val="20"/>
              </w:rPr>
              <w:t>
   4.1.4. Дозы: две дозы для ориентировочного определения летальной дозы;</w:t>
            </w:r>
          </w:p>
          <w:p>
            <w:pPr>
              <w:spacing w:after="20"/>
              <w:ind w:left="20"/>
              <w:jc w:val="both"/>
            </w:pPr>
            <w:r>
              <w:rPr>
                <w:rFonts w:ascii="Times New Roman"/>
                <w:b w:val="false"/>
                <w:i w:val="false"/>
                <w:color w:val="000000"/>
                <w:sz w:val="20"/>
              </w:rPr>
              <w:t>
   4.1.5. Частота введения: однократно;</w:t>
            </w:r>
          </w:p>
          <w:p>
            <w:pPr>
              <w:spacing w:after="20"/>
              <w:ind w:left="20"/>
              <w:jc w:val="both"/>
            </w:pPr>
            <w:r>
              <w:rPr>
                <w:rFonts w:ascii="Times New Roman"/>
                <w:b w:val="false"/>
                <w:i w:val="false"/>
                <w:color w:val="000000"/>
                <w:sz w:val="20"/>
              </w:rPr>
              <w:t>
   4.1.6. Длительность наблюдения: 14 дней;</w:t>
            </w:r>
          </w:p>
          <w:p>
            <w:pPr>
              <w:spacing w:after="20"/>
              <w:ind w:left="20"/>
              <w:jc w:val="both"/>
            </w:pPr>
            <w:r>
              <w:rPr>
                <w:rFonts w:ascii="Times New Roman"/>
                <w:b w:val="false"/>
                <w:i w:val="false"/>
                <w:color w:val="000000"/>
                <w:sz w:val="20"/>
              </w:rPr>
              <w:t>
   4.1.7. Экспериментальная программа: ежедневное наблюдение за общим состоянием, взвешивание не менее 3-х раз за период наблюдения, лабораторные исследования по мере необходимости, в конце периода наблюдения или после гибели все животные каждой группы вскрываются, описываются макроскопически, органы взвешиваются, подвергаются гистологическому исследованию по мере необходимости.</w:t>
            </w:r>
          </w:p>
          <w:p>
            <w:pPr>
              <w:spacing w:after="20"/>
              <w:ind w:left="20"/>
              <w:jc w:val="both"/>
            </w:pPr>
            <w:r>
              <w:rPr>
                <w:rFonts w:ascii="Times New Roman"/>
                <w:b w:val="false"/>
                <w:i w:val="false"/>
                <w:color w:val="000000"/>
                <w:sz w:val="20"/>
              </w:rPr>
              <w:t>
   4.2. Подострая токсичность</w:t>
            </w:r>
          </w:p>
          <w:p>
            <w:pPr>
              <w:spacing w:after="20"/>
              <w:ind w:left="20"/>
              <w:jc w:val="both"/>
            </w:pPr>
            <w:r>
              <w:rPr>
                <w:rFonts w:ascii="Times New Roman"/>
                <w:b w:val="false"/>
                <w:i w:val="false"/>
                <w:color w:val="000000"/>
                <w:sz w:val="20"/>
              </w:rPr>
              <w:t>
   4.2.1. Животные: 1 вид обоего пола;</w:t>
            </w:r>
          </w:p>
          <w:p>
            <w:pPr>
              <w:spacing w:after="20"/>
              <w:ind w:left="20"/>
              <w:jc w:val="both"/>
            </w:pPr>
            <w:r>
              <w:rPr>
                <w:rFonts w:ascii="Times New Roman"/>
                <w:b w:val="false"/>
                <w:i w:val="false"/>
                <w:color w:val="000000"/>
                <w:sz w:val="20"/>
              </w:rPr>
              <w:t>
   4.2.2. Число животных: не менее 3-х в группе каждого пола;</w:t>
            </w:r>
          </w:p>
          <w:p>
            <w:pPr>
              <w:spacing w:after="20"/>
              <w:ind w:left="20"/>
              <w:jc w:val="both"/>
            </w:pPr>
            <w:r>
              <w:rPr>
                <w:rFonts w:ascii="Times New Roman"/>
                <w:b w:val="false"/>
                <w:i w:val="false"/>
                <w:color w:val="000000"/>
                <w:sz w:val="20"/>
              </w:rPr>
              <w:t>
   4.2.3. Путь введения: соответствующий рекомендованному для клинического применения;</w:t>
            </w:r>
          </w:p>
          <w:p>
            <w:pPr>
              <w:spacing w:after="20"/>
              <w:ind w:left="20"/>
              <w:jc w:val="both"/>
            </w:pPr>
            <w:r>
              <w:rPr>
                <w:rFonts w:ascii="Times New Roman"/>
                <w:b w:val="false"/>
                <w:i w:val="false"/>
                <w:color w:val="000000"/>
                <w:sz w:val="20"/>
              </w:rPr>
              <w:t>
   4.2.4. Дозы: три дозы лекарственного средства подергаются изучению на животных обоего пола;</w:t>
            </w:r>
          </w:p>
          <w:p>
            <w:pPr>
              <w:spacing w:after="20"/>
              <w:ind w:left="20"/>
              <w:jc w:val="both"/>
            </w:pPr>
            <w:r>
              <w:rPr>
                <w:rFonts w:ascii="Times New Roman"/>
                <w:b w:val="false"/>
                <w:i w:val="false"/>
                <w:color w:val="000000"/>
                <w:sz w:val="20"/>
              </w:rPr>
              <w:t>
   4.2.5. Контрольная группа: обязательно формирование интактной группы; при использовании растворителей, добавок или капсул для введения субстанции, необходима дополнительная контрольная группа с введением вышеназванного компонента;</w:t>
            </w:r>
          </w:p>
          <w:p>
            <w:pPr>
              <w:spacing w:after="20"/>
              <w:ind w:left="20"/>
              <w:jc w:val="both"/>
            </w:pPr>
            <w:r>
              <w:rPr>
                <w:rFonts w:ascii="Times New Roman"/>
                <w:b w:val="false"/>
                <w:i w:val="false"/>
                <w:color w:val="000000"/>
                <w:sz w:val="20"/>
              </w:rPr>
              <w:t>
   4.2.6. Срок введения: 28 или 90 дней при ежедневном введении в течение недели;</w:t>
            </w:r>
          </w:p>
          <w:p>
            <w:pPr>
              <w:spacing w:after="20"/>
              <w:ind w:left="20"/>
              <w:jc w:val="both"/>
            </w:pPr>
            <w:r>
              <w:rPr>
                <w:rFonts w:ascii="Times New Roman"/>
                <w:b w:val="false"/>
                <w:i w:val="false"/>
                <w:color w:val="000000"/>
                <w:sz w:val="20"/>
              </w:rPr>
              <w:t>
   4.2.7. Экспериментальная программа: ежедневное наблюдение за общим состоянием; взвешивание и контроль потребления пищи 1 раз в неделю; гематологические, биохимические, офтальмологические, физиологические исследования по мере необходимости проводятся у всех животных в каждой группе.</w:t>
            </w:r>
          </w:p>
          <w:p>
            <w:pPr>
              <w:spacing w:after="20"/>
              <w:ind w:left="20"/>
              <w:jc w:val="both"/>
            </w:pPr>
            <w:r>
              <w:rPr>
                <w:rFonts w:ascii="Times New Roman"/>
                <w:b w:val="false"/>
                <w:i w:val="false"/>
                <w:color w:val="000000"/>
                <w:sz w:val="20"/>
              </w:rPr>
              <w:t>
   Погибшие животные подлежат вскрытию, макроскопическому обследованию, органы взвешиваются и исследуются гистологически. Гематологические и биохимические исследования производятся у погибающих животных с последующим их вскрытием, макроскопическим исследованием, взвешиванием и гистологическим изучением органов;</w:t>
            </w:r>
          </w:p>
          <w:p>
            <w:pPr>
              <w:spacing w:after="20"/>
              <w:ind w:left="20"/>
              <w:jc w:val="both"/>
            </w:pPr>
            <w:r>
              <w:rPr>
                <w:rFonts w:ascii="Times New Roman"/>
                <w:b w:val="false"/>
                <w:i w:val="false"/>
                <w:color w:val="000000"/>
                <w:sz w:val="20"/>
              </w:rPr>
              <w:t>
   В конце эксперимента у всех выживших животных проводятся гематологические, биохимические, офтальмологические исследования, анализ мочи, а при необходимости и другие лабораторные исследования. Эксперимент завершает аутопсия, макроскопическое обследование, взвешивание гистологическое изучение органов и тканей.</w:t>
            </w:r>
          </w:p>
          <w:p>
            <w:pPr>
              <w:spacing w:after="20"/>
              <w:ind w:left="20"/>
              <w:jc w:val="both"/>
            </w:pPr>
            <w:r>
              <w:rPr>
                <w:rFonts w:ascii="Times New Roman"/>
                <w:b w:val="false"/>
                <w:i w:val="false"/>
                <w:color w:val="000000"/>
                <w:sz w:val="20"/>
              </w:rPr>
              <w:t>
   4.3. Хроническая токсичность</w:t>
            </w:r>
          </w:p>
          <w:p>
            <w:pPr>
              <w:spacing w:after="20"/>
              <w:ind w:left="20"/>
              <w:jc w:val="both"/>
            </w:pPr>
            <w:r>
              <w:rPr>
                <w:rFonts w:ascii="Times New Roman"/>
                <w:b w:val="false"/>
                <w:i w:val="false"/>
                <w:color w:val="000000"/>
                <w:sz w:val="20"/>
              </w:rPr>
              <w:t>
   4.3.1. Животные: один вид обоего пола;</w:t>
            </w:r>
          </w:p>
          <w:p>
            <w:pPr>
              <w:spacing w:after="20"/>
              <w:ind w:left="20"/>
              <w:jc w:val="both"/>
            </w:pPr>
            <w:r>
              <w:rPr>
                <w:rFonts w:ascii="Times New Roman"/>
                <w:b w:val="false"/>
                <w:i w:val="false"/>
                <w:color w:val="000000"/>
                <w:sz w:val="20"/>
              </w:rPr>
              <w:t>
   4.3.2. Количество животных: не менее, чем по 4 животных обоего пола;</w:t>
            </w:r>
          </w:p>
          <w:p>
            <w:pPr>
              <w:spacing w:after="20"/>
              <w:ind w:left="20"/>
              <w:jc w:val="both"/>
            </w:pPr>
            <w:r>
              <w:rPr>
                <w:rFonts w:ascii="Times New Roman"/>
                <w:b w:val="false"/>
                <w:i w:val="false"/>
                <w:color w:val="000000"/>
                <w:sz w:val="20"/>
              </w:rPr>
              <w:t>
   4.3.3. Путь введения: рекомендованный для клинического применения;</w:t>
            </w:r>
          </w:p>
          <w:p>
            <w:pPr>
              <w:spacing w:after="20"/>
              <w:ind w:left="20"/>
              <w:jc w:val="both"/>
            </w:pPr>
            <w:r>
              <w:rPr>
                <w:rFonts w:ascii="Times New Roman"/>
                <w:b w:val="false"/>
                <w:i w:val="false"/>
                <w:color w:val="000000"/>
                <w:sz w:val="20"/>
              </w:rPr>
              <w:t>
   4.3.4. Дозы: три дозы и контроль для животных обоего пола;</w:t>
            </w:r>
          </w:p>
          <w:p>
            <w:pPr>
              <w:spacing w:after="20"/>
              <w:ind w:left="20"/>
              <w:jc w:val="both"/>
            </w:pPr>
            <w:r>
              <w:rPr>
                <w:rFonts w:ascii="Times New Roman"/>
                <w:b w:val="false"/>
                <w:i w:val="false"/>
                <w:color w:val="000000"/>
                <w:sz w:val="20"/>
              </w:rPr>
              <w:t>
   4.3.5. Контрольная группа: интактный контроль и контроль с введением соответствующего растворителя, если он используется в эксперименте;</w:t>
            </w:r>
          </w:p>
          <w:p>
            <w:pPr>
              <w:spacing w:after="20"/>
              <w:ind w:left="20"/>
              <w:jc w:val="both"/>
            </w:pPr>
            <w:r>
              <w:rPr>
                <w:rFonts w:ascii="Times New Roman"/>
                <w:b w:val="false"/>
                <w:i w:val="false"/>
                <w:color w:val="000000"/>
                <w:sz w:val="20"/>
              </w:rPr>
              <w:t>
   4.3.6. Длительность введения: 6 месяцев или 1 год при введении препарата 7 дней в неделю;</w:t>
            </w:r>
          </w:p>
          <w:p>
            <w:pPr>
              <w:spacing w:after="20"/>
              <w:ind w:left="20"/>
              <w:jc w:val="both"/>
            </w:pPr>
            <w:r>
              <w:rPr>
                <w:rFonts w:ascii="Times New Roman"/>
                <w:b w:val="false"/>
                <w:i w:val="false"/>
                <w:color w:val="000000"/>
                <w:sz w:val="20"/>
              </w:rPr>
              <w:t>
   4.3.7. Экспериментальная программа: ежедневное обследование; взвешивание и определение потребления пищи 1 раз в неделю в первые 3 месяца, а затем 1 раз каждый месяц; гематологические, биохимические, офтальмологические, физиологические исследования, анализ мочи и при необходимости другие лабораторные исследования проводятся у всех животных каждой группы.</w:t>
            </w:r>
          </w:p>
          <w:p>
            <w:pPr>
              <w:spacing w:after="20"/>
              <w:ind w:left="20"/>
              <w:jc w:val="both"/>
            </w:pPr>
            <w:r>
              <w:rPr>
                <w:rFonts w:ascii="Times New Roman"/>
                <w:b w:val="false"/>
                <w:i w:val="false"/>
                <w:color w:val="000000"/>
                <w:sz w:val="20"/>
              </w:rPr>
              <w:t>
   Погибшие животные в течение эксперимента подлежат вскрытию, макроскопическому описанию, органы взвешиваются и подвергаются гистологическому изучению.</w:t>
            </w:r>
          </w:p>
          <w:p>
            <w:pPr>
              <w:spacing w:after="20"/>
              <w:ind w:left="20"/>
              <w:jc w:val="both"/>
            </w:pPr>
            <w:r>
              <w:rPr>
                <w:rFonts w:ascii="Times New Roman"/>
                <w:b w:val="false"/>
                <w:i w:val="false"/>
                <w:color w:val="000000"/>
                <w:sz w:val="20"/>
              </w:rPr>
              <w:t>
   В конце эксперимента у всех выживших животных проводятся гематологические, биохимические, офтальмологические исследования, анализ мочи и другие лабораторные исследования по необходимости; животные вскрываются, обследуются макроскопически, органы взвешиваются и подвергаются гистологическому исследованию.</w:t>
            </w:r>
          </w:p>
          <w:p>
            <w:pPr>
              <w:spacing w:after="20"/>
              <w:ind w:left="20"/>
              <w:jc w:val="both"/>
            </w:pPr>
            <w:r>
              <w:rPr>
                <w:rFonts w:ascii="Times New Roman"/>
                <w:b w:val="false"/>
                <w:i w:val="false"/>
                <w:color w:val="000000"/>
                <w:sz w:val="20"/>
              </w:rPr>
              <w:t>
   5. Основные критерии оценки вредности и опасности токсического действия фармакологических средств:</w:t>
            </w:r>
          </w:p>
          <w:p>
            <w:pPr>
              <w:spacing w:after="20"/>
              <w:ind w:left="20"/>
              <w:jc w:val="both"/>
            </w:pPr>
            <w:r>
              <w:rPr>
                <w:rFonts w:ascii="Times New Roman"/>
                <w:b w:val="false"/>
                <w:i w:val="false"/>
                <w:color w:val="000000"/>
                <w:sz w:val="20"/>
              </w:rPr>
              <w:t>
   5.1. Статистически достоверные изменения функциональных показателей, выходящих за пределы сезонных норм;</w:t>
            </w:r>
          </w:p>
          <w:p>
            <w:pPr>
              <w:spacing w:after="20"/>
              <w:ind w:left="20"/>
              <w:jc w:val="both"/>
            </w:pPr>
            <w:r>
              <w:rPr>
                <w:rFonts w:ascii="Times New Roman"/>
                <w:b w:val="false"/>
                <w:i w:val="false"/>
                <w:color w:val="000000"/>
                <w:sz w:val="20"/>
              </w:rPr>
              <w:t>
   5.2. Скрытые функциональные нарушения, выявляемые при функциональных нагрузках;</w:t>
            </w:r>
          </w:p>
          <w:p>
            <w:pPr>
              <w:spacing w:after="20"/>
              <w:ind w:left="20"/>
              <w:jc w:val="both"/>
            </w:pPr>
            <w:r>
              <w:rPr>
                <w:rFonts w:ascii="Times New Roman"/>
                <w:b w:val="false"/>
                <w:i w:val="false"/>
                <w:color w:val="000000"/>
                <w:sz w:val="20"/>
              </w:rPr>
              <w:t>
   5.3. Дозовая зависимость выявленных функциональных и структурных изменений;</w:t>
            </w:r>
          </w:p>
          <w:p>
            <w:pPr>
              <w:spacing w:after="20"/>
              <w:ind w:left="20"/>
              <w:jc w:val="both"/>
            </w:pPr>
            <w:r>
              <w:rPr>
                <w:rFonts w:ascii="Times New Roman"/>
                <w:b w:val="false"/>
                <w:i w:val="false"/>
                <w:color w:val="000000"/>
                <w:sz w:val="20"/>
              </w:rPr>
              <w:t>
   5.4. Стабильность выявленных изменений, сохраняющихся при отмене воздействия изучаемых веществ;</w:t>
            </w:r>
          </w:p>
          <w:p>
            <w:pPr>
              <w:spacing w:after="20"/>
              <w:ind w:left="20"/>
              <w:jc w:val="both"/>
            </w:pPr>
            <w:r>
              <w:rPr>
                <w:rFonts w:ascii="Times New Roman"/>
                <w:b w:val="false"/>
                <w:i w:val="false"/>
                <w:color w:val="000000"/>
                <w:sz w:val="20"/>
              </w:rPr>
              <w:t>
   5.5. Корреляция функциональных и структурных нарушений в органах и тканях;</w:t>
            </w:r>
          </w:p>
          <w:p>
            <w:pPr>
              <w:spacing w:after="20"/>
              <w:ind w:left="20"/>
              <w:jc w:val="both"/>
            </w:pPr>
            <w:r>
              <w:rPr>
                <w:rFonts w:ascii="Times New Roman"/>
                <w:b w:val="false"/>
                <w:i w:val="false"/>
                <w:color w:val="000000"/>
                <w:sz w:val="20"/>
              </w:rPr>
              <w:t>
   5.6. Малая широта терапевтического эффекта и реальная возможность передозировки препарата.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иммунотоксичности и аллергенности</w:t>
            </w:r>
          </w:p>
          <w:p>
            <w:pPr>
              <w:spacing w:after="20"/>
              <w:ind w:left="20"/>
              <w:jc w:val="both"/>
            </w:pPr>
            <w:r>
              <w:rPr>
                <w:rFonts w:ascii="Times New Roman"/>
                <w:b w:val="false"/>
                <w:i w:val="false"/>
                <w:color w:val="000000"/>
                <w:sz w:val="20"/>
              </w:rPr>
              <w:t>
   1. Обязательному тестированию подлежат:</w:t>
            </w:r>
          </w:p>
          <w:p>
            <w:pPr>
              <w:spacing w:after="20"/>
              <w:ind w:left="20"/>
              <w:jc w:val="both"/>
            </w:pPr>
            <w:r>
              <w:rPr>
                <w:rFonts w:ascii="Times New Roman"/>
                <w:b w:val="false"/>
                <w:i w:val="false"/>
                <w:color w:val="000000"/>
                <w:sz w:val="20"/>
              </w:rPr>
              <w:t>
   а) субстанции и все лекарственные формы;</w:t>
            </w:r>
          </w:p>
          <w:p>
            <w:pPr>
              <w:spacing w:after="20"/>
              <w:ind w:left="20"/>
              <w:jc w:val="both"/>
            </w:pPr>
            <w:r>
              <w:rPr>
                <w:rFonts w:ascii="Times New Roman"/>
                <w:b w:val="false"/>
                <w:i w:val="false"/>
                <w:color w:val="000000"/>
                <w:sz w:val="20"/>
              </w:rPr>
              <w:t>
   б) новые лекарственные формы, содержащие вспомогательные вещества, не разрешенные для применения и медицинской практике и не изученные ранее на этот вид активности, при этом каждое из этих веществ исследуют отдельно;</w:t>
            </w:r>
          </w:p>
          <w:p>
            <w:pPr>
              <w:spacing w:after="20"/>
              <w:ind w:left="20"/>
              <w:jc w:val="both"/>
            </w:pPr>
            <w:r>
              <w:rPr>
                <w:rFonts w:ascii="Times New Roman"/>
                <w:b w:val="false"/>
                <w:i w:val="false"/>
                <w:color w:val="000000"/>
                <w:sz w:val="20"/>
              </w:rPr>
              <w:t>
   в) фиксированные комбинации нескольких фармакологических веществ в одной лекарственной форме – с изучением самой комбинации и каждого ингредиента в отдельности;</w:t>
            </w:r>
          </w:p>
          <w:p>
            <w:pPr>
              <w:spacing w:after="20"/>
              <w:ind w:left="20"/>
              <w:jc w:val="both"/>
            </w:pPr>
            <w:r>
              <w:rPr>
                <w:rFonts w:ascii="Times New Roman"/>
                <w:b w:val="false"/>
                <w:i w:val="false"/>
                <w:color w:val="000000"/>
                <w:sz w:val="20"/>
              </w:rPr>
              <w:t>
   г) лекарственные средства с новым составом лекарственной формы, изменением технологии ее изготовления или состава вспомогательных веществ – с изучением только непосредственно готовой лекарственной формы.</w:t>
            </w:r>
          </w:p>
          <w:p>
            <w:pPr>
              <w:spacing w:after="20"/>
              <w:ind w:left="20"/>
              <w:jc w:val="both"/>
            </w:pPr>
            <w:r>
              <w:rPr>
                <w:rFonts w:ascii="Times New Roman"/>
                <w:b w:val="false"/>
                <w:i w:val="false"/>
                <w:color w:val="000000"/>
                <w:sz w:val="20"/>
              </w:rPr>
              <w:t>
   2. Тестирование на иммунотоксичность и аллергенность не обязательно для лекарственных средств со следующими показателями:</w:t>
            </w:r>
          </w:p>
          <w:p>
            <w:pPr>
              <w:spacing w:after="20"/>
              <w:ind w:left="20"/>
              <w:jc w:val="both"/>
            </w:pPr>
            <w:r>
              <w:rPr>
                <w:rFonts w:ascii="Times New Roman"/>
                <w:b w:val="false"/>
                <w:i w:val="false"/>
                <w:color w:val="000000"/>
                <w:sz w:val="20"/>
              </w:rPr>
              <w:t>
   а) для лечения злокачественных новообразований у взрослых;</w:t>
            </w:r>
          </w:p>
          <w:p>
            <w:pPr>
              <w:spacing w:after="20"/>
              <w:ind w:left="20"/>
              <w:jc w:val="both"/>
            </w:pPr>
            <w:r>
              <w:rPr>
                <w:rFonts w:ascii="Times New Roman"/>
                <w:b w:val="false"/>
                <w:i w:val="false"/>
                <w:color w:val="000000"/>
                <w:sz w:val="20"/>
              </w:rPr>
              <w:t>
   б) для лечения заболеваний, представляющих непосредственную угрозу для жизни;</w:t>
            </w:r>
          </w:p>
          <w:p>
            <w:pPr>
              <w:spacing w:after="20"/>
              <w:ind w:left="20"/>
              <w:jc w:val="both"/>
            </w:pPr>
            <w:r>
              <w:rPr>
                <w:rFonts w:ascii="Times New Roman"/>
                <w:b w:val="false"/>
                <w:i w:val="false"/>
                <w:color w:val="000000"/>
                <w:sz w:val="20"/>
              </w:rPr>
              <w:t>
   в) новых иммуномодулирующих средств, влияние которых на иммунную систему подробно изучено;</w:t>
            </w:r>
          </w:p>
          <w:p>
            <w:pPr>
              <w:spacing w:after="20"/>
              <w:ind w:left="20"/>
              <w:jc w:val="both"/>
            </w:pPr>
            <w:r>
              <w:rPr>
                <w:rFonts w:ascii="Times New Roman"/>
                <w:b w:val="false"/>
                <w:i w:val="false"/>
                <w:color w:val="000000"/>
                <w:sz w:val="20"/>
              </w:rPr>
              <w:t>
   г) диагностикумы</w:t>
            </w:r>
            <w:r>
              <w:rPr>
                <w:rFonts w:ascii="Times New Roman"/>
                <w:b w:val="false"/>
                <w:i/>
                <w:color w:val="000000"/>
                <w:sz w:val="20"/>
              </w:rPr>
              <w:t xml:space="preserve"> in vitro.</w:t>
            </w:r>
          </w:p>
          <w:p>
            <w:pPr>
              <w:spacing w:after="20"/>
              <w:ind w:left="20"/>
              <w:jc w:val="both"/>
            </w:pPr>
            <w:r>
              <w:rPr>
                <w:rFonts w:ascii="Times New Roman"/>
                <w:b w:val="false"/>
                <w:i w:val="false"/>
                <w:color w:val="000000"/>
                <w:sz w:val="20"/>
              </w:rPr>
              <w:t xml:space="preserve">
   3. Предварительное изучение. Проводится с целью определения наиболее чувствительной мишени для ксенобиотика и определения его минимально действующей дозы. Наиболее оптимальным является испытание 2-х уровней доз. Минимальная доза – близкая к рекомендуемой для клинических испытаний терапевтическая доза </w:t>
            </w:r>
            <w:r>
              <w:rPr>
                <w:rFonts w:ascii="Times New Roman"/>
                <w:b w:val="false"/>
                <w:i/>
                <w:color w:val="000000"/>
                <w:sz w:val="20"/>
              </w:rPr>
              <w:t>(1TD)</w:t>
            </w:r>
            <w:r>
              <w:rPr>
                <w:rFonts w:ascii="Times New Roman"/>
                <w:b w:val="false"/>
                <w:i w:val="false"/>
                <w:color w:val="000000"/>
                <w:sz w:val="20"/>
              </w:rPr>
              <w:t xml:space="preserve">, максимальная – на порядок выше рекомендуемой для клинических испытаний </w:t>
            </w:r>
            <w:r>
              <w:rPr>
                <w:rFonts w:ascii="Times New Roman"/>
                <w:b w:val="false"/>
                <w:i/>
                <w:color w:val="000000"/>
                <w:sz w:val="20"/>
              </w:rPr>
              <w:t>(10TD)</w:t>
            </w:r>
            <w:r>
              <w:rPr>
                <w:rFonts w:ascii="Times New Roman"/>
                <w:b w:val="false"/>
                <w:i w:val="false"/>
                <w:color w:val="000000"/>
                <w:sz w:val="20"/>
              </w:rPr>
              <w:t>, но не выходящая за интервал терапевтической широты действия лекарственного средства.</w:t>
            </w:r>
          </w:p>
          <w:p>
            <w:pPr>
              <w:spacing w:after="20"/>
              <w:ind w:left="20"/>
              <w:jc w:val="both"/>
            </w:pPr>
            <w:r>
              <w:rPr>
                <w:rFonts w:ascii="Times New Roman"/>
                <w:b w:val="false"/>
                <w:i w:val="false"/>
                <w:color w:val="000000"/>
                <w:sz w:val="20"/>
              </w:rPr>
              <w:t xml:space="preserve">
   В случае, если реальная терапевтическая доза вещества неизвестна, то для сенсибилизации животных можно использовать дозы, последовательно на порядок меньше чем </w:t>
            </w:r>
            <w:r>
              <w:rPr>
                <w:rFonts w:ascii="Times New Roman"/>
                <w:b w:val="false"/>
                <w:i/>
                <w:color w:val="000000"/>
                <w:sz w:val="20"/>
              </w:rPr>
              <w:t>DL</w:t>
            </w:r>
            <w:r>
              <w:rPr>
                <w:rFonts w:ascii="Times New Roman"/>
                <w:b w:val="false"/>
                <w:i w:val="false"/>
                <w:color w:val="000000"/>
                <w:vertAlign w:val="subscript"/>
              </w:rPr>
              <w:t>50</w:t>
            </w:r>
            <w:r>
              <w:rPr>
                <w:rFonts w:ascii="Times New Roman"/>
                <w:b w:val="false"/>
                <w:i w:val="false"/>
                <w:color w:val="000000"/>
                <w:sz w:val="20"/>
              </w:rPr>
              <w:t xml:space="preserve"> (1/10; 1/100; 1/1000 от </w:t>
            </w:r>
            <w:r>
              <w:rPr>
                <w:rFonts w:ascii="Times New Roman"/>
                <w:b w:val="false"/>
                <w:i/>
                <w:color w:val="000000"/>
                <w:sz w:val="20"/>
              </w:rPr>
              <w:t>DL</w:t>
            </w:r>
            <w:r>
              <w:rPr>
                <w:rFonts w:ascii="Times New Roman"/>
                <w:b w:val="false"/>
                <w:i w:val="false"/>
                <w:color w:val="000000"/>
                <w:vertAlign w:val="subscript"/>
              </w:rPr>
              <w:t>5</w:t>
            </w:r>
            <w:r>
              <w:rPr>
                <w:rFonts w:ascii="Times New Roman"/>
                <w:b w:val="false"/>
                <w:i w:val="false"/>
                <w:color w:val="000000"/>
                <w:vertAlign w:val="subscript"/>
              </w:rPr>
              <w:t>0</w:t>
            </w:r>
            <w:r>
              <w:rPr>
                <w:rFonts w:ascii="Times New Roman"/>
                <w:b w:val="false"/>
                <w:i w:val="false"/>
                <w:color w:val="000000"/>
                <w:sz w:val="20"/>
              </w:rPr>
              <w:t>) при соответствующем способе введения.</w:t>
            </w:r>
          </w:p>
          <w:p>
            <w:pPr>
              <w:spacing w:after="20"/>
              <w:ind w:left="20"/>
              <w:jc w:val="both"/>
            </w:pPr>
            <w:r>
              <w:rPr>
                <w:rFonts w:ascii="Times New Roman"/>
                <w:b w:val="false"/>
                <w:i w:val="false"/>
                <w:color w:val="000000"/>
                <w:sz w:val="20"/>
              </w:rPr>
              <w:t>
   Животные. Изучение проводится на линейных животных обоего пола. При выборе животных следует учитывать особенности генного контроля. Поскольку у высоко- и низкоотвечающих линий под влиянием ксенобиотиков наблюдается различная модуляция иммуногенеза, в эксперимент следует включать обе оппозитивные группы животных. Желательно проводить исследования на животных 6-8 недельного возраста.</w:t>
            </w:r>
          </w:p>
          <w:p>
            <w:pPr>
              <w:spacing w:after="20"/>
              <w:ind w:left="20"/>
              <w:jc w:val="both"/>
            </w:pPr>
            <w:r>
              <w:rPr>
                <w:rFonts w:ascii="Times New Roman"/>
                <w:b w:val="false"/>
                <w:i w:val="false"/>
                <w:color w:val="000000"/>
                <w:sz w:val="20"/>
              </w:rPr>
              <w:t>
   В иммунологическом эксперименте обычно используются линейные животные:</w:t>
            </w:r>
          </w:p>
          <w:p>
            <w:pPr>
              <w:spacing w:after="20"/>
              <w:ind w:left="20"/>
              <w:jc w:val="both"/>
            </w:pPr>
            <w:r>
              <w:rPr>
                <w:rFonts w:ascii="Times New Roman"/>
                <w:b w:val="false"/>
                <w:i w:val="false"/>
                <w:color w:val="000000"/>
                <w:sz w:val="20"/>
              </w:rPr>
              <w:t>
   Мыши:</w:t>
            </w:r>
          </w:p>
          <w:p>
            <w:pPr>
              <w:spacing w:after="20"/>
              <w:ind w:left="20"/>
              <w:jc w:val="both"/>
            </w:pPr>
            <w:r>
              <w:rPr>
                <w:rFonts w:ascii="Times New Roman"/>
                <w:b w:val="false"/>
                <w:i w:val="false"/>
                <w:color w:val="000000"/>
                <w:sz w:val="20"/>
              </w:rPr>
              <w:t>
   С57Б1/И-2</w:t>
            </w:r>
            <w:r>
              <w:rPr>
                <w:rFonts w:ascii="Times New Roman"/>
                <w:b w:val="false"/>
                <w:i w:val="false"/>
                <w:color w:val="000000"/>
                <w:vertAlign w:val="superscript"/>
              </w:rPr>
              <w:t>В</w:t>
            </w:r>
            <w:r>
              <w:rPr>
                <w:rFonts w:ascii="Times New Roman"/>
                <w:b w:val="false"/>
                <w:i w:val="false"/>
                <w:color w:val="000000"/>
                <w:sz w:val="20"/>
              </w:rPr>
              <w:t>/ - низкореагирующие на эритроциты барана (ЭБ);</w:t>
            </w:r>
          </w:p>
          <w:p>
            <w:pPr>
              <w:spacing w:after="20"/>
              <w:ind w:left="20"/>
              <w:jc w:val="both"/>
            </w:pPr>
            <w:r>
              <w:rPr>
                <w:rFonts w:ascii="Times New Roman"/>
                <w:b w:val="false"/>
                <w:i w:val="false"/>
                <w:color w:val="000000"/>
                <w:sz w:val="20"/>
              </w:rPr>
              <w:t>
   СВА/Н-2</w:t>
            </w:r>
            <w:r>
              <w:rPr>
                <w:rFonts w:ascii="Times New Roman"/>
                <w:b w:val="false"/>
                <w:i w:val="false"/>
                <w:color w:val="000000"/>
                <w:vertAlign w:val="superscript"/>
              </w:rPr>
              <w:t>К</w:t>
            </w:r>
            <w:r>
              <w:rPr>
                <w:rFonts w:ascii="Times New Roman"/>
                <w:b w:val="false"/>
                <w:i w:val="false"/>
                <w:color w:val="000000"/>
                <w:sz w:val="20"/>
              </w:rPr>
              <w:t>/; BALB/c/H-2</w:t>
            </w:r>
            <w:r>
              <w:rPr>
                <w:rFonts w:ascii="Times New Roman"/>
                <w:b w:val="false"/>
                <w:i w:val="false"/>
                <w:color w:val="000000"/>
                <w:vertAlign w:val="superscript"/>
              </w:rPr>
              <w:t>d</w:t>
            </w:r>
            <w:r>
              <w:rPr>
                <w:rFonts w:ascii="Times New Roman"/>
                <w:b w:val="false"/>
                <w:i w:val="false"/>
                <w:color w:val="000000"/>
                <w:sz w:val="20"/>
              </w:rPr>
              <w:t>/ – высокореагирующие на ЭБ;</w:t>
            </w:r>
          </w:p>
          <w:p>
            <w:pPr>
              <w:spacing w:after="20"/>
              <w:ind w:left="20"/>
              <w:jc w:val="both"/>
            </w:pPr>
            <w:r>
              <w:rPr>
                <w:rFonts w:ascii="Times New Roman"/>
                <w:b w:val="false"/>
                <w:i w:val="false"/>
                <w:color w:val="000000"/>
                <w:sz w:val="20"/>
              </w:rPr>
              <w:t>
   СВА; DBA/2J/H-2</w:t>
            </w:r>
            <w:r>
              <w:rPr>
                <w:rFonts w:ascii="Times New Roman"/>
                <w:b w:val="false"/>
                <w:i w:val="false"/>
                <w:color w:val="000000"/>
                <w:vertAlign w:val="superscript"/>
              </w:rPr>
              <w:t>d</w:t>
            </w:r>
            <w:r>
              <w:rPr>
                <w:rFonts w:ascii="Times New Roman"/>
                <w:b w:val="false"/>
                <w:i w:val="false"/>
                <w:color w:val="000000"/>
                <w:sz w:val="20"/>
              </w:rPr>
              <w:t>/; BALB/c – высокая цитотоксическая активность естественных киллеров (ЕК);</w:t>
            </w:r>
          </w:p>
          <w:p>
            <w:pPr>
              <w:spacing w:after="20"/>
              <w:ind w:left="20"/>
              <w:jc w:val="both"/>
            </w:pPr>
            <w:r>
              <w:rPr>
                <w:rFonts w:ascii="Times New Roman"/>
                <w:b w:val="false"/>
                <w:i w:val="false"/>
                <w:color w:val="000000"/>
                <w:sz w:val="20"/>
              </w:rPr>
              <w:t>
   А/S и /H-2</w:t>
            </w:r>
            <w:r>
              <w:rPr>
                <w:rFonts w:ascii="Times New Roman"/>
                <w:b w:val="false"/>
                <w:i w:val="false"/>
                <w:color w:val="000000"/>
                <w:vertAlign w:val="superscript"/>
              </w:rPr>
              <w:t>d</w:t>
            </w:r>
            <w:r>
              <w:rPr>
                <w:rFonts w:ascii="Times New Roman"/>
                <w:b w:val="false"/>
                <w:i w:val="false"/>
                <w:color w:val="000000"/>
                <w:sz w:val="20"/>
              </w:rPr>
              <w:t>/; AKP/J/Н-2</w:t>
            </w:r>
            <w:r>
              <w:rPr>
                <w:rFonts w:ascii="Times New Roman"/>
                <w:b w:val="false"/>
                <w:i w:val="false"/>
                <w:color w:val="000000"/>
                <w:vertAlign w:val="superscript"/>
              </w:rPr>
              <w:t>K</w:t>
            </w:r>
            <w:r>
              <w:rPr>
                <w:rFonts w:ascii="Times New Roman"/>
                <w:b w:val="false"/>
                <w:i w:val="false"/>
                <w:color w:val="000000"/>
                <w:sz w:val="20"/>
              </w:rPr>
              <w:t xml:space="preserve"> – слабая цитотоксическая активность ЕК;</w:t>
            </w:r>
          </w:p>
          <w:p>
            <w:pPr>
              <w:spacing w:after="20"/>
              <w:ind w:left="20"/>
              <w:jc w:val="both"/>
            </w:pPr>
            <w:r>
              <w:rPr>
                <w:rFonts w:ascii="Times New Roman"/>
                <w:b w:val="false"/>
                <w:i w:val="false"/>
                <w:color w:val="000000"/>
                <w:sz w:val="20"/>
              </w:rPr>
              <w:t>
   /СВАxC57BL/F| - используют в реакции трансплантат против хозяина;</w:t>
            </w:r>
          </w:p>
          <w:p>
            <w:pPr>
              <w:spacing w:after="20"/>
              <w:ind w:left="20"/>
              <w:jc w:val="both"/>
            </w:pPr>
            <w:r>
              <w:rPr>
                <w:rFonts w:ascii="Times New Roman"/>
                <w:b w:val="false"/>
                <w:i w:val="false"/>
                <w:color w:val="000000"/>
                <w:sz w:val="20"/>
              </w:rPr>
              <w:t>
   BALB/c; C57BL; С3Н/Не/Н-2</w:t>
            </w:r>
            <w:r>
              <w:rPr>
                <w:rFonts w:ascii="Times New Roman"/>
                <w:b w:val="false"/>
                <w:i w:val="false"/>
                <w:color w:val="000000"/>
                <w:vertAlign w:val="superscript"/>
              </w:rPr>
              <w:t>к</w:t>
            </w:r>
            <w:r>
              <w:rPr>
                <w:rFonts w:ascii="Times New Roman"/>
                <w:b w:val="false"/>
                <w:i w:val="false"/>
                <w:color w:val="000000"/>
                <w:sz w:val="20"/>
              </w:rPr>
              <w:t xml:space="preserve"> – содержат высокий уровень комплемента;</w:t>
            </w:r>
          </w:p>
          <w:p>
            <w:pPr>
              <w:spacing w:after="20"/>
              <w:ind w:left="20"/>
              <w:jc w:val="both"/>
            </w:pPr>
            <w:r>
              <w:rPr>
                <w:rFonts w:ascii="Times New Roman"/>
                <w:b w:val="false"/>
                <w:i w:val="false"/>
                <w:color w:val="000000"/>
                <w:sz w:val="20"/>
              </w:rPr>
              <w:t>
   Рандомбредные крысы ОИ – продуцирующие IgE;</w:t>
            </w:r>
          </w:p>
          <w:p>
            <w:pPr>
              <w:spacing w:after="20"/>
              <w:ind w:left="20"/>
              <w:jc w:val="both"/>
            </w:pPr>
            <w:r>
              <w:rPr>
                <w:rFonts w:ascii="Times New Roman"/>
                <w:b w:val="false"/>
                <w:i w:val="false"/>
                <w:color w:val="000000"/>
                <w:sz w:val="20"/>
              </w:rPr>
              <w:t>
   Морские свинки Hardy.</w:t>
            </w:r>
          </w:p>
          <w:p>
            <w:pPr>
              <w:spacing w:after="20"/>
              <w:ind w:left="20"/>
              <w:jc w:val="both"/>
            </w:pPr>
            <w:r>
              <w:rPr>
                <w:rFonts w:ascii="Times New Roman"/>
                <w:b w:val="false"/>
                <w:i w:val="false"/>
                <w:color w:val="000000"/>
                <w:sz w:val="20"/>
              </w:rPr>
              <w:t>
   Число животных. Группы состоят не менее чем из 10 животных, с учетом получения статистически достоверных экспериментальных данных.</w:t>
            </w:r>
          </w:p>
          <w:p>
            <w:pPr>
              <w:spacing w:after="20"/>
              <w:ind w:left="20"/>
              <w:jc w:val="both"/>
            </w:pPr>
            <w:r>
              <w:rPr>
                <w:rFonts w:ascii="Times New Roman"/>
                <w:b w:val="false"/>
                <w:i w:val="false"/>
                <w:color w:val="000000"/>
                <w:sz w:val="20"/>
              </w:rPr>
              <w:t>
   Путь введения, рекомендованный для клинического применения.</w:t>
            </w:r>
          </w:p>
          <w:p>
            <w:pPr>
              <w:spacing w:after="20"/>
              <w:ind w:left="20"/>
              <w:jc w:val="both"/>
            </w:pPr>
            <w:r>
              <w:rPr>
                <w:rFonts w:ascii="Times New Roman"/>
                <w:b w:val="false"/>
                <w:i w:val="false"/>
                <w:color w:val="000000"/>
                <w:sz w:val="20"/>
              </w:rPr>
              <w:t>
   Уровень доз. Желательно использовать не менее 2-х уровней доз.</w:t>
            </w:r>
          </w:p>
          <w:p>
            <w:pPr>
              <w:spacing w:after="20"/>
              <w:ind w:left="20"/>
              <w:jc w:val="both"/>
            </w:pPr>
            <w:r>
              <w:rPr>
                <w:rFonts w:ascii="Times New Roman"/>
                <w:b w:val="false"/>
                <w:i w:val="false"/>
                <w:color w:val="000000"/>
                <w:sz w:val="20"/>
              </w:rPr>
              <w:t>
   Режим введения. Продолжительность введения вещества подбирается индивидуально, исходить следует из рекомендаций по длительности применения препарата в клинике и сроков, необходимых для получения оптимального иммунного ответа или аллергической реакции в эксперименте.</w:t>
            </w:r>
          </w:p>
          <w:p>
            <w:pPr>
              <w:spacing w:after="20"/>
              <w:ind w:left="20"/>
              <w:jc w:val="both"/>
            </w:pPr>
            <w:r>
              <w:rPr>
                <w:rFonts w:ascii="Times New Roman"/>
                <w:b w:val="false"/>
                <w:i w:val="false"/>
                <w:color w:val="000000"/>
                <w:sz w:val="20"/>
              </w:rPr>
              <w:t>
   Экспериментальные исследования: перед введением тест-препаратов у животных снимаются фоновые показатели, которые подлежат изучению в опыте (фагоцитоз, хемотаксис, содержание IgA, IgG, IgM); если тестируемое вещество обладает выраженной реакционной способностью, в экспериментах на животных определяют его влияние на вес и клеточность центральных и периферических органов иммунитета и формулу крови.</w:t>
            </w:r>
          </w:p>
          <w:p>
            <w:pPr>
              <w:spacing w:after="20"/>
              <w:ind w:left="20"/>
              <w:jc w:val="both"/>
            </w:pPr>
            <w:r>
              <w:rPr>
                <w:rFonts w:ascii="Times New Roman"/>
                <w:b w:val="false"/>
                <w:i w:val="false"/>
                <w:color w:val="000000"/>
                <w:sz w:val="20"/>
              </w:rPr>
              <w:t>
   4. Основное изучение иммунотоксического и аллергенного действия.</w:t>
            </w:r>
          </w:p>
          <w:p>
            <w:pPr>
              <w:spacing w:after="20"/>
              <w:ind w:left="20"/>
              <w:jc w:val="both"/>
            </w:pPr>
            <w:r>
              <w:rPr>
                <w:rFonts w:ascii="Times New Roman"/>
                <w:b w:val="false"/>
                <w:i w:val="false"/>
                <w:color w:val="000000"/>
                <w:sz w:val="20"/>
              </w:rPr>
              <w:t>
   Животные. Используются не менее двух видов животных обоего пола.</w:t>
            </w:r>
          </w:p>
          <w:p>
            <w:pPr>
              <w:spacing w:after="20"/>
              <w:ind w:left="20"/>
              <w:jc w:val="both"/>
            </w:pPr>
            <w:r>
              <w:rPr>
                <w:rFonts w:ascii="Times New Roman"/>
                <w:b w:val="false"/>
                <w:i w:val="false"/>
                <w:color w:val="000000"/>
                <w:sz w:val="20"/>
              </w:rPr>
              <w:t>
   Число животных. Экспериментальные группы состоят не менее чем из 10 животных обоего пола. Если иммунотоксическое и аллергенное действие изучается в динамике, необходимо увеличивать количество животных в группе для забоя их в определенные сроки исследования. Каждая группа рандомизируется по весовым показателям.</w:t>
            </w:r>
          </w:p>
          <w:p>
            <w:pPr>
              <w:spacing w:after="20"/>
              <w:ind w:left="20"/>
              <w:jc w:val="both"/>
            </w:pPr>
            <w:r>
              <w:rPr>
                <w:rFonts w:ascii="Times New Roman"/>
                <w:b w:val="false"/>
                <w:i w:val="false"/>
                <w:color w:val="000000"/>
                <w:sz w:val="20"/>
              </w:rPr>
              <w:t>
   Путь введения. Путь введения соответствует пути клинического назначения препарата. В случае, если рекомендуемый путь, введения в клинике нельзя повторить в эксперименте, тогда экспериментатор оставляет за собой право использовать путь введения лекарственного средства, который вызывает наиболее сильный иммунный ответ или аллергенное действие с учетом того, что чувствительность иммунной системы человека к ксенобиотикам на несколько порядков выше, чем у животных. В связи с этим часто вводят тест- препарат вместе с полным или неполным адъювантом Фрейнда.</w:t>
            </w:r>
          </w:p>
          <w:p>
            <w:pPr>
              <w:spacing w:after="20"/>
              <w:ind w:left="20"/>
              <w:jc w:val="both"/>
            </w:pPr>
            <w:r>
              <w:rPr>
                <w:rFonts w:ascii="Times New Roman"/>
                <w:b w:val="false"/>
                <w:i w:val="false"/>
                <w:color w:val="000000"/>
                <w:sz w:val="20"/>
              </w:rPr>
              <w:t>
   Уровень доз. Подопытные животные получают не менее 2-х уровней доз для каждого пола, контрольные животные получают в том же объеме и кратности используемый растворитель.</w:t>
            </w:r>
          </w:p>
          <w:p>
            <w:pPr>
              <w:spacing w:after="20"/>
              <w:ind w:left="20"/>
              <w:jc w:val="both"/>
            </w:pPr>
            <w:r>
              <w:rPr>
                <w:rFonts w:ascii="Times New Roman"/>
                <w:b w:val="false"/>
                <w:i w:val="false"/>
                <w:color w:val="000000"/>
                <w:sz w:val="20"/>
              </w:rPr>
              <w:t>
   Контроль. В исследования включается группа позитивного контроля на иммуноактивность при обязательном интактном контроле.</w:t>
            </w:r>
          </w:p>
          <w:p>
            <w:pPr>
              <w:spacing w:after="20"/>
              <w:ind w:left="20"/>
              <w:jc w:val="both"/>
            </w:pPr>
            <w:r>
              <w:rPr>
                <w:rFonts w:ascii="Times New Roman"/>
                <w:b w:val="false"/>
                <w:i w:val="false"/>
                <w:color w:val="000000"/>
                <w:sz w:val="20"/>
              </w:rPr>
              <w:t>
   Продолжительность введения. Определяется в зависимости от изучаемых иммунологических и аллергологических показателей с учетом получения оптимального иммунного ответа.</w:t>
            </w:r>
          </w:p>
          <w:p>
            <w:pPr>
              <w:spacing w:after="20"/>
              <w:ind w:left="20"/>
              <w:jc w:val="both"/>
            </w:pPr>
            <w:r>
              <w:rPr>
                <w:rFonts w:ascii="Times New Roman"/>
                <w:b w:val="false"/>
                <w:i w:val="false"/>
                <w:color w:val="000000"/>
                <w:sz w:val="20"/>
              </w:rPr>
              <w:t>
   Период наблюдения. Изучение функционального состояния иммунной системы продолжается в течение 1 месяца после окончания эксперимента для выяснения обратимости нарушений, вызванных тестируемым препаратом.</w:t>
            </w:r>
          </w:p>
          <w:p>
            <w:pPr>
              <w:spacing w:after="20"/>
              <w:ind w:left="20"/>
              <w:jc w:val="both"/>
            </w:pPr>
            <w:r>
              <w:rPr>
                <w:rFonts w:ascii="Times New Roman"/>
                <w:b w:val="false"/>
                <w:i w:val="false"/>
                <w:color w:val="000000"/>
                <w:sz w:val="20"/>
              </w:rPr>
              <w:t>
   Методы оценки аллергенного действия тестируемого препарата: оценка анафилактогенной активности в реакции общей анафилаксии (анафилактический шок); активная кожная анафилаксия; реакция гиперчувствительности "замедленного" типа на мышах; реакция иммунных комплексов; метод накожных аппликаций.</w:t>
            </w:r>
          </w:p>
          <w:p>
            <w:pPr>
              <w:spacing w:after="20"/>
              <w:ind w:left="20"/>
              <w:jc w:val="both"/>
            </w:pPr>
            <w:r>
              <w:rPr>
                <w:rFonts w:ascii="Times New Roman"/>
                <w:b w:val="false"/>
                <w:i w:val="false"/>
                <w:color w:val="000000"/>
                <w:sz w:val="20"/>
              </w:rPr>
              <w:t>
   Методы</w:t>
            </w:r>
            <w:r>
              <w:rPr>
                <w:rFonts w:ascii="Times New Roman"/>
                <w:b w:val="false"/>
                <w:i/>
                <w:color w:val="000000"/>
                <w:sz w:val="20"/>
              </w:rPr>
              <w:t xml:space="preserve"> in situ:</w:t>
            </w:r>
            <w:r>
              <w:rPr>
                <w:rFonts w:ascii="Times New Roman"/>
                <w:b w:val="false"/>
                <w:i w:val="false"/>
                <w:color w:val="000000"/>
                <w:sz w:val="20"/>
              </w:rPr>
              <w:t xml:space="preserve"> методы оценки чувствительности гладких мышц трахеобронхиальной цепочки к исследуемым препаратам в эксперименте на морских спинках.</w:t>
            </w:r>
          </w:p>
          <w:p>
            <w:pPr>
              <w:spacing w:after="20"/>
              <w:ind w:left="20"/>
              <w:jc w:val="both"/>
            </w:pPr>
            <w:r>
              <w:rPr>
                <w:rFonts w:ascii="Times New Roman"/>
                <w:b w:val="false"/>
                <w:i w:val="false"/>
                <w:color w:val="000000"/>
                <w:sz w:val="20"/>
              </w:rPr>
              <w:t>
   Тесты</w:t>
            </w:r>
            <w:r>
              <w:rPr>
                <w:rFonts w:ascii="Times New Roman"/>
                <w:b w:val="false"/>
                <w:i/>
                <w:color w:val="000000"/>
                <w:sz w:val="20"/>
              </w:rPr>
              <w:t xml:space="preserve"> in vitro:</w:t>
            </w:r>
            <w:r>
              <w:rPr>
                <w:rFonts w:ascii="Times New Roman"/>
                <w:b w:val="false"/>
                <w:i w:val="false"/>
                <w:color w:val="000000"/>
                <w:sz w:val="20"/>
              </w:rPr>
              <w:t xml:space="preserve"> реакция непрямой дегрануляции тучных клеток; реакция торможения миграции макрофагов; псевдоаллергические реакции (тест Шор).</w:t>
            </w:r>
          </w:p>
          <w:p>
            <w:pPr>
              <w:spacing w:after="20"/>
              <w:ind w:left="20"/>
              <w:jc w:val="both"/>
            </w:pPr>
            <w:r>
              <w:rPr>
                <w:rFonts w:ascii="Times New Roman"/>
                <w:b w:val="false"/>
                <w:i w:val="false"/>
                <w:color w:val="000000"/>
                <w:sz w:val="20"/>
              </w:rPr>
              <w:t>
   Оценку иммунотоксичности лекарственного средства рекомендуется проводить в два этапа.</w:t>
            </w:r>
          </w:p>
          <w:p>
            <w:pPr>
              <w:spacing w:after="20"/>
              <w:ind w:left="20"/>
              <w:jc w:val="both"/>
            </w:pPr>
            <w:r>
              <w:rPr>
                <w:rFonts w:ascii="Times New Roman"/>
                <w:b w:val="false"/>
                <w:i w:val="false"/>
                <w:color w:val="000000"/>
                <w:sz w:val="20"/>
              </w:rPr>
              <w:t xml:space="preserve">
   Первый этап оценки позволяет получить минимум интегральных характеристик, охватывающих практически все функции иммунной системы и включает: </w:t>
            </w:r>
          </w:p>
          <w:p>
            <w:pPr>
              <w:spacing w:after="20"/>
              <w:ind w:left="20"/>
              <w:jc w:val="both"/>
            </w:pPr>
            <w:r>
              <w:rPr>
                <w:rFonts w:ascii="Times New Roman"/>
                <w:b w:val="false"/>
                <w:i w:val="false"/>
                <w:color w:val="000000"/>
                <w:sz w:val="20"/>
              </w:rPr>
              <w:t>
   а) суммарную оценку состояния гуморального иммунитета (реакция гемагглютинации;</w:t>
            </w:r>
          </w:p>
          <w:p>
            <w:pPr>
              <w:spacing w:after="20"/>
              <w:ind w:left="20"/>
              <w:jc w:val="both"/>
            </w:pPr>
            <w:r>
              <w:rPr>
                <w:rFonts w:ascii="Times New Roman"/>
                <w:b w:val="false"/>
                <w:i w:val="false"/>
                <w:color w:val="000000"/>
                <w:sz w:val="20"/>
              </w:rPr>
              <w:t>
   б) определение содержания антителообразующих клеток; иммунизация эритроцитами барана);</w:t>
            </w:r>
          </w:p>
          <w:p>
            <w:pPr>
              <w:spacing w:after="20"/>
              <w:ind w:left="20"/>
              <w:jc w:val="both"/>
            </w:pPr>
            <w:r>
              <w:rPr>
                <w:rFonts w:ascii="Times New Roman"/>
                <w:b w:val="false"/>
                <w:i w:val="false"/>
                <w:color w:val="000000"/>
                <w:sz w:val="20"/>
              </w:rPr>
              <w:t>
   г) суммарную оценку состояния Т-клеточного иммунитета – пролиферации в аллосмешанной культуре лимфоцитов (СКЛ) и генерирование Т- киллеров в смещанной культуре лимфоцитов;</w:t>
            </w:r>
          </w:p>
          <w:p>
            <w:pPr>
              <w:spacing w:after="20"/>
              <w:ind w:left="20"/>
              <w:jc w:val="both"/>
            </w:pPr>
            <w:r>
              <w:rPr>
                <w:rFonts w:ascii="Times New Roman"/>
                <w:b w:val="false"/>
                <w:i w:val="false"/>
                <w:color w:val="000000"/>
                <w:sz w:val="20"/>
              </w:rPr>
              <w:t>
   д) суммарную оценку состояния клеточной естественной резистентности (фагоцитоз, хемотаксис).</w:t>
            </w:r>
          </w:p>
          <w:p>
            <w:pPr>
              <w:spacing w:after="20"/>
              <w:ind w:left="20"/>
              <w:jc w:val="both"/>
            </w:pPr>
            <w:r>
              <w:rPr>
                <w:rFonts w:ascii="Times New Roman"/>
                <w:b w:val="false"/>
                <w:i w:val="false"/>
                <w:color w:val="000000"/>
                <w:sz w:val="20"/>
              </w:rPr>
              <w:t xml:space="preserve">
   Тесты 2-го этапа позволяют оценить содержание и функцию субпопуляций клеток иммунной системы. На этом этапе оценивают функциональную активность: </w:t>
            </w:r>
          </w:p>
          <w:p>
            <w:pPr>
              <w:spacing w:after="20"/>
              <w:ind w:left="20"/>
              <w:jc w:val="both"/>
            </w:pPr>
            <w:r>
              <w:rPr>
                <w:rFonts w:ascii="Times New Roman"/>
                <w:b w:val="false"/>
                <w:i w:val="false"/>
                <w:color w:val="000000"/>
                <w:sz w:val="20"/>
              </w:rPr>
              <w:t>
   а) регуляторных лимфоцитов (определение активности Т-хелперов по продукции интерлейкина-2;</w:t>
            </w:r>
          </w:p>
          <w:p>
            <w:pPr>
              <w:spacing w:after="20"/>
              <w:ind w:left="20"/>
              <w:jc w:val="both"/>
            </w:pPr>
            <w:r>
              <w:rPr>
                <w:rFonts w:ascii="Times New Roman"/>
                <w:b w:val="false"/>
                <w:i w:val="false"/>
                <w:color w:val="000000"/>
                <w:sz w:val="20"/>
              </w:rPr>
              <w:t>
   б) определение активности Т-супрессоров по торможению реакции бласттрансформации лимфоцитов и смешанной культуры лимфоцитов);</w:t>
            </w:r>
          </w:p>
          <w:p>
            <w:pPr>
              <w:spacing w:after="20"/>
              <w:ind w:left="20"/>
              <w:jc w:val="both"/>
            </w:pPr>
            <w:r>
              <w:rPr>
                <w:rFonts w:ascii="Times New Roman"/>
                <w:b w:val="false"/>
                <w:i w:val="false"/>
                <w:color w:val="000000"/>
                <w:sz w:val="20"/>
              </w:rPr>
              <w:t>
   в) эффекторных лимфоцитов (определение активности Т-лимфоцитов - реакция бласттрансформации лимфоцитов с Т-митогенами, определение количества Т-лимфоцитов - цитотоксический тест, определение Т-киллеров и естественных киллеров - узнавание, летальный удар;</w:t>
            </w:r>
          </w:p>
          <w:p>
            <w:pPr>
              <w:spacing w:after="20"/>
              <w:ind w:left="20"/>
              <w:jc w:val="both"/>
            </w:pPr>
            <w:r>
              <w:rPr>
                <w:rFonts w:ascii="Times New Roman"/>
                <w:b w:val="false"/>
                <w:i w:val="false"/>
                <w:color w:val="000000"/>
                <w:sz w:val="20"/>
              </w:rPr>
              <w:t>
   г) определение эффекторов гиперчувствительности "замедленного" типа; определение; активности В-лимфоцитов – пролиферация В-лимфоцитов В-митогенами, определение количества В- лимфоцитов (цитотоксический тест), продукция антител IgA; JgM; IgG по Манчини);</w:t>
            </w:r>
          </w:p>
          <w:p>
            <w:pPr>
              <w:spacing w:after="20"/>
              <w:ind w:left="20"/>
              <w:jc w:val="both"/>
            </w:pPr>
            <w:r>
              <w:rPr>
                <w:rFonts w:ascii="Times New Roman"/>
                <w:b w:val="false"/>
                <w:i w:val="false"/>
                <w:color w:val="000000"/>
                <w:sz w:val="20"/>
              </w:rPr>
              <w:t>
   д) макрофагов (определение подвижности макрофагов - тест ингибиции миграции макрофагов, определение продукции иптерлейкина-1).</w:t>
            </w:r>
          </w:p>
          <w:p>
            <w:pPr>
              <w:spacing w:after="20"/>
              <w:ind w:left="20"/>
              <w:jc w:val="both"/>
            </w:pPr>
            <w:r>
              <w:rPr>
                <w:rFonts w:ascii="Times New Roman"/>
                <w:b w:val="false"/>
                <w:i w:val="false"/>
                <w:color w:val="000000"/>
                <w:sz w:val="20"/>
              </w:rPr>
              <w:t>
   Второй этап испытаний препаратов на иммунотоксическое действие проводят в случае если на первом этапе оценки выявлено иммунотоксическое действие лекарственного средства, но его нельзя заменить неиммунотоксическим аналогом, в таких случаях рекомендуется иммунологический контроль на стадии клинических испытаний и целенаправленная коррекция обнаруженного иммунотоксического эффекта с помощью введения иммуномодуляторов.</w:t>
            </w:r>
          </w:p>
          <w:p>
            <w:pPr>
              <w:spacing w:after="20"/>
              <w:ind w:left="20"/>
              <w:jc w:val="both"/>
            </w:pPr>
            <w:r>
              <w:rPr>
                <w:rFonts w:ascii="Times New Roman"/>
                <w:b w:val="false"/>
                <w:i w:val="false"/>
                <w:color w:val="000000"/>
                <w:sz w:val="20"/>
              </w:rPr>
              <w:t>
   Если количество эффективных лекарственных средств, применяемых при данной патологии очень ограничено.</w:t>
            </w:r>
          </w:p>
          <w:p>
            <w:pPr>
              <w:spacing w:after="20"/>
              <w:ind w:left="20"/>
              <w:jc w:val="both"/>
            </w:pPr>
            <w:r>
              <w:rPr>
                <w:rFonts w:ascii="Times New Roman"/>
                <w:b w:val="false"/>
                <w:i w:val="false"/>
                <w:color w:val="000000"/>
                <w:sz w:val="20"/>
              </w:rPr>
              <w:t>
   5. Тестирование на иммунотоксическое и аллергизирующее действие проводят обычно на 7-14-21 сутки после последнего введения лекарственного средства. Если изучают развитие иммунных и аллергических реакций в динамике или определяют возможность обратимости этих нежелательных эффектов, то эксперименты продолжаются до 2-3-х месяцев.</w:t>
            </w:r>
          </w:p>
          <w:p>
            <w:pPr>
              <w:spacing w:after="20"/>
              <w:ind w:left="20"/>
              <w:jc w:val="both"/>
            </w:pPr>
            <w:r>
              <w:rPr>
                <w:rFonts w:ascii="Times New Roman"/>
                <w:b w:val="false"/>
                <w:i w:val="false"/>
                <w:color w:val="000000"/>
                <w:sz w:val="20"/>
              </w:rPr>
              <w:t>
    Изучение эмбриотоксического действия и влияния на репродуктивную функцию</w:t>
            </w:r>
          </w:p>
          <w:p>
            <w:pPr>
              <w:spacing w:after="20"/>
              <w:ind w:left="20"/>
              <w:jc w:val="both"/>
            </w:pPr>
            <w:r>
              <w:rPr>
                <w:rFonts w:ascii="Times New Roman"/>
                <w:b w:val="false"/>
                <w:i w:val="false"/>
                <w:color w:val="000000"/>
                <w:sz w:val="20"/>
              </w:rPr>
              <w:t>
   1. Исследованию на эмбриотоксические свойства подвергаются все новые фармакологические средства, которые назначаются женщинам в репродуктивном периоде жизни, а также вспомогательные вещества, включенные в лекарственную форму новых или уже применяемых лекарственных средств. Исследования включают как изучение состояния потомства к концу антенатального периода развития (I этап исследования), так и состояние потомства в постнатальном периоде жизни (II этап исследования). Испытания ограничиваются I этапом, если препарат является очень сильным или сильным тератогеном.</w:t>
            </w:r>
          </w:p>
          <w:p>
            <w:pPr>
              <w:spacing w:after="20"/>
              <w:ind w:left="20"/>
              <w:jc w:val="both"/>
            </w:pPr>
            <w:r>
              <w:rPr>
                <w:rFonts w:ascii="Times New Roman"/>
                <w:b w:val="false"/>
                <w:i w:val="false"/>
                <w:color w:val="000000"/>
                <w:sz w:val="20"/>
              </w:rPr>
              <w:t>
   2. Изучение эмбриотоксического действия на крысах.</w:t>
            </w:r>
          </w:p>
          <w:p>
            <w:pPr>
              <w:spacing w:after="20"/>
              <w:ind w:left="20"/>
              <w:jc w:val="both"/>
            </w:pPr>
            <w:r>
              <w:rPr>
                <w:rFonts w:ascii="Times New Roman"/>
                <w:b w:val="false"/>
                <w:i w:val="false"/>
                <w:color w:val="000000"/>
                <w:sz w:val="20"/>
              </w:rPr>
              <w:t>
   I этап исследования.</w:t>
            </w:r>
          </w:p>
          <w:p>
            <w:pPr>
              <w:spacing w:after="20"/>
              <w:ind w:left="20"/>
              <w:jc w:val="both"/>
            </w:pPr>
            <w:r>
              <w:rPr>
                <w:rFonts w:ascii="Times New Roman"/>
                <w:b w:val="false"/>
                <w:i w:val="false"/>
                <w:color w:val="000000"/>
                <w:sz w:val="20"/>
              </w:rPr>
              <w:t>
   Животные. Линейные, гибридные или рандомбредные крысы.</w:t>
            </w:r>
          </w:p>
          <w:p>
            <w:pPr>
              <w:spacing w:after="20"/>
              <w:ind w:left="20"/>
              <w:jc w:val="both"/>
            </w:pPr>
            <w:r>
              <w:rPr>
                <w:rFonts w:ascii="Times New Roman"/>
                <w:b w:val="false"/>
                <w:i w:val="false"/>
                <w:color w:val="000000"/>
                <w:sz w:val="20"/>
              </w:rPr>
              <w:t>
   Число животных. В подопытной и контрольной группах составляет не менее 20 беременных животных. Первым днем беременности считается день нахождения сперматозоидов в вагинальном мазке.</w:t>
            </w:r>
          </w:p>
          <w:p>
            <w:pPr>
              <w:spacing w:after="20"/>
              <w:ind w:left="20"/>
              <w:jc w:val="both"/>
            </w:pPr>
            <w:r>
              <w:rPr>
                <w:rFonts w:ascii="Times New Roman"/>
                <w:b w:val="false"/>
                <w:i w:val="false"/>
                <w:color w:val="000000"/>
                <w:sz w:val="20"/>
              </w:rPr>
              <w:t>
   Путь введения. Рекомендованный для клинического применения, при пероральном введении вещество вводят зондом.</w:t>
            </w:r>
          </w:p>
          <w:p>
            <w:pPr>
              <w:spacing w:after="20"/>
              <w:ind w:left="20"/>
              <w:jc w:val="both"/>
            </w:pPr>
            <w:r>
              <w:rPr>
                <w:rFonts w:ascii="Times New Roman"/>
                <w:b w:val="false"/>
                <w:i w:val="false"/>
                <w:color w:val="000000"/>
                <w:sz w:val="20"/>
              </w:rPr>
              <w:t>
   Дозы. Целесообразно испытание трех доз. В качестве высшей используется максимальная доза, при которой не отмечается гибели самок и развития видимых признаков интоксикации при избранном режиме введения препарата. При испытании высшей дозы малотоксичных веществ объем жидкости, вводимый подопытным животным, не превышает максимально-допустимое количество для данного вида животных и конкретного пути введения.</w:t>
            </w:r>
          </w:p>
          <w:p>
            <w:pPr>
              <w:spacing w:after="20"/>
              <w:ind w:left="20"/>
              <w:jc w:val="both"/>
            </w:pPr>
            <w:r>
              <w:rPr>
                <w:rFonts w:ascii="Times New Roman"/>
                <w:b w:val="false"/>
                <w:i w:val="false"/>
                <w:color w:val="000000"/>
                <w:sz w:val="20"/>
              </w:rPr>
              <w:t>
   Контрольная группа. В эксперимент включаются группы негативного, позитивного и интактного контроля. Негативному контролю вводят растворитель или добавки используемые для введения субстанции испытуемого вещества.</w:t>
            </w:r>
          </w:p>
          <w:p>
            <w:pPr>
              <w:spacing w:after="20"/>
              <w:ind w:left="20"/>
              <w:jc w:val="both"/>
            </w:pPr>
            <w:r>
              <w:rPr>
                <w:rFonts w:ascii="Times New Roman"/>
                <w:b w:val="false"/>
                <w:i w:val="false"/>
                <w:color w:val="000000"/>
                <w:sz w:val="20"/>
              </w:rPr>
              <w:t>
   Режим введения. Вещество вводят один раз в сутки различным группам с 1 по 6, с 6 по 16 и с 16 по 19 дни беременности. Изучаемое вещество вводят с 6 по 16 дни беременности и трех дозах, в остальные сроки - в высшей дозе. Если при введении вещества в высшей дозе отмечен эмбриотоксический эффект, то проводят дополнительные исследования для установления пороговой дозы. Сроки введения изучаемого вещества охватывают весь период беременности самок, поскольку чувствительность зародыша к препарату зависит от стадии его развития.</w:t>
            </w:r>
          </w:p>
          <w:p>
            <w:pPr>
              <w:spacing w:after="20"/>
              <w:ind w:left="20"/>
              <w:jc w:val="both"/>
            </w:pPr>
            <w:r>
              <w:rPr>
                <w:rFonts w:ascii="Times New Roman"/>
                <w:b w:val="false"/>
                <w:i w:val="false"/>
                <w:color w:val="000000"/>
                <w:sz w:val="20"/>
              </w:rPr>
              <w:t>
   Методика оценки: ежедневное наблюдение за состоянием и поведением беременных самок; еженедельное взвешивание животных; эвтаназия и вскрытие самок на 20-й день беременности для оценки результатов; в качестве показателей эмбриотоксического действия определяется пред- и постимплантационная эмбриональная смертность, морфологические (анатомические) пороки развития, общая задержка развития плодов.</w:t>
            </w:r>
          </w:p>
          <w:p>
            <w:pPr>
              <w:spacing w:after="20"/>
              <w:ind w:left="20"/>
              <w:jc w:val="both"/>
            </w:pPr>
            <w:r>
              <w:rPr>
                <w:rFonts w:ascii="Times New Roman"/>
                <w:b w:val="false"/>
                <w:i w:val="false"/>
                <w:color w:val="000000"/>
                <w:sz w:val="20"/>
              </w:rPr>
              <w:t>
   Предимплантационную смертность определяют по разности между количеством желтых тел в яичниках и количеством мест имплантации в матке; постимплантационную смертность - по разности между количеством мест имплантации и числом живых плодов.</w:t>
            </w:r>
          </w:p>
          <w:p>
            <w:pPr>
              <w:spacing w:after="20"/>
              <w:ind w:left="20"/>
              <w:jc w:val="both"/>
            </w:pPr>
            <w:r>
              <w:rPr>
                <w:rFonts w:ascii="Times New Roman"/>
                <w:b w:val="false"/>
                <w:i w:val="false"/>
                <w:color w:val="000000"/>
                <w:sz w:val="20"/>
              </w:rPr>
              <w:t>
   Для оценки тератогенного действия подсчитывается число плодов с аномалиями при внешнем осмотре, а затем общее число плодов делится на две группы. У плодов исследуют состояние внутренних органов, у другой (%) - состояние скелета. Все плоды взвешиваются и определяется их краниокаудальный размер. За единицу наблюдения принимают результаты, полученные при вскрытии одной самки. Статистическая обработка результатов проводится методами непараметрических критериев.</w:t>
            </w:r>
          </w:p>
          <w:p>
            <w:pPr>
              <w:spacing w:after="20"/>
              <w:ind w:left="20"/>
              <w:jc w:val="both"/>
            </w:pPr>
            <w:r>
              <w:rPr>
                <w:rFonts w:ascii="Times New Roman"/>
                <w:b w:val="false"/>
                <w:i w:val="false"/>
                <w:color w:val="000000"/>
                <w:sz w:val="20"/>
              </w:rPr>
              <w:t>
   II этап исследования.</w:t>
            </w:r>
          </w:p>
          <w:p>
            <w:pPr>
              <w:spacing w:after="20"/>
              <w:ind w:left="20"/>
              <w:jc w:val="both"/>
            </w:pPr>
            <w:r>
              <w:rPr>
                <w:rFonts w:ascii="Times New Roman"/>
                <w:b w:val="false"/>
                <w:i w:val="false"/>
                <w:color w:val="000000"/>
                <w:sz w:val="20"/>
              </w:rPr>
              <w:t>
   Животные. Исследования проводятся на виргильных самках, гибридах или рандомбредных животных.</w:t>
            </w:r>
          </w:p>
          <w:p>
            <w:pPr>
              <w:spacing w:after="20"/>
              <w:ind w:left="20"/>
              <w:jc w:val="both"/>
            </w:pPr>
            <w:r>
              <w:rPr>
                <w:rFonts w:ascii="Times New Roman"/>
                <w:b w:val="false"/>
                <w:i w:val="false"/>
                <w:color w:val="000000"/>
                <w:sz w:val="20"/>
              </w:rPr>
              <w:t>
   Число животных. В подопытных и контрольных группах получает потомство не менее, чем от 15 самок.</w:t>
            </w:r>
          </w:p>
          <w:p>
            <w:pPr>
              <w:spacing w:after="20"/>
              <w:ind w:left="20"/>
              <w:jc w:val="both"/>
            </w:pPr>
            <w:r>
              <w:rPr>
                <w:rFonts w:ascii="Times New Roman"/>
                <w:b w:val="false"/>
                <w:i w:val="false"/>
                <w:color w:val="000000"/>
                <w:sz w:val="20"/>
              </w:rPr>
              <w:t>
   Путь введения: Преимущественно адекватный клиническому использованию.</w:t>
            </w:r>
          </w:p>
          <w:p>
            <w:pPr>
              <w:spacing w:after="20"/>
              <w:ind w:left="20"/>
              <w:jc w:val="both"/>
            </w:pPr>
            <w:r>
              <w:rPr>
                <w:rFonts w:ascii="Times New Roman"/>
                <w:b w:val="false"/>
                <w:i w:val="false"/>
                <w:color w:val="000000"/>
                <w:sz w:val="20"/>
              </w:rPr>
              <w:t>
   Дозы. Испытывается эффективная доза или в несколько раз увеличенная терапевтическая доза.</w:t>
            </w:r>
          </w:p>
          <w:p>
            <w:pPr>
              <w:spacing w:after="20"/>
              <w:ind w:left="20"/>
              <w:jc w:val="both"/>
            </w:pPr>
            <w:r>
              <w:rPr>
                <w:rFonts w:ascii="Times New Roman"/>
                <w:b w:val="false"/>
                <w:i w:val="false"/>
                <w:color w:val="000000"/>
                <w:sz w:val="20"/>
              </w:rPr>
              <w:t>
   Контрольная группа служит негативным контролем, подвергается воздействию растворителей или других добавок, используемых при введении субстанции.</w:t>
            </w:r>
          </w:p>
          <w:p>
            <w:pPr>
              <w:spacing w:after="20"/>
              <w:ind w:left="20"/>
              <w:jc w:val="both"/>
            </w:pPr>
            <w:r>
              <w:rPr>
                <w:rFonts w:ascii="Times New Roman"/>
                <w:b w:val="false"/>
                <w:i w:val="false"/>
                <w:color w:val="000000"/>
                <w:sz w:val="20"/>
              </w:rPr>
              <w:t>
   Режим введения: Один раз в сутки, с первого до последнего дня беременности.</w:t>
            </w:r>
          </w:p>
          <w:p>
            <w:pPr>
              <w:spacing w:after="20"/>
              <w:ind w:left="20"/>
              <w:jc w:val="both"/>
            </w:pPr>
            <w:r>
              <w:rPr>
                <w:rFonts w:ascii="Times New Roman"/>
                <w:b w:val="false"/>
                <w:i w:val="false"/>
                <w:color w:val="000000"/>
                <w:sz w:val="20"/>
              </w:rPr>
              <w:t>
   Методика оценки: ежедневное наблюдение за общим состоянием и поведением беременных самок; ежедневное взвешивание, анализ прироста массы тела; изучение поведения потомства в постнатальном периоде жизни; изучение у потомства нарушений со стороны репродуктивной функции, состояния основных функциональных систем (печени, нервной, эндокринной, иммунной и др.).</w:t>
            </w:r>
          </w:p>
          <w:p>
            <w:pPr>
              <w:spacing w:after="20"/>
              <w:ind w:left="20"/>
              <w:jc w:val="both"/>
            </w:pPr>
            <w:r>
              <w:rPr>
                <w:rFonts w:ascii="Times New Roman"/>
                <w:b w:val="false"/>
                <w:i w:val="false"/>
                <w:color w:val="000000"/>
                <w:sz w:val="20"/>
              </w:rPr>
              <w:t>
   За 3-4 дня до родов беременные самки размещаются в индивидуальных клетках. В каждом помете оставляют по 8 новорожденных</w:t>
            </w:r>
            <w:r>
              <w:rPr>
                <w:rFonts w:ascii="Times New Roman"/>
                <w:b w:val="false"/>
                <w:i/>
                <w:color w:val="000000"/>
                <w:sz w:val="20"/>
              </w:rPr>
              <w:t xml:space="preserve"> с</w:t>
            </w:r>
            <w:r>
              <w:rPr>
                <w:rFonts w:ascii="Times New Roman"/>
                <w:b w:val="false"/>
                <w:i w:val="false"/>
                <w:color w:val="000000"/>
                <w:sz w:val="20"/>
              </w:rPr>
              <w:t xml:space="preserve"> одинаковым количеством самцов и самок, по возможности. На 23-25 день после рождения крысят отсаживают от матери.</w:t>
            </w:r>
          </w:p>
          <w:p>
            <w:pPr>
              <w:spacing w:after="20"/>
              <w:ind w:left="20"/>
              <w:jc w:val="both"/>
            </w:pPr>
            <w:r>
              <w:rPr>
                <w:rFonts w:ascii="Times New Roman"/>
                <w:b w:val="false"/>
                <w:i w:val="false"/>
                <w:color w:val="000000"/>
                <w:sz w:val="20"/>
              </w:rPr>
              <w:t>
   Исследования потомства наминают не ранее, чем через 24 часа после рождения и продолжают до 2-3-месячного возраста. Оценка поведения проводится по следующим показателям: общее наблюдение за физическим развитием потомства; скорость созревания сенсорно-двигательных рефлексов в период вскармливания самкой; двигательное и эмоциональное поведение и способность к координации движений у потомства после окончания вскармливания; выработка условных рефлексов с положительным и отрицательным подкреплением, сохранение полученных навыков (обучаемость и память).</w:t>
            </w:r>
          </w:p>
          <w:p>
            <w:pPr>
              <w:spacing w:after="20"/>
              <w:ind w:left="20"/>
              <w:jc w:val="both"/>
            </w:pPr>
            <w:r>
              <w:rPr>
                <w:rFonts w:ascii="Times New Roman"/>
                <w:b w:val="false"/>
                <w:i w:val="false"/>
                <w:color w:val="000000"/>
                <w:sz w:val="20"/>
              </w:rPr>
              <w:t>
   Экспериментальная программа оценки состояния основных систем потомства зависит от фармакологической активности изучаемого препарата и аналогична методам, используемым и токсикологии. При технических трудностях длительного введения препарата, можно вводить его 3-5 дней подряд, но при этом необходимо предусмотреть увеличение числа групп животных, чтобы охватить весь период беременности.</w:t>
            </w:r>
          </w:p>
          <w:p>
            <w:pPr>
              <w:spacing w:after="20"/>
              <w:ind w:left="20"/>
              <w:jc w:val="both"/>
            </w:pPr>
            <w:r>
              <w:rPr>
                <w:rFonts w:ascii="Times New Roman"/>
                <w:b w:val="false"/>
                <w:i w:val="false"/>
                <w:color w:val="000000"/>
                <w:sz w:val="20"/>
              </w:rPr>
              <w:t>
   При статистической обработке за среднее значение соответствующего показателя принимается величина для отдельного помета, желательно предусмотреть возможность раздельного анализа результатов для самок и самцов.</w:t>
            </w:r>
          </w:p>
          <w:p>
            <w:pPr>
              <w:spacing w:after="20"/>
              <w:ind w:left="20"/>
              <w:jc w:val="both"/>
            </w:pPr>
            <w:r>
              <w:rPr>
                <w:rFonts w:ascii="Times New Roman"/>
                <w:b w:val="false"/>
                <w:i w:val="false"/>
                <w:color w:val="000000"/>
                <w:sz w:val="20"/>
              </w:rPr>
              <w:t>
   4. Изучение эмбриотоксического действия на кроликах.</w:t>
            </w:r>
          </w:p>
          <w:p>
            <w:pPr>
              <w:spacing w:after="20"/>
              <w:ind w:left="20"/>
              <w:jc w:val="both"/>
            </w:pPr>
            <w:r>
              <w:rPr>
                <w:rFonts w:ascii="Times New Roman"/>
                <w:b w:val="false"/>
                <w:i w:val="false"/>
                <w:color w:val="000000"/>
                <w:sz w:val="20"/>
              </w:rPr>
              <w:t>
   Животные. Исследования проводятся на виргильных самках.</w:t>
            </w:r>
          </w:p>
          <w:p>
            <w:pPr>
              <w:spacing w:after="20"/>
              <w:ind w:left="20"/>
              <w:jc w:val="both"/>
            </w:pPr>
            <w:r>
              <w:rPr>
                <w:rFonts w:ascii="Times New Roman"/>
                <w:b w:val="false"/>
                <w:i w:val="false"/>
                <w:color w:val="000000"/>
                <w:sz w:val="20"/>
              </w:rPr>
              <w:t>
   Число животных. Каждая группа состоит не менее, чем из 12 беременных крольчих. Первым днем беременности считается день нахождения сперматозоидов в вагинальном мазке.</w:t>
            </w:r>
          </w:p>
          <w:p>
            <w:pPr>
              <w:spacing w:after="20"/>
              <w:ind w:left="20"/>
              <w:jc w:val="both"/>
            </w:pPr>
            <w:r>
              <w:rPr>
                <w:rFonts w:ascii="Times New Roman"/>
                <w:b w:val="false"/>
                <w:i w:val="false"/>
                <w:color w:val="000000"/>
                <w:sz w:val="20"/>
              </w:rPr>
              <w:t>
   Путь введения: Способ введения соответствует клиническому применению лекарственного средства.</w:t>
            </w:r>
          </w:p>
          <w:p>
            <w:pPr>
              <w:spacing w:after="20"/>
              <w:ind w:left="20"/>
              <w:jc w:val="both"/>
            </w:pPr>
            <w:r>
              <w:rPr>
                <w:rFonts w:ascii="Times New Roman"/>
                <w:b w:val="false"/>
                <w:i w:val="false"/>
                <w:color w:val="000000"/>
                <w:sz w:val="20"/>
              </w:rPr>
              <w:t>
   Дозы. Исследования проводятся на уровне высшей дозы.</w:t>
            </w:r>
          </w:p>
          <w:p>
            <w:pPr>
              <w:spacing w:after="20"/>
              <w:ind w:left="20"/>
              <w:jc w:val="both"/>
            </w:pPr>
            <w:r>
              <w:rPr>
                <w:rFonts w:ascii="Times New Roman"/>
                <w:b w:val="false"/>
                <w:i w:val="false"/>
                <w:color w:val="000000"/>
                <w:sz w:val="20"/>
              </w:rPr>
              <w:t>
   Контрольная группа. В эксперимент включаются группы негативного, позитивного и интактного контроля.</w:t>
            </w:r>
          </w:p>
          <w:p>
            <w:pPr>
              <w:spacing w:after="20"/>
              <w:ind w:left="20"/>
              <w:jc w:val="both"/>
            </w:pPr>
            <w:r>
              <w:rPr>
                <w:rFonts w:ascii="Times New Roman"/>
                <w:b w:val="false"/>
                <w:i w:val="false"/>
                <w:color w:val="000000"/>
                <w:sz w:val="20"/>
              </w:rPr>
              <w:t>
   Режим введения: Испытуемое вещество рекомендуется вводить с 6 по 18 день беременности один раз в сутки.</w:t>
            </w:r>
          </w:p>
          <w:p>
            <w:pPr>
              <w:spacing w:after="20"/>
              <w:ind w:left="20"/>
              <w:jc w:val="both"/>
            </w:pPr>
            <w:r>
              <w:rPr>
                <w:rFonts w:ascii="Times New Roman"/>
                <w:b w:val="false"/>
                <w:i w:val="false"/>
                <w:color w:val="000000"/>
                <w:sz w:val="20"/>
              </w:rPr>
              <w:t>
   Методика оценки:</w:t>
            </w:r>
          </w:p>
          <w:p>
            <w:pPr>
              <w:spacing w:after="20"/>
              <w:ind w:left="20"/>
              <w:jc w:val="both"/>
            </w:pPr>
            <w:r>
              <w:rPr>
                <w:rFonts w:ascii="Times New Roman"/>
                <w:b w:val="false"/>
                <w:i w:val="false"/>
                <w:color w:val="000000"/>
                <w:sz w:val="20"/>
              </w:rPr>
              <w:t>
   1) эвтаназию и вскрытие самок проводят на 27-28 день беременности;</w:t>
            </w:r>
          </w:p>
          <w:p>
            <w:pPr>
              <w:spacing w:after="20"/>
              <w:ind w:left="20"/>
              <w:jc w:val="both"/>
            </w:pPr>
            <w:r>
              <w:rPr>
                <w:rFonts w:ascii="Times New Roman"/>
                <w:b w:val="false"/>
                <w:i w:val="false"/>
                <w:color w:val="000000"/>
                <w:sz w:val="20"/>
              </w:rPr>
              <w:t>
   2) показателями эмбриотоксичности является пред- и постимплантационная эмбриональная смертность, морфологические пороки развития, общая задержка развития плодов.</w:t>
            </w:r>
          </w:p>
          <w:p>
            <w:pPr>
              <w:spacing w:after="20"/>
              <w:ind w:left="20"/>
              <w:jc w:val="both"/>
            </w:pPr>
            <w:r>
              <w:rPr>
                <w:rFonts w:ascii="Times New Roman"/>
                <w:b w:val="false"/>
                <w:i w:val="false"/>
                <w:color w:val="000000"/>
                <w:sz w:val="20"/>
              </w:rPr>
              <w:t>
   Подразделения, ведущие тестирование тератогенности, содержит данные "обобщенного" контроля об уровне спонтанного возникновения аномалии развития, полученные на интактных контрольных животных.</w:t>
            </w:r>
          </w:p>
          <w:p>
            <w:pPr>
              <w:spacing w:after="20"/>
              <w:ind w:left="20"/>
              <w:jc w:val="both"/>
            </w:pPr>
            <w:r>
              <w:rPr>
                <w:rFonts w:ascii="Times New Roman"/>
                <w:b w:val="false"/>
                <w:i w:val="false"/>
                <w:color w:val="000000"/>
                <w:sz w:val="20"/>
              </w:rPr>
              <w:t>
   4. Изучение влияния лекарственных средств на репродуктивную функцию.</w:t>
            </w:r>
          </w:p>
          <w:p>
            <w:pPr>
              <w:spacing w:after="20"/>
              <w:ind w:left="20"/>
              <w:jc w:val="both"/>
            </w:pPr>
            <w:r>
              <w:rPr>
                <w:rFonts w:ascii="Times New Roman"/>
                <w:b w:val="false"/>
                <w:i w:val="false"/>
                <w:color w:val="000000"/>
                <w:sz w:val="20"/>
              </w:rPr>
              <w:t>
   Учитывая возможность лекарственных средств вызывать не только уродства и гибель эмбрионов, плодов, но и влиять на гаметогенез, необходимо изучение гонадотоксического действия новых потенциальных лекарственных средств. Виды и линии животных для этих целей отбираются с учетом информации об их репродуктивном статусе, уровня врожденных уродств и чувствительности к известным гонадотоксическим агентам. Желательно проводить исследования на животных с низким уровнем спонтанных уродств.</w:t>
            </w:r>
          </w:p>
          <w:p>
            <w:pPr>
              <w:spacing w:after="20"/>
              <w:ind w:left="20"/>
              <w:jc w:val="both"/>
            </w:pPr>
            <w:r>
              <w:rPr>
                <w:rFonts w:ascii="Times New Roman"/>
                <w:b w:val="false"/>
                <w:i w:val="false"/>
                <w:color w:val="000000"/>
                <w:sz w:val="20"/>
              </w:rPr>
              <w:t>
   Животные. Исследования проводят на животных обоего пола.</w:t>
            </w:r>
          </w:p>
          <w:p>
            <w:pPr>
              <w:spacing w:after="20"/>
              <w:ind w:left="20"/>
              <w:jc w:val="both"/>
            </w:pPr>
            <w:r>
              <w:rPr>
                <w:rFonts w:ascii="Times New Roman"/>
                <w:b w:val="false"/>
                <w:i w:val="false"/>
                <w:color w:val="000000"/>
                <w:sz w:val="20"/>
              </w:rPr>
              <w:t>
   Число животных. Рекомендуется иметь в каждой группе не менее 20 самцов и 40 самок.</w:t>
            </w:r>
          </w:p>
          <w:p>
            <w:pPr>
              <w:spacing w:after="20"/>
              <w:ind w:left="20"/>
              <w:jc w:val="both"/>
            </w:pPr>
            <w:r>
              <w:rPr>
                <w:rFonts w:ascii="Times New Roman"/>
                <w:b w:val="false"/>
                <w:i w:val="false"/>
                <w:color w:val="000000"/>
                <w:sz w:val="20"/>
              </w:rPr>
              <w:t>
   Путь, введения соответствует клиническому способу применения.</w:t>
            </w:r>
          </w:p>
          <w:p>
            <w:pPr>
              <w:spacing w:after="20"/>
              <w:ind w:left="20"/>
              <w:jc w:val="both"/>
            </w:pPr>
            <w:r>
              <w:rPr>
                <w:rFonts w:ascii="Times New Roman"/>
                <w:b w:val="false"/>
                <w:i w:val="false"/>
                <w:color w:val="000000"/>
                <w:sz w:val="20"/>
              </w:rPr>
              <w:t>
   Уровень доз. Вещество испытывают в 3-х дозах.</w:t>
            </w:r>
          </w:p>
          <w:p>
            <w:pPr>
              <w:spacing w:after="20"/>
              <w:ind w:left="20"/>
              <w:jc w:val="both"/>
            </w:pPr>
            <w:r>
              <w:rPr>
                <w:rFonts w:ascii="Times New Roman"/>
                <w:b w:val="false"/>
                <w:i w:val="false"/>
                <w:color w:val="000000"/>
                <w:sz w:val="20"/>
              </w:rPr>
              <w:t>
   Контрольная группа. Используются группы негативного, позитивного и интактного контроля.</w:t>
            </w:r>
          </w:p>
          <w:p>
            <w:pPr>
              <w:spacing w:after="20"/>
              <w:ind w:left="20"/>
              <w:jc w:val="both"/>
            </w:pPr>
            <w:r>
              <w:rPr>
                <w:rFonts w:ascii="Times New Roman"/>
                <w:b w:val="false"/>
                <w:i w:val="false"/>
                <w:color w:val="000000"/>
                <w:sz w:val="20"/>
              </w:rPr>
              <w:t>
   Период введения. Самцам препарат вводят на протяжении 60-70 дней, самкам – 15-30 дней до спаривания.</w:t>
            </w:r>
          </w:p>
          <w:p>
            <w:pPr>
              <w:spacing w:after="20"/>
              <w:ind w:left="20"/>
              <w:jc w:val="both"/>
            </w:pPr>
            <w:r>
              <w:rPr>
                <w:rFonts w:ascii="Times New Roman"/>
                <w:b w:val="false"/>
                <w:i w:val="false"/>
                <w:color w:val="000000"/>
                <w:sz w:val="20"/>
              </w:rPr>
              <w:t>
   Методика оценки: ежедневное наблюдение, еженедельное взвешивание и определение количества потребляемой пищи.</w:t>
            </w:r>
          </w:p>
          <w:p>
            <w:pPr>
              <w:spacing w:after="20"/>
              <w:ind w:left="20"/>
              <w:jc w:val="both"/>
            </w:pPr>
            <w:r>
              <w:rPr>
                <w:rFonts w:ascii="Times New Roman"/>
                <w:b w:val="false"/>
                <w:i w:val="false"/>
                <w:color w:val="000000"/>
                <w:sz w:val="20"/>
              </w:rPr>
              <w:t>
   Самок подсаживают к самцам в стадии проэструса и соотношении 2:1 сроком на 2 эстральных цикла. Оплодотворение регистрируют с помощью вагинальных мазков. Половину ссаженных самок умерщвляют на 17-21 день беременности, вторую половину самок оставляют до родов и наблюдают за физическим развитием потомства до окончания периода вскармливания.</w:t>
            </w:r>
          </w:p>
          <w:p>
            <w:pPr>
              <w:spacing w:after="20"/>
              <w:ind w:left="20"/>
              <w:jc w:val="both"/>
            </w:pPr>
            <w:r>
              <w:rPr>
                <w:rFonts w:ascii="Times New Roman"/>
                <w:b w:val="false"/>
                <w:i w:val="false"/>
                <w:color w:val="000000"/>
                <w:sz w:val="20"/>
              </w:rPr>
              <w:t>
   Критерии оценки: учет уровня пред- и постимплантационной смертности; величин индекса плодовитости и беременности.</w:t>
            </w:r>
          </w:p>
          <w:p>
            <w:pPr>
              <w:spacing w:after="20"/>
              <w:ind w:left="20"/>
              <w:jc w:val="both"/>
            </w:pPr>
            <w:r>
              <w:rPr>
                <w:rFonts w:ascii="Times New Roman"/>
                <w:b w:val="false"/>
                <w:i w:val="false"/>
                <w:color w:val="000000"/>
                <w:sz w:val="20"/>
              </w:rPr>
              <w:t>
   Изучение мутагенности</w:t>
            </w:r>
          </w:p>
          <w:p>
            <w:pPr>
              <w:spacing w:after="20"/>
              <w:ind w:left="20"/>
              <w:jc w:val="both"/>
            </w:pPr>
            <w:r>
              <w:rPr>
                <w:rFonts w:ascii="Times New Roman"/>
                <w:b w:val="false"/>
                <w:i w:val="false"/>
                <w:color w:val="000000"/>
                <w:sz w:val="20"/>
              </w:rPr>
              <w:t>
   Изучению мутагенной активности подвергаются все новые фармакологические средства.</w:t>
            </w:r>
          </w:p>
          <w:p>
            <w:pPr>
              <w:spacing w:after="20"/>
              <w:ind w:left="20"/>
              <w:jc w:val="both"/>
            </w:pPr>
            <w:r>
              <w:rPr>
                <w:rFonts w:ascii="Times New Roman"/>
                <w:b w:val="false"/>
                <w:i w:val="false"/>
                <w:color w:val="000000"/>
                <w:sz w:val="20"/>
              </w:rPr>
              <w:t>
   Для противоопухолевых средств тестирование на мутагенную активность не является обязательным, но при расширении показаний к их применению оценка мутагенности необходима.</w:t>
            </w:r>
          </w:p>
          <w:p>
            <w:pPr>
              <w:spacing w:after="20"/>
              <w:ind w:left="20"/>
              <w:jc w:val="both"/>
            </w:pPr>
            <w:r>
              <w:rPr>
                <w:rFonts w:ascii="Times New Roman"/>
                <w:b w:val="false"/>
                <w:i w:val="false"/>
                <w:color w:val="000000"/>
                <w:sz w:val="20"/>
              </w:rPr>
              <w:t>
   1. Учет генных мутаций на индикаторных бактериях (тест Эймса).</w:t>
            </w:r>
          </w:p>
          <w:p>
            <w:pPr>
              <w:spacing w:after="20"/>
              <w:ind w:left="20"/>
              <w:jc w:val="both"/>
            </w:pPr>
            <w:r>
              <w:rPr>
                <w:rFonts w:ascii="Times New Roman"/>
                <w:b w:val="false"/>
                <w:i w:val="false"/>
                <w:color w:val="000000"/>
                <w:sz w:val="20"/>
              </w:rPr>
              <w:t>
   Штаммы. Используются штаммы</w:t>
            </w:r>
            <w:r>
              <w:rPr>
                <w:rFonts w:ascii="Times New Roman"/>
                <w:b w:val="false"/>
                <w:i/>
                <w:color w:val="000000"/>
                <w:sz w:val="20"/>
              </w:rPr>
              <w:t xml:space="preserve"> Salmonella typhimurium</w:t>
            </w:r>
            <w:r>
              <w:rPr>
                <w:rFonts w:ascii="Times New Roman"/>
                <w:b w:val="false"/>
                <w:i w:val="false"/>
                <w:color w:val="000000"/>
                <w:sz w:val="20"/>
              </w:rPr>
              <w:t xml:space="preserve"> ТА1537, TA98, ТА100. </w:t>
            </w:r>
          </w:p>
          <w:p>
            <w:pPr>
              <w:spacing w:after="20"/>
              <w:ind w:left="20"/>
              <w:jc w:val="both"/>
            </w:pPr>
            <w:r>
              <w:rPr>
                <w:rFonts w:ascii="Times New Roman"/>
                <w:b w:val="false"/>
                <w:i w:val="false"/>
                <w:color w:val="000000"/>
                <w:sz w:val="20"/>
              </w:rPr>
              <w:t>
   Уровень доз. Необходимо испытание 5 доз препарата. Максимальная доза соответствует 1 мг на чашку. В случае наличия у субстанции антибактериальных свойств, максимальная доза соответствует дозе, вызывающей антибактериальный эффект.</w:t>
            </w:r>
          </w:p>
          <w:p>
            <w:pPr>
              <w:spacing w:after="20"/>
              <w:ind w:left="20"/>
              <w:jc w:val="both"/>
            </w:pPr>
            <w:r>
              <w:rPr>
                <w:rFonts w:ascii="Times New Roman"/>
                <w:b w:val="false"/>
                <w:i w:val="false"/>
                <w:color w:val="000000"/>
                <w:sz w:val="20"/>
              </w:rPr>
              <w:t>
   Контрольные группы. Необходимо включение в эксперимент групп негативного и позитивного контроля. Группа, получающая растворитель, служит негативным контролем, известные мутагены – позитивным контролем в группах с наличием и отсутствием микросомальной активирующей смеси (S9). Фракция S9 приготовляется из печени млекопитающих, с предварительной индукцией метаболических ферментов.</w:t>
            </w:r>
          </w:p>
          <w:p>
            <w:pPr>
              <w:spacing w:after="20"/>
              <w:ind w:left="20"/>
              <w:jc w:val="both"/>
            </w:pPr>
            <w:r>
              <w:rPr>
                <w:rFonts w:ascii="Times New Roman"/>
                <w:b w:val="false"/>
                <w:i w:val="false"/>
                <w:color w:val="000000"/>
                <w:sz w:val="20"/>
              </w:rPr>
              <w:t>
   Метаболическая активация. Тест выполняется отдельно с наличием и отсутствием микросомальной активирующей смеси.</w:t>
            </w:r>
          </w:p>
          <w:p>
            <w:pPr>
              <w:spacing w:after="20"/>
              <w:ind w:left="20"/>
              <w:jc w:val="both"/>
            </w:pPr>
            <w:r>
              <w:rPr>
                <w:rFonts w:ascii="Times New Roman"/>
                <w:b w:val="false"/>
                <w:i w:val="false"/>
                <w:color w:val="000000"/>
                <w:sz w:val="20"/>
              </w:rPr>
              <w:t>
   Представление результатов: исходные данные средние значения показателей ревертантов представляется в таблицах.</w:t>
            </w:r>
          </w:p>
          <w:p>
            <w:pPr>
              <w:spacing w:after="20"/>
              <w:ind w:left="20"/>
              <w:jc w:val="both"/>
            </w:pPr>
            <w:r>
              <w:rPr>
                <w:rFonts w:ascii="Times New Roman"/>
                <w:b w:val="false"/>
                <w:i w:val="false"/>
                <w:color w:val="000000"/>
                <w:sz w:val="20"/>
              </w:rPr>
              <w:t>
   2. Тест хромосомных аберраций в клетках костного мозга грызунов.</w:t>
            </w:r>
          </w:p>
          <w:p>
            <w:pPr>
              <w:spacing w:after="20"/>
              <w:ind w:left="20"/>
              <w:jc w:val="both"/>
            </w:pPr>
            <w:r>
              <w:rPr>
                <w:rFonts w:ascii="Times New Roman"/>
                <w:b w:val="false"/>
                <w:i w:val="false"/>
                <w:color w:val="000000"/>
                <w:sz w:val="20"/>
              </w:rPr>
              <w:t>
   Животные. Используется один из видов грызунов. Животные, используемые для исследования мутагенности, могут быть генетически однородны. Допускается использование мышей-тетрагибридов или рандомбредных животных.</w:t>
            </w:r>
          </w:p>
          <w:p>
            <w:pPr>
              <w:spacing w:after="20"/>
              <w:ind w:left="20"/>
              <w:jc w:val="both"/>
            </w:pPr>
            <w:r>
              <w:rPr>
                <w:rFonts w:ascii="Times New Roman"/>
                <w:b w:val="false"/>
                <w:i w:val="false"/>
                <w:color w:val="000000"/>
                <w:sz w:val="20"/>
              </w:rPr>
              <w:t>
   Количество животных. Каждая группа содержит не менее 5-ти животных.</w:t>
            </w:r>
          </w:p>
          <w:p>
            <w:pPr>
              <w:spacing w:after="20"/>
              <w:ind w:left="20"/>
              <w:jc w:val="both"/>
            </w:pPr>
            <w:r>
              <w:rPr>
                <w:rFonts w:ascii="Times New Roman"/>
                <w:b w:val="false"/>
                <w:i w:val="false"/>
                <w:color w:val="000000"/>
                <w:sz w:val="20"/>
              </w:rPr>
              <w:t>
   Путь введения соответствует клиническому способу применения.</w:t>
            </w:r>
          </w:p>
          <w:p>
            <w:pPr>
              <w:spacing w:after="20"/>
              <w:ind w:left="20"/>
              <w:jc w:val="both"/>
            </w:pPr>
            <w:r>
              <w:rPr>
                <w:rFonts w:ascii="Times New Roman"/>
                <w:b w:val="false"/>
                <w:i w:val="false"/>
                <w:color w:val="000000"/>
                <w:sz w:val="20"/>
              </w:rPr>
              <w:t>
   Доза. Испытывается 1 доза при 1-ой контрольной группе. Используется доза/от DL</w:t>
            </w:r>
            <w:r>
              <w:rPr>
                <w:rFonts w:ascii="Times New Roman"/>
                <w:b w:val="false"/>
                <w:i w:val="false"/>
                <w:color w:val="000000"/>
                <w:vertAlign w:val="subscript"/>
              </w:rPr>
              <w:t>50</w:t>
            </w:r>
            <w:r>
              <w:rPr>
                <w:rFonts w:ascii="Times New Roman"/>
                <w:b w:val="false"/>
                <w:i w:val="false"/>
                <w:color w:val="000000"/>
                <w:sz w:val="20"/>
              </w:rPr>
              <w:t xml:space="preserve"> или равная 100-кратной терапевтической дозе для человека.</w:t>
            </w:r>
          </w:p>
          <w:p>
            <w:pPr>
              <w:spacing w:after="20"/>
              <w:ind w:left="20"/>
              <w:jc w:val="both"/>
            </w:pPr>
            <w:r>
              <w:rPr>
                <w:rFonts w:ascii="Times New Roman"/>
                <w:b w:val="false"/>
                <w:i w:val="false"/>
                <w:color w:val="000000"/>
                <w:sz w:val="20"/>
              </w:rPr>
              <w:t>
   Контрольные группы. Тестирование мутагенности включает негативный и позитивный контроли. Негативный контроль (растворитель) используется для анализа ответных реакций на действие всех возможных переменных, кроме тестируемого соединения. В качестве позитивного контроля используются известные мутагены. Для позитивного контроля предпочтительнее использовать мутаген, сходный по характеру биотрансформации с тестируемым соединением. Если это невозможно, следует использовать модельные мутагены.</w:t>
            </w:r>
          </w:p>
          <w:p>
            <w:pPr>
              <w:spacing w:after="20"/>
              <w:ind w:left="20"/>
              <w:jc w:val="both"/>
            </w:pPr>
            <w:r>
              <w:rPr>
                <w:rFonts w:ascii="Times New Roman"/>
                <w:b w:val="false"/>
                <w:i w:val="false"/>
                <w:color w:val="000000"/>
                <w:sz w:val="20"/>
              </w:rPr>
              <w:t>
   Режим введения. Используется, однократное введение, в случае необходимости число введений увеличивается.</w:t>
            </w:r>
          </w:p>
          <w:p>
            <w:pPr>
              <w:spacing w:after="20"/>
              <w:ind w:left="20"/>
              <w:jc w:val="both"/>
            </w:pPr>
            <w:r>
              <w:rPr>
                <w:rFonts w:ascii="Times New Roman"/>
                <w:b w:val="false"/>
                <w:i w:val="false"/>
                <w:color w:val="000000"/>
                <w:sz w:val="20"/>
              </w:rPr>
              <w:t>
   Методика. Все животные экспериментальной группы умертвляется в соответствующее время после введения испытуемого соединения с последующим приготовлением гистопрепаратов на стадии метафазы. Используются 2 срока экспозиции испытуемого соединения у животных - 6 и 24 часа. Анализу подвергаются 100 метафазных клеток у каждого животного.</w:t>
            </w:r>
          </w:p>
          <w:p>
            <w:pPr>
              <w:spacing w:after="20"/>
              <w:ind w:left="20"/>
              <w:jc w:val="both"/>
            </w:pPr>
            <w:r>
              <w:rPr>
                <w:rFonts w:ascii="Times New Roman"/>
                <w:b w:val="false"/>
                <w:i w:val="false"/>
                <w:color w:val="000000"/>
                <w:sz w:val="20"/>
              </w:rPr>
              <w:t>
   Представление результатов: общее число проанализированных клеток; процентное соотношение из них аберрантных; спектр аберраций и процентное соотношение их; значение х</w:t>
            </w:r>
            <w:r>
              <w:rPr>
                <w:rFonts w:ascii="Times New Roman"/>
                <w:b w:val="false"/>
                <w:i w:val="false"/>
                <w:color w:val="000000"/>
                <w:vertAlign w:val="superscript"/>
              </w:rPr>
              <w:t>2</w:t>
            </w:r>
            <w:r>
              <w:rPr>
                <w:rFonts w:ascii="Times New Roman"/>
                <w:b w:val="false"/>
                <w:i w:val="false"/>
                <w:color w:val="000000"/>
                <w:sz w:val="20"/>
              </w:rPr>
              <w:t xml:space="preserve"> статистики соотношения нормальных и аберрантных метафазных клеток в подопытных и контрольных группах.</w:t>
            </w:r>
          </w:p>
          <w:p>
            <w:pPr>
              <w:spacing w:after="20"/>
              <w:ind w:left="20"/>
              <w:jc w:val="both"/>
            </w:pPr>
            <w:r>
              <w:rPr>
                <w:rFonts w:ascii="Times New Roman"/>
                <w:b w:val="false"/>
                <w:i w:val="false"/>
                <w:color w:val="000000"/>
                <w:sz w:val="20"/>
              </w:rPr>
              <w:t>
   3. Тест доминантных летальных мутаций у грызунов.</w:t>
            </w:r>
          </w:p>
          <w:p>
            <w:pPr>
              <w:spacing w:after="20"/>
              <w:ind w:left="20"/>
              <w:jc w:val="both"/>
            </w:pPr>
            <w:r>
              <w:rPr>
                <w:rFonts w:ascii="Times New Roman"/>
                <w:b w:val="false"/>
                <w:i w:val="false"/>
                <w:color w:val="000000"/>
                <w:sz w:val="20"/>
              </w:rPr>
              <w:t>
   Животные. Один вид грызунов.</w:t>
            </w:r>
          </w:p>
          <w:p>
            <w:pPr>
              <w:spacing w:after="20"/>
              <w:ind w:left="20"/>
              <w:jc w:val="both"/>
            </w:pPr>
            <w:r>
              <w:rPr>
                <w:rFonts w:ascii="Times New Roman"/>
                <w:b w:val="false"/>
                <w:i w:val="false"/>
                <w:color w:val="000000"/>
                <w:sz w:val="20"/>
              </w:rPr>
              <w:t>
   Количество животных. Каждая группа содержит не менее 15 самцов, к каждому самцу подсаживается по 3 самки еженедельно в течение 3 недель.</w:t>
            </w:r>
          </w:p>
          <w:p>
            <w:pPr>
              <w:spacing w:after="20"/>
              <w:ind w:left="20"/>
              <w:jc w:val="both"/>
            </w:pPr>
            <w:r>
              <w:rPr>
                <w:rFonts w:ascii="Times New Roman"/>
                <w:b w:val="false"/>
                <w:i w:val="false"/>
                <w:color w:val="000000"/>
                <w:sz w:val="20"/>
              </w:rPr>
              <w:t>
   Путь введения соответствует рекомендованному для человека.</w:t>
            </w:r>
          </w:p>
          <w:p>
            <w:pPr>
              <w:spacing w:after="20"/>
              <w:ind w:left="20"/>
              <w:jc w:val="both"/>
            </w:pPr>
            <w:r>
              <w:rPr>
                <w:rFonts w:ascii="Times New Roman"/>
                <w:b w:val="false"/>
                <w:i w:val="false"/>
                <w:color w:val="000000"/>
                <w:sz w:val="20"/>
              </w:rPr>
              <w:t>
   Дозы. Испытывается одна доза и одна контрольная группа. Используется доза/от DL</w:t>
            </w:r>
            <w:r>
              <w:rPr>
                <w:rFonts w:ascii="Times New Roman"/>
                <w:b w:val="false"/>
                <w:i w:val="false"/>
                <w:color w:val="000000"/>
                <w:vertAlign w:val="subscript"/>
              </w:rPr>
              <w:t>50</w:t>
            </w:r>
            <w:r>
              <w:rPr>
                <w:rFonts w:ascii="Times New Roman"/>
                <w:b w:val="false"/>
                <w:i w:val="false"/>
                <w:color w:val="000000"/>
                <w:sz w:val="20"/>
              </w:rPr>
              <w:t xml:space="preserve"> или равная 100-кратной терапевтической дозе для человека.</w:t>
            </w:r>
          </w:p>
          <w:p>
            <w:pPr>
              <w:spacing w:after="20"/>
              <w:ind w:left="20"/>
              <w:jc w:val="both"/>
            </w:pPr>
            <w:r>
              <w:rPr>
                <w:rFonts w:ascii="Times New Roman"/>
                <w:b w:val="false"/>
                <w:i w:val="false"/>
                <w:color w:val="000000"/>
                <w:sz w:val="20"/>
              </w:rPr>
              <w:t>
   Контрольная группа. Когда в вводимом лекарственном средстве имеется растворитель, контрольная группа получает этот растворитель.</w:t>
            </w:r>
          </w:p>
          <w:p>
            <w:pPr>
              <w:spacing w:after="20"/>
              <w:ind w:left="20"/>
              <w:jc w:val="both"/>
            </w:pPr>
            <w:r>
              <w:rPr>
                <w:rFonts w:ascii="Times New Roman"/>
                <w:b w:val="false"/>
                <w:i w:val="false"/>
                <w:color w:val="000000"/>
                <w:sz w:val="20"/>
              </w:rPr>
              <w:t>
   Режим введения. Используется однократное введение, в случае необходимости, число введений увеличивается.</w:t>
            </w:r>
          </w:p>
          <w:p>
            <w:pPr>
              <w:spacing w:after="20"/>
              <w:ind w:left="20"/>
              <w:jc w:val="both"/>
            </w:pPr>
            <w:r>
              <w:rPr>
                <w:rFonts w:ascii="Times New Roman"/>
                <w:b w:val="false"/>
                <w:i w:val="false"/>
                <w:color w:val="000000"/>
                <w:sz w:val="20"/>
              </w:rPr>
              <w:t>
   Методика. Обработанные самцы еженедельно в течение 3 недель спариваются с интактными самками; все подопытные самки умертвляются и соответствующее время после спаривания с самцами; после вскрытия самок подсчитывается число живых и мертвых эмбрионов у каждой беременной самки.</w:t>
            </w:r>
          </w:p>
          <w:p>
            <w:pPr>
              <w:spacing w:after="20"/>
              <w:ind w:left="20"/>
              <w:jc w:val="both"/>
            </w:pPr>
            <w:r>
              <w:rPr>
                <w:rFonts w:ascii="Times New Roman"/>
                <w:b w:val="false"/>
                <w:i w:val="false"/>
                <w:color w:val="000000"/>
                <w:sz w:val="20"/>
              </w:rPr>
              <w:t>
   Представление результатов: процент фертильных самок; суммарное число живых и мертвых эмбрионов в группах; значение х</w:t>
            </w:r>
            <w:r>
              <w:rPr>
                <w:rFonts w:ascii="Times New Roman"/>
                <w:b w:val="false"/>
                <w:i w:val="false"/>
                <w:color w:val="000000"/>
                <w:vertAlign w:val="superscript"/>
              </w:rPr>
              <w:t>2</w:t>
            </w:r>
            <w:r>
              <w:rPr>
                <w:rFonts w:ascii="Times New Roman"/>
                <w:b w:val="false"/>
                <w:i w:val="false"/>
                <w:color w:val="000000"/>
                <w:sz w:val="20"/>
              </w:rPr>
              <w:t xml:space="preserve"> статистики соотношения живых и мертвых эмбрионов в подопытных и контрольных группах на каждой стадии сперматогенеза (неделе).</w:t>
            </w:r>
          </w:p>
          <w:p>
            <w:pPr>
              <w:spacing w:after="20"/>
              <w:ind w:left="20"/>
              <w:jc w:val="both"/>
            </w:pPr>
            <w:r>
              <w:rPr>
                <w:rFonts w:ascii="Times New Roman"/>
                <w:b w:val="false"/>
                <w:i w:val="false"/>
                <w:color w:val="000000"/>
                <w:sz w:val="20"/>
              </w:rPr>
              <w:t>
   4. Учет генных мутаций на индикаторных бактериях с использованием млекопитающего в качестве промежуточного хозяина.</w:t>
            </w:r>
          </w:p>
          <w:p>
            <w:pPr>
              <w:spacing w:after="20"/>
              <w:ind w:left="20"/>
              <w:jc w:val="both"/>
            </w:pPr>
            <w:r>
              <w:rPr>
                <w:rFonts w:ascii="Times New Roman"/>
                <w:b w:val="false"/>
                <w:i w:val="false"/>
                <w:color w:val="000000"/>
                <w:sz w:val="20"/>
              </w:rPr>
              <w:t>
   Штаммы. Используются штаммы</w:t>
            </w:r>
            <w:r>
              <w:rPr>
                <w:rFonts w:ascii="Times New Roman"/>
                <w:b w:val="false"/>
                <w:i/>
                <w:color w:val="000000"/>
                <w:sz w:val="20"/>
              </w:rPr>
              <w:t xml:space="preserve"> Salmonella typhimurium</w:t>
            </w:r>
            <w:r>
              <w:rPr>
                <w:rFonts w:ascii="Times New Roman"/>
                <w:b w:val="false"/>
                <w:i w:val="false"/>
                <w:color w:val="000000"/>
                <w:sz w:val="20"/>
              </w:rPr>
              <w:t xml:space="preserve"> ТА1950, ТА1534.</w:t>
            </w:r>
          </w:p>
          <w:p>
            <w:pPr>
              <w:spacing w:after="20"/>
              <w:ind w:left="20"/>
              <w:jc w:val="both"/>
            </w:pPr>
            <w:r>
              <w:rPr>
                <w:rFonts w:ascii="Times New Roman"/>
                <w:b w:val="false"/>
                <w:i w:val="false"/>
                <w:color w:val="000000"/>
                <w:sz w:val="20"/>
              </w:rPr>
              <w:t>
   Животные: мыши.</w:t>
            </w:r>
          </w:p>
          <w:p>
            <w:pPr>
              <w:spacing w:after="20"/>
              <w:ind w:left="20"/>
              <w:jc w:val="both"/>
            </w:pPr>
            <w:r>
              <w:rPr>
                <w:rFonts w:ascii="Times New Roman"/>
                <w:b w:val="false"/>
                <w:i w:val="false"/>
                <w:color w:val="000000"/>
                <w:sz w:val="20"/>
              </w:rPr>
              <w:t xml:space="preserve">
   Испытывается одна доза препарата. Используется доза /от </w:t>
            </w:r>
            <w:r>
              <w:rPr>
                <w:rFonts w:ascii="Times New Roman"/>
                <w:b w:val="false"/>
                <w:i/>
                <w:color w:val="000000"/>
                <w:sz w:val="20"/>
              </w:rPr>
              <w:t>DL</w:t>
            </w:r>
            <w:r>
              <w:rPr>
                <w:rFonts w:ascii="Times New Roman"/>
                <w:b w:val="false"/>
                <w:i w:val="false"/>
                <w:color w:val="000000"/>
                <w:vertAlign w:val="subscript"/>
              </w:rPr>
              <w:t>50</w:t>
            </w:r>
            <w:r>
              <w:rPr>
                <w:rFonts w:ascii="Times New Roman"/>
                <w:b w:val="false"/>
                <w:i w:val="false"/>
                <w:color w:val="000000"/>
                <w:sz w:val="20"/>
              </w:rPr>
              <w:t xml:space="preserve"> или равная 100-кратной терапевтической дозе для человека. Препараты с антибактериальным действием целесообразно использовать в дозах: /</w:t>
            </w:r>
            <w:r>
              <w:rPr>
                <w:rFonts w:ascii="Times New Roman"/>
                <w:b w:val="false"/>
                <w:i/>
                <w:color w:val="000000"/>
                <w:sz w:val="20"/>
              </w:rPr>
              <w:t>DL</w:t>
            </w:r>
            <w:r>
              <w:rPr>
                <w:rFonts w:ascii="Times New Roman"/>
                <w:b w:val="false"/>
                <w:i w:val="false"/>
                <w:color w:val="000000"/>
                <w:vertAlign w:val="subscript"/>
              </w:rPr>
              <w:t>50</w:t>
            </w:r>
            <w:r>
              <w:rPr>
                <w:rFonts w:ascii="Times New Roman"/>
                <w:b w:val="false"/>
                <w:i w:val="false"/>
                <w:color w:val="000000"/>
                <w:sz w:val="20"/>
              </w:rPr>
              <w:t xml:space="preserve">, 1/10 </w:t>
            </w:r>
            <w:r>
              <w:rPr>
                <w:rFonts w:ascii="Times New Roman"/>
                <w:b w:val="false"/>
                <w:i/>
                <w:color w:val="000000"/>
                <w:sz w:val="20"/>
              </w:rPr>
              <w:t>DL</w:t>
            </w:r>
            <w:r>
              <w:rPr>
                <w:rFonts w:ascii="Times New Roman"/>
                <w:b w:val="false"/>
                <w:i w:val="false"/>
                <w:color w:val="000000"/>
                <w:vertAlign w:val="subscript"/>
              </w:rPr>
              <w:t>5</w:t>
            </w:r>
            <w:r>
              <w:rPr>
                <w:rFonts w:ascii="Times New Roman"/>
                <w:b w:val="false"/>
                <w:i w:val="false"/>
                <w:color w:val="000000"/>
                <w:vertAlign w:val="subscript"/>
              </w:rPr>
              <w:t>0</w:t>
            </w:r>
            <w:r>
              <w:rPr>
                <w:rFonts w:ascii="Times New Roman"/>
                <w:b w:val="false"/>
                <w:i w:val="false"/>
                <w:color w:val="000000"/>
                <w:sz w:val="20"/>
              </w:rPr>
              <w:t xml:space="preserve">, 1/100 </w:t>
            </w:r>
            <w:r>
              <w:rPr>
                <w:rFonts w:ascii="Times New Roman"/>
                <w:b w:val="false"/>
                <w:i/>
                <w:color w:val="000000"/>
                <w:sz w:val="20"/>
              </w:rPr>
              <w:t>DL</w:t>
            </w:r>
            <w:r>
              <w:rPr>
                <w:rFonts w:ascii="Times New Roman"/>
                <w:b w:val="false"/>
                <w:i w:val="false"/>
                <w:color w:val="000000"/>
                <w:vertAlign w:val="subscript"/>
              </w:rPr>
              <w:t>50</w:t>
            </w:r>
            <w:r>
              <w:rPr>
                <w:rFonts w:ascii="Times New Roman"/>
                <w:b w:val="false"/>
                <w:i w:val="false"/>
                <w:color w:val="000000"/>
                <w:sz w:val="20"/>
              </w:rPr>
              <w:t xml:space="preserve"> и 1/1000 </w:t>
            </w:r>
            <w:r>
              <w:rPr>
                <w:rFonts w:ascii="Times New Roman"/>
                <w:b w:val="false"/>
                <w:i/>
                <w:color w:val="000000"/>
                <w:sz w:val="20"/>
              </w:rPr>
              <w:t>DL</w:t>
            </w:r>
            <w:r>
              <w:rPr>
                <w:rFonts w:ascii="Times New Roman"/>
                <w:b w:val="false"/>
                <w:i w:val="false"/>
                <w:color w:val="000000"/>
                <w:vertAlign w:val="subscript"/>
              </w:rPr>
              <w:t>50</w:t>
            </w:r>
            <w:r>
              <w:rPr>
                <w:rFonts w:ascii="Times New Roman"/>
                <w:b w:val="false"/>
                <w:i w:val="false"/>
                <w:color w:val="000000"/>
                <w:sz w:val="20"/>
              </w:rPr>
              <w:t>, чтобы уровень гибели индикаторных бактерий не превышал 90%.</w:t>
            </w:r>
          </w:p>
          <w:p>
            <w:pPr>
              <w:spacing w:after="20"/>
              <w:ind w:left="20"/>
              <w:jc w:val="both"/>
            </w:pPr>
            <w:r>
              <w:rPr>
                <w:rFonts w:ascii="Times New Roman"/>
                <w:b w:val="false"/>
                <w:i w:val="false"/>
                <w:color w:val="000000"/>
                <w:sz w:val="20"/>
              </w:rPr>
              <w:t>
   Путь введения, соответствует способу, рекомендованному для человека.</w:t>
            </w:r>
          </w:p>
          <w:p>
            <w:pPr>
              <w:spacing w:after="20"/>
              <w:ind w:left="20"/>
              <w:jc w:val="both"/>
            </w:pPr>
            <w:r>
              <w:rPr>
                <w:rFonts w:ascii="Times New Roman"/>
                <w:b w:val="false"/>
                <w:i w:val="false"/>
                <w:color w:val="000000"/>
                <w:sz w:val="20"/>
              </w:rPr>
              <w:t>
   Контрольная группа. Необходимо включение в эксперимент групп негативного и позитивного контроля.</w:t>
            </w:r>
          </w:p>
          <w:p>
            <w:pPr>
              <w:spacing w:after="20"/>
              <w:ind w:left="20"/>
              <w:jc w:val="both"/>
            </w:pPr>
            <w:r>
              <w:rPr>
                <w:rFonts w:ascii="Times New Roman"/>
                <w:b w:val="false"/>
                <w:i w:val="false"/>
                <w:color w:val="000000"/>
                <w:sz w:val="20"/>
              </w:rPr>
              <w:t>
   Режим введения. 1 мл культуры бактерий вводится внутрибрюшинно, сразу же после введения культуры вводят изучаемое лекарственное средство. Внутрибрюшинное введение изучаемого препарата делают через 30 минут после введения культуры животному.</w:t>
            </w:r>
          </w:p>
          <w:p>
            <w:pPr>
              <w:spacing w:after="20"/>
              <w:ind w:left="20"/>
              <w:jc w:val="both"/>
            </w:pPr>
            <w:r>
              <w:rPr>
                <w:rFonts w:ascii="Times New Roman"/>
                <w:b w:val="false"/>
                <w:i w:val="false"/>
                <w:color w:val="000000"/>
                <w:sz w:val="20"/>
              </w:rPr>
              <w:t>
   Методика. После 3 часовой инкубации животное умерщвляют разрывом шейного отдела позвоночника, вводят внутрибрюшинно буфер, вскрывают брюшную полость и отбирают из нее бактериальную суспензию. Рассевают суспензию на чашки с селективным агаром для получения числа ревертантов и, после предварительного разведения, на чашки с питательным мясопептонным агаром.</w:t>
            </w:r>
          </w:p>
          <w:p>
            <w:pPr>
              <w:spacing w:after="20"/>
              <w:ind w:left="20"/>
              <w:jc w:val="both"/>
            </w:pPr>
            <w:r>
              <w:rPr>
                <w:rFonts w:ascii="Times New Roman"/>
                <w:b w:val="false"/>
                <w:i w:val="false"/>
                <w:color w:val="000000"/>
                <w:sz w:val="20"/>
              </w:rPr>
              <w:t>
   Представление результатов: исходные данные, включающие число ревертантов на число выживших бактерий; титр бактериальной суспензии; показатель числа ревертантов на мл по данному варианту; показатель частоты индуцированных мутаций с использованием статистического анализа с помощью критерия Уилкоксона.</w:t>
            </w:r>
          </w:p>
          <w:p>
            <w:pPr>
              <w:spacing w:after="20"/>
              <w:ind w:left="20"/>
              <w:jc w:val="both"/>
            </w:pPr>
            <w:r>
              <w:rPr>
                <w:rFonts w:ascii="Times New Roman"/>
                <w:b w:val="false"/>
                <w:i w:val="false"/>
                <w:color w:val="000000"/>
                <w:sz w:val="20"/>
              </w:rPr>
              <w:t>
   5. Учет ДНК-повреждающего действия.</w:t>
            </w:r>
          </w:p>
          <w:p>
            <w:pPr>
              <w:spacing w:after="20"/>
              <w:ind w:left="20"/>
              <w:jc w:val="both"/>
            </w:pPr>
            <w:r>
              <w:rPr>
                <w:rFonts w:ascii="Times New Roman"/>
                <w:b w:val="false"/>
                <w:i w:val="false"/>
                <w:color w:val="000000"/>
                <w:sz w:val="20"/>
              </w:rPr>
              <w:t>
   Штаммы:</w:t>
            </w:r>
            <w:r>
              <w:rPr>
                <w:rFonts w:ascii="Times New Roman"/>
                <w:b w:val="false"/>
                <w:i/>
                <w:color w:val="000000"/>
                <w:sz w:val="20"/>
              </w:rPr>
              <w:t xml:space="preserve"> E. coli</w:t>
            </w:r>
            <w:r>
              <w:rPr>
                <w:rFonts w:ascii="Times New Roman"/>
                <w:b w:val="false"/>
                <w:i w:val="false"/>
                <w:color w:val="000000"/>
                <w:sz w:val="20"/>
              </w:rPr>
              <w:t xml:space="preserve"> WP2 дикого типа и</w:t>
            </w:r>
            <w:r>
              <w:rPr>
                <w:rFonts w:ascii="Times New Roman"/>
                <w:b w:val="false"/>
                <w:i/>
                <w:color w:val="000000"/>
                <w:sz w:val="20"/>
              </w:rPr>
              <w:t xml:space="preserve"> polA,</w:t>
            </w:r>
            <w:r>
              <w:rPr>
                <w:rFonts w:ascii="Times New Roman"/>
                <w:b w:val="false"/>
                <w:i w:val="false"/>
                <w:color w:val="000000"/>
                <w:sz w:val="20"/>
              </w:rPr>
              <w:t xml:space="preserve"> recA-мутантные.</w:t>
            </w:r>
          </w:p>
          <w:p>
            <w:pPr>
              <w:spacing w:after="20"/>
              <w:ind w:left="20"/>
              <w:jc w:val="both"/>
            </w:pPr>
            <w:r>
              <w:rPr>
                <w:rFonts w:ascii="Times New Roman"/>
                <w:b w:val="false"/>
                <w:i w:val="false"/>
                <w:color w:val="000000"/>
                <w:sz w:val="20"/>
              </w:rPr>
              <w:t>
   Дозы. Необходимо испытание 6 доз препарата. Для антибактериальных препаратов используют в качестве минимальной концентрации ту, при которой наблюдается рост мутантных штаммов, а максимальной концентрации - ингибирующую рост бактерий. Промежуточными являются концентрации в 2 и 4 раза меньше максимальной.</w:t>
            </w:r>
          </w:p>
          <w:p>
            <w:pPr>
              <w:spacing w:after="20"/>
              <w:ind w:left="20"/>
              <w:jc w:val="both"/>
            </w:pPr>
            <w:r>
              <w:rPr>
                <w:rFonts w:ascii="Times New Roman"/>
                <w:b w:val="false"/>
                <w:i w:val="false"/>
                <w:color w:val="000000"/>
                <w:sz w:val="20"/>
              </w:rPr>
              <w:t>
   Контрольные группы. Негативный контроль (растворитель) и позитивный контроль – введение соединения, вызывающего ДНК-повреждающий эффект.</w:t>
            </w:r>
          </w:p>
          <w:p>
            <w:pPr>
              <w:spacing w:after="20"/>
              <w:ind w:left="20"/>
              <w:jc w:val="both"/>
            </w:pPr>
            <w:r>
              <w:rPr>
                <w:rFonts w:ascii="Times New Roman"/>
                <w:b w:val="false"/>
                <w:i w:val="false"/>
                <w:color w:val="000000"/>
                <w:sz w:val="20"/>
              </w:rPr>
              <w:t>
   Методика. Культуру жизнеспособных бактерий добавляют к испытуемому химическому соединению и инкубируют при 37</w:t>
            </w:r>
            <w:r>
              <w:rPr>
                <w:rFonts w:ascii="Times New Roman"/>
                <w:b w:val="false"/>
                <w:i w:val="false"/>
                <w:color w:val="000000"/>
                <w:vertAlign w:val="superscript"/>
              </w:rPr>
              <w:t>о</w:t>
            </w:r>
            <w:r>
              <w:rPr>
                <w:rFonts w:ascii="Times New Roman"/>
                <w:b w:val="false"/>
                <w:i w:val="false"/>
                <w:color w:val="000000"/>
                <w:sz w:val="20"/>
              </w:rPr>
              <w:t>С и течение 18 час. Для лучшей видимости роста бактерий в суспензию добавляют индикатор бромкреозол пурпуровый, который изменяет свой цвет от голубого к желтому при изменении рН среды за счет роста бактерий.</w:t>
            </w:r>
          </w:p>
          <w:p>
            <w:pPr>
              <w:spacing w:after="20"/>
              <w:ind w:left="20"/>
              <w:jc w:val="both"/>
            </w:pPr>
            <w:r>
              <w:rPr>
                <w:rFonts w:ascii="Times New Roman"/>
                <w:b w:val="false"/>
                <w:i w:val="false"/>
                <w:color w:val="000000"/>
                <w:sz w:val="20"/>
              </w:rPr>
              <w:t>
   Представление результатов: регистрация наличия или отсутствия роста штамма дикого типа и мутантных бактерии проводится в таблице знаками "+" или "-".</w:t>
            </w:r>
          </w:p>
        </w:tc>
      </w:tr>
      <w:tr>
        <w:trPr>
          <w:trHeight w:val="30" w:hRule="atLeast"/>
        </w:trPr>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канцерогенности</w:t>
            </w:r>
          </w:p>
          <w:p>
            <w:pPr>
              <w:spacing w:after="20"/>
              <w:ind w:left="20"/>
              <w:jc w:val="both"/>
            </w:pPr>
            <w:r>
              <w:rPr>
                <w:rFonts w:ascii="Times New Roman"/>
                <w:b w:val="false"/>
                <w:i w:val="false"/>
                <w:color w:val="000000"/>
                <w:sz w:val="20"/>
              </w:rPr>
              <w:t>
   1. Обязательному тестированию на канцерогенность подвергаются все новые лекарственные средства, со следующими показаниями:</w:t>
            </w:r>
          </w:p>
          <w:p>
            <w:pPr>
              <w:spacing w:after="20"/>
              <w:ind w:left="20"/>
              <w:jc w:val="both"/>
            </w:pPr>
            <w:r>
              <w:rPr>
                <w:rFonts w:ascii="Times New Roman"/>
                <w:b w:val="false"/>
                <w:i w:val="false"/>
                <w:color w:val="000000"/>
                <w:sz w:val="20"/>
              </w:rPr>
              <w:t>
   а) применяемые в качестве профилактических, лечебно-косметических, репеллентных средств и контрацептивов;</w:t>
            </w:r>
          </w:p>
          <w:p>
            <w:pPr>
              <w:spacing w:after="20"/>
              <w:ind w:left="20"/>
              <w:jc w:val="both"/>
            </w:pPr>
            <w:r>
              <w:rPr>
                <w:rFonts w:ascii="Times New Roman"/>
                <w:b w:val="false"/>
                <w:i w:val="false"/>
                <w:color w:val="000000"/>
                <w:sz w:val="20"/>
              </w:rPr>
              <w:t>
   б) предназначенные для применения в течение всей жизни длительными (более 15 дней) повторными курсами;</w:t>
            </w:r>
          </w:p>
          <w:p>
            <w:pPr>
              <w:spacing w:after="20"/>
              <w:ind w:left="20"/>
              <w:jc w:val="both"/>
            </w:pPr>
            <w:r>
              <w:rPr>
                <w:rFonts w:ascii="Times New Roman"/>
                <w:b w:val="false"/>
                <w:i w:val="false"/>
                <w:color w:val="000000"/>
                <w:sz w:val="20"/>
              </w:rPr>
              <w:t>
   в) предназначенные для использования без рецепта врача широкими слоями населения;</w:t>
            </w:r>
          </w:p>
          <w:p>
            <w:pPr>
              <w:spacing w:after="20"/>
              <w:ind w:left="20"/>
              <w:jc w:val="both"/>
            </w:pPr>
            <w:r>
              <w:rPr>
                <w:rFonts w:ascii="Times New Roman"/>
                <w:b w:val="false"/>
                <w:i w:val="false"/>
                <w:color w:val="000000"/>
                <w:sz w:val="20"/>
              </w:rPr>
              <w:t>
   г) предназначенные для применения в детской практике, а также для лечения беременных женщин и в период лактации.</w:t>
            </w:r>
          </w:p>
          <w:p>
            <w:pPr>
              <w:spacing w:after="20"/>
              <w:ind w:left="20"/>
              <w:jc w:val="both"/>
            </w:pPr>
            <w:r>
              <w:rPr>
                <w:rFonts w:ascii="Times New Roman"/>
                <w:b w:val="false"/>
                <w:i w:val="false"/>
                <w:color w:val="000000"/>
                <w:sz w:val="20"/>
              </w:rPr>
              <w:t>
   2. Тестированию канцерогенности не подлежат лекарственные средства:</w:t>
            </w:r>
          </w:p>
          <w:p>
            <w:pPr>
              <w:spacing w:after="20"/>
              <w:ind w:left="20"/>
              <w:jc w:val="both"/>
            </w:pPr>
            <w:r>
              <w:rPr>
                <w:rFonts w:ascii="Times New Roman"/>
                <w:b w:val="false"/>
                <w:i w:val="false"/>
                <w:color w:val="000000"/>
                <w:sz w:val="20"/>
              </w:rPr>
              <w:t>
   а) для лечения злокачественных новообразований у взрослых;</w:t>
            </w:r>
          </w:p>
          <w:p>
            <w:pPr>
              <w:spacing w:after="20"/>
              <w:ind w:left="20"/>
              <w:jc w:val="both"/>
            </w:pPr>
            <w:r>
              <w:rPr>
                <w:rFonts w:ascii="Times New Roman"/>
                <w:b w:val="false"/>
                <w:i w:val="false"/>
                <w:color w:val="000000"/>
                <w:sz w:val="20"/>
              </w:rPr>
              <w:t>
   б) для лечения заболеваний, представляющих непосредственную угрозу для жизни.</w:t>
            </w:r>
          </w:p>
          <w:p>
            <w:pPr>
              <w:spacing w:after="20"/>
              <w:ind w:left="20"/>
              <w:jc w:val="both"/>
            </w:pPr>
            <w:r>
              <w:rPr>
                <w:rFonts w:ascii="Times New Roman"/>
                <w:b w:val="false"/>
                <w:i w:val="false"/>
                <w:color w:val="000000"/>
                <w:sz w:val="20"/>
              </w:rPr>
              <w:t>
   3. Экспериментальные животные. Виды и линии лабораторных животных выбираются с учетом их устойчивости к инфекционным заболеваниям, продолжительностью жизни, спонтанного выхода опухолей, чувствительности к известным канцерогенам. Животные различных видов и линий используются в предварительных испытаниях и в хроническом эксперименте с учетом свойств исследуемого препарата.</w:t>
            </w:r>
          </w:p>
          <w:p>
            <w:pPr>
              <w:spacing w:after="20"/>
              <w:ind w:left="20"/>
              <w:jc w:val="both"/>
            </w:pPr>
            <w:r>
              <w:rPr>
                <w:rFonts w:ascii="Times New Roman"/>
                <w:b w:val="false"/>
                <w:i w:val="false"/>
                <w:color w:val="000000"/>
                <w:sz w:val="20"/>
              </w:rPr>
              <w:t>
   Методы исследования.</w:t>
            </w:r>
          </w:p>
          <w:p>
            <w:pPr>
              <w:spacing w:after="20"/>
              <w:ind w:left="20"/>
              <w:jc w:val="both"/>
            </w:pPr>
            <w:r>
              <w:rPr>
                <w:rFonts w:ascii="Times New Roman"/>
                <w:b w:val="false"/>
                <w:i w:val="false"/>
                <w:color w:val="000000"/>
                <w:sz w:val="20"/>
              </w:rPr>
              <w:t>
   Предварительное изучение. Проводится с целью определения уровней доз для хронического эксперимента.</w:t>
            </w:r>
          </w:p>
          <w:p>
            <w:pPr>
              <w:spacing w:after="20"/>
              <w:ind w:left="20"/>
              <w:jc w:val="both"/>
            </w:pPr>
            <w:r>
              <w:rPr>
                <w:rFonts w:ascii="Times New Roman"/>
                <w:b w:val="false"/>
                <w:i w:val="false"/>
                <w:color w:val="000000"/>
                <w:sz w:val="20"/>
              </w:rPr>
              <w:t>
   Изучение острой токсичности ведется на небольшом числе животных с целью определения доз для субхронического эксперимента. Изучение субхронической токсичности дает возможность выбрать максимально-переносимую дозу (МПД) для проведения хронического эксперимента.</w:t>
            </w:r>
          </w:p>
          <w:p>
            <w:pPr>
              <w:spacing w:after="20"/>
              <w:ind w:left="20"/>
              <w:jc w:val="both"/>
            </w:pPr>
            <w:r>
              <w:rPr>
                <w:rFonts w:ascii="Times New Roman"/>
                <w:b w:val="false"/>
                <w:i w:val="false"/>
                <w:color w:val="000000"/>
                <w:sz w:val="20"/>
              </w:rPr>
              <w:t>
   Животные. Используются мыши, крысы, хомячки. Изучение проводится на 2-х видах животных обоего пола, здоровых, 6-8 недельного возраста.</w:t>
            </w:r>
          </w:p>
          <w:p>
            <w:pPr>
              <w:spacing w:after="20"/>
              <w:ind w:left="20"/>
              <w:jc w:val="both"/>
            </w:pPr>
            <w:r>
              <w:rPr>
                <w:rFonts w:ascii="Times New Roman"/>
                <w:b w:val="false"/>
                <w:i w:val="false"/>
                <w:color w:val="000000"/>
                <w:sz w:val="20"/>
              </w:rPr>
              <w:t>
   Число животных: Группы включают по 10 животных обоего пола.</w:t>
            </w:r>
          </w:p>
          <w:p>
            <w:pPr>
              <w:spacing w:after="20"/>
              <w:ind w:left="20"/>
              <w:jc w:val="both"/>
            </w:pPr>
            <w:r>
              <w:rPr>
                <w:rFonts w:ascii="Times New Roman"/>
                <w:b w:val="false"/>
                <w:i w:val="false"/>
                <w:color w:val="000000"/>
                <w:sz w:val="20"/>
              </w:rPr>
              <w:t>
   Путь введения. Вещество вводится тем же способом, что и в хроническом эксперименте. Пероральное введение препарата проводится зондом. Возможно смешение исследуемого препарата с пищей или водой. Содержание изучаемого лекарственного средства в пище не превышает 5%. Введение изучаемого лекарственного средства с пищей или питьевой водой рассчитывается индивидуально на каждое животное после предварительного изучения стабильности препарата в указанных условиях.</w:t>
            </w:r>
          </w:p>
          <w:p>
            <w:pPr>
              <w:spacing w:after="20"/>
              <w:ind w:left="20"/>
              <w:jc w:val="both"/>
            </w:pPr>
            <w:r>
              <w:rPr>
                <w:rFonts w:ascii="Times New Roman"/>
                <w:b w:val="false"/>
                <w:i w:val="false"/>
                <w:color w:val="000000"/>
                <w:sz w:val="20"/>
              </w:rPr>
              <w:t>
   Уровень доз. Используется не менее трех доз. Высокая доза вызывает некоторые признаки токсического действия, минимальная не обладает подобным эффектом.</w:t>
            </w:r>
          </w:p>
          <w:p>
            <w:pPr>
              <w:spacing w:after="20"/>
              <w:ind w:left="20"/>
              <w:jc w:val="both"/>
            </w:pPr>
            <w:r>
              <w:rPr>
                <w:rFonts w:ascii="Times New Roman"/>
                <w:b w:val="false"/>
                <w:i w:val="false"/>
                <w:color w:val="000000"/>
                <w:sz w:val="20"/>
              </w:rPr>
              <w:t>
   Режим сведения. Вещество вводится в течение 90 дней, ежедневно. В случае проявления кумулятивного эффекта, продолжительность введения увеличивается.</w:t>
            </w:r>
          </w:p>
          <w:p>
            <w:pPr>
              <w:spacing w:after="20"/>
              <w:ind w:left="20"/>
              <w:jc w:val="both"/>
            </w:pPr>
            <w:r>
              <w:rPr>
                <w:rFonts w:ascii="Times New Roman"/>
                <w:b w:val="false"/>
                <w:i w:val="false"/>
                <w:color w:val="000000"/>
                <w:sz w:val="20"/>
              </w:rPr>
              <w:t>
   Экспериментальные исследования: ежедневный осмотр всех животных; ежедневное взвешивание всех животных; макро- и микроскопическое изучение всех органов и тканей павших животных и умерщвленных в конце эксперимента.</w:t>
            </w:r>
          </w:p>
          <w:p>
            <w:pPr>
              <w:spacing w:after="20"/>
              <w:ind w:left="20"/>
              <w:jc w:val="both"/>
            </w:pPr>
            <w:r>
              <w:rPr>
                <w:rFonts w:ascii="Times New Roman"/>
                <w:b w:val="false"/>
                <w:i w:val="false"/>
                <w:color w:val="000000"/>
                <w:sz w:val="20"/>
              </w:rPr>
              <w:t>
   Представление результатов: максимальная доза в хроническом эксперименте соответствует дозе, вызывающей в подостром опыте снижение прироста массы тела животных не более, чем на 10% по сравнению с контролем; максимальная доза определяется для каждого вида животных обоего пола.</w:t>
            </w:r>
          </w:p>
          <w:p>
            <w:pPr>
              <w:spacing w:after="20"/>
              <w:ind w:left="20"/>
              <w:jc w:val="both"/>
            </w:pPr>
            <w:r>
              <w:rPr>
                <w:rFonts w:ascii="Times New Roman"/>
                <w:b w:val="false"/>
                <w:i w:val="false"/>
                <w:color w:val="000000"/>
                <w:sz w:val="20"/>
              </w:rPr>
              <w:t>
   4. Изучение канцерогенности в хроническом эксперименте.</w:t>
            </w:r>
          </w:p>
          <w:p>
            <w:pPr>
              <w:spacing w:after="20"/>
              <w:ind w:left="20"/>
              <w:jc w:val="both"/>
            </w:pPr>
            <w:r>
              <w:rPr>
                <w:rFonts w:ascii="Times New Roman"/>
                <w:b w:val="false"/>
                <w:i w:val="false"/>
                <w:color w:val="000000"/>
                <w:sz w:val="20"/>
              </w:rPr>
              <w:t>
   Животные. Используются не менее двух видов животных обоего пола 6-8 недельного возраста.</w:t>
            </w:r>
          </w:p>
          <w:p>
            <w:pPr>
              <w:spacing w:after="20"/>
              <w:ind w:left="20"/>
              <w:jc w:val="both"/>
            </w:pPr>
            <w:r>
              <w:rPr>
                <w:rFonts w:ascii="Times New Roman"/>
                <w:b w:val="false"/>
                <w:i w:val="false"/>
                <w:color w:val="000000"/>
                <w:sz w:val="20"/>
              </w:rPr>
              <w:t>
   Число животных. Группы состоят не менее, чем из 50 животных обоего пола. Каждая группа рандомизируется в соответствии с массой тела.</w:t>
            </w:r>
          </w:p>
          <w:p>
            <w:pPr>
              <w:spacing w:after="20"/>
              <w:ind w:left="20"/>
              <w:jc w:val="both"/>
            </w:pPr>
            <w:r>
              <w:rPr>
                <w:rFonts w:ascii="Times New Roman"/>
                <w:b w:val="false"/>
                <w:i w:val="false"/>
                <w:color w:val="000000"/>
                <w:sz w:val="20"/>
              </w:rPr>
              <w:t>
   Путь введения. Путь введения соответствует клиническому назначению препарата. Пероральное введение препарата проводится зондом. Возможно смешение исследуемого препарата с пищей или водой. Содержание изучаемого лекарственного средства в пище не превышает 5%. Введение изучаемого лекарственного средства с пищей или питьевой водой рассчитывается индивидуально на каждое животное после предварительного изучения стабильности препарата в указанных условиях.</w:t>
            </w:r>
          </w:p>
          <w:p>
            <w:pPr>
              <w:spacing w:after="20"/>
              <w:ind w:left="20"/>
              <w:jc w:val="both"/>
            </w:pPr>
            <w:r>
              <w:rPr>
                <w:rFonts w:ascii="Times New Roman"/>
                <w:b w:val="false"/>
                <w:i w:val="false"/>
                <w:color w:val="000000"/>
                <w:sz w:val="20"/>
              </w:rPr>
              <w:t>
   Уровень доз. Подопытные группы получают не менее 3-х уровней доз для самцов и самок на фоне соответствующих контрольных групп. Максимальная доза определяется по результатам предварительного эксперимента. Минимальная доза соответствует среднеэффективной дозе для конкретного вида животных, используемого в хроническом эксперименте. Желательно определение средней дозы по принципу геометрической прогрессии.</w:t>
            </w:r>
          </w:p>
          <w:p>
            <w:pPr>
              <w:spacing w:after="20"/>
              <w:ind w:left="20"/>
              <w:jc w:val="both"/>
            </w:pPr>
            <w:r>
              <w:rPr>
                <w:rFonts w:ascii="Times New Roman"/>
                <w:b w:val="false"/>
                <w:i w:val="false"/>
                <w:color w:val="000000"/>
                <w:sz w:val="20"/>
              </w:rPr>
              <w:t>
   Контрольные группы. Негативный и интактный контроль.</w:t>
            </w:r>
          </w:p>
          <w:p>
            <w:pPr>
              <w:spacing w:after="20"/>
              <w:ind w:left="20"/>
              <w:jc w:val="both"/>
            </w:pPr>
            <w:r>
              <w:rPr>
                <w:rFonts w:ascii="Times New Roman"/>
                <w:b w:val="false"/>
                <w:i w:val="false"/>
                <w:color w:val="000000"/>
                <w:sz w:val="20"/>
              </w:rPr>
              <w:t>
   Продолжительность введения. Не менее 24 месяцев и не более 30 месяцев для крыс, не менее 18 месяцев и не более 24 месяцев для мышей и хомячков при ежедневном, введении.</w:t>
            </w:r>
          </w:p>
          <w:p>
            <w:pPr>
              <w:spacing w:after="20"/>
              <w:ind w:left="20"/>
              <w:jc w:val="both"/>
            </w:pPr>
            <w:r>
              <w:rPr>
                <w:rFonts w:ascii="Times New Roman"/>
                <w:b w:val="false"/>
                <w:i w:val="false"/>
                <w:color w:val="000000"/>
                <w:sz w:val="20"/>
              </w:rPr>
              <w:t>
   Период наблюдения. Изучение заканчивается через 2-3 месяца после окончания введения препарата. Если смертность от кумуляции превышает 75% от малой дозы, то все выжившие животные умерщвляются и изучение прекращается. Смертность от интеркуррентных заболеваний составляет в пределах 50% после 24 месяцев введения препарата для крыс и 18 месяцев для мышей и хомячков. Потеря животных в течение эксперимента от каннибализма не превышает 10% от общего числа в группе.</w:t>
            </w:r>
          </w:p>
          <w:p>
            <w:pPr>
              <w:spacing w:after="20"/>
              <w:ind w:left="20"/>
              <w:jc w:val="both"/>
            </w:pPr>
            <w:r>
              <w:rPr>
                <w:rFonts w:ascii="Times New Roman"/>
                <w:b w:val="false"/>
                <w:i w:val="false"/>
                <w:color w:val="000000"/>
                <w:sz w:val="20"/>
              </w:rPr>
              <w:t>
   Экспериментальные исследования: ежедневный осмотр всех животных в каждой группе; еженедельное взвешивание в первые 3 месяца ведения, в последующие сроки 1 раз в 4 недели; вскрытие, макроскопическое изучение и гистологическое исследование органов и тканей всех павших животных.</w:t>
            </w:r>
          </w:p>
          <w:p>
            <w:pPr>
              <w:spacing w:after="20"/>
              <w:ind w:left="20"/>
              <w:jc w:val="both"/>
            </w:pPr>
            <w:r>
              <w:rPr>
                <w:rFonts w:ascii="Times New Roman"/>
                <w:b w:val="false"/>
                <w:i w:val="false"/>
                <w:color w:val="000000"/>
                <w:sz w:val="20"/>
              </w:rPr>
              <w:t>
   Обязательно макроскопическое исследование всех органов и тканей. Гистологическому исследованию подвергаются следующие органы и ткани: кожа, молочные железы, лимфатические узлы, слюнные железы, грудина, костный мозг, тимус, трахея, легкие, сердце, щитовидная и паращитовидная железа, язык, пищевод, желудок, 12-перстная кишка, печень, поджелудочная железа, селезенка, почки, надпочечники, мочевой пузырь, семенные пузырьки, простата, яички, яичники, матка, влагалище, глаза, мозг, гипофиз, спинной мозг и другие органы и ткани с выраженными макроскопическими изменениями.</w:t>
            </w:r>
          </w:p>
          <w:p>
            <w:pPr>
              <w:spacing w:after="20"/>
              <w:ind w:left="20"/>
              <w:jc w:val="both"/>
            </w:pPr>
            <w:r>
              <w:rPr>
                <w:rFonts w:ascii="Times New Roman"/>
                <w:b w:val="false"/>
                <w:i w:val="false"/>
                <w:color w:val="000000"/>
                <w:sz w:val="20"/>
              </w:rPr>
              <w:t>
   Умирающие и больные животные изолируются, умертвляются, подвергаются вскрытию, описывается макроскопически, органы и ткани подвергнуты гистологическому исследованию. Выявленные изменения в виде опухолей включаются в описание повреждений, исследованы макроскопически и гистологически. По возможности, желательно провести анализ крови.</w:t>
            </w:r>
          </w:p>
          <w:p>
            <w:pPr>
              <w:spacing w:after="20"/>
              <w:ind w:left="20"/>
              <w:jc w:val="both"/>
            </w:pPr>
            <w:r>
              <w:rPr>
                <w:rFonts w:ascii="Times New Roman"/>
                <w:b w:val="false"/>
                <w:i w:val="false"/>
                <w:color w:val="000000"/>
                <w:sz w:val="20"/>
              </w:rPr>
              <w:t>
   При окончании исследования все выжившие в каждой группе умерщвляются, подвергаются вскрытию, макроскопическому обследованию. Гистологическое изучение всех органов проводится для всех животных, получавших большую дозу, и контрольной группы. При обнаружении существенных различий в частоте возникновения опухолей под влиянием большой дозы по сравнению с контролем, гистологическому исследованию подвергаются все органы и ткани животных других подопытных групп.</w:t>
            </w:r>
          </w:p>
          <w:p>
            <w:pPr>
              <w:spacing w:after="20"/>
              <w:ind w:left="20"/>
              <w:jc w:val="both"/>
            </w:pPr>
            <w:r>
              <w:rPr>
                <w:rFonts w:ascii="Times New Roman"/>
                <w:b w:val="false"/>
                <w:i w:val="false"/>
                <w:color w:val="000000"/>
                <w:sz w:val="20"/>
              </w:rPr>
              <w:t xml:space="preserve">
   Классы токсичности веществ в соответствии с модифицированной классификацией                    Организации экономического содействия и развития </w:t>
            </w:r>
            <w:r>
              <w:rPr>
                <w:rFonts w:ascii="Times New Roman"/>
                <w:b w:val="false"/>
                <w:i/>
                <w:color w:val="000000"/>
                <w:sz w:val="20"/>
              </w:rPr>
              <w:t>(OECD)</w:t>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77"/>
              <w:gridCol w:w="1872"/>
              <w:gridCol w:w="2014"/>
              <w:gridCol w:w="2015"/>
              <w:gridCol w:w="1802"/>
              <w:gridCol w:w="1589"/>
              <w:gridCol w:w="2112"/>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токсичности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CL50, ppm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Внутрижелудочно</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Накожно</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Внутрибрюшинно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Чрезвычайно токсично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Высокотоксично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токсично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Малотоксично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 нетоксично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2001Ғ5000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безвредно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надлежащей лабораторной</w:t>
            </w:r>
            <w:r>
              <w:br/>
            </w:r>
            <w:r>
              <w:rPr>
                <w:rFonts w:ascii="Times New Roman"/>
                <w:b w:val="false"/>
                <w:i w:val="false"/>
                <w:color w:val="000000"/>
                <w:sz w:val="20"/>
              </w:rPr>
              <w:t>практики 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1789"/>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Руководство по применению Стандарта для организации и проведения многоцентровых исследований</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положения.</w:t>
            </w:r>
          </w:p>
          <w:p>
            <w:pPr>
              <w:spacing w:after="20"/>
              <w:ind w:left="20"/>
              <w:jc w:val="both"/>
            </w:pPr>
            <w:r>
              <w:rPr>
                <w:rFonts w:ascii="Times New Roman"/>
                <w:b w:val="false"/>
                <w:i w:val="false"/>
                <w:color w:val="000000"/>
                <w:sz w:val="20"/>
              </w:rPr>
              <w:t>
   Решение о проведении многоцентрового исследования рассматривается спонсором после консультирования с руководством испытательной лаборатории, выбранной спонсором перед запуском исследования. Использование многочисленных испытательных площадок усложняет структуру исследования и задачи руководства, что приводит к дополнительным рискам для целостности исследования. Поэтому важно оценить все потенциальные угрозы, которые представляет многоцентровая конфигурация для целостности исследования, разъяснить обязанности и свести к минимуму риски. Следует всесторонне изучить техническую, научную экспертизу, статус соответствия Стандарту, ресурсы и коммерческую жизнеспособность всех испытательных площадок, которые будут задействованы в исследовании.</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Связь</w:t>
            </w:r>
          </w:p>
          <w:p>
            <w:pPr>
              <w:spacing w:after="20"/>
              <w:ind w:left="20"/>
              <w:jc w:val="both"/>
            </w:pPr>
            <w:r>
              <w:rPr>
                <w:rFonts w:ascii="Times New Roman"/>
                <w:b w:val="false"/>
                <w:i w:val="false"/>
                <w:color w:val="000000"/>
                <w:sz w:val="20"/>
              </w:rPr>
              <w:t>
   2.1. Обязательным условием успешного проведения многоцентрового исследования является осведомленность всех сторон о своих обязанностях. Чтобы распределить эти обязанности и справиться с какими-либо событиями во время проведения исследования, крайне важно наладить поток информации и эффективную связь между спонсором, руководством на площадках, руководителем исследования, ведущим исследователем, СОК и персоналом исследования.</w:t>
            </w:r>
          </w:p>
          <w:p>
            <w:pPr>
              <w:spacing w:after="20"/>
              <w:ind w:left="20"/>
              <w:jc w:val="both"/>
            </w:pPr>
            <w:r>
              <w:rPr>
                <w:rFonts w:ascii="Times New Roman"/>
                <w:b w:val="false"/>
                <w:i w:val="false"/>
                <w:color w:val="000000"/>
                <w:sz w:val="20"/>
              </w:rPr>
              <w:t>
   2.2. Механизм связи для информации, связанной с исследованием, предварительно и документально согласовывается между этими сторонами.</w:t>
            </w:r>
          </w:p>
          <w:p>
            <w:pPr>
              <w:spacing w:after="20"/>
              <w:ind w:left="20"/>
              <w:jc w:val="both"/>
            </w:pPr>
            <w:r>
              <w:rPr>
                <w:rFonts w:ascii="Times New Roman"/>
                <w:b w:val="false"/>
                <w:i w:val="false"/>
                <w:color w:val="000000"/>
                <w:sz w:val="20"/>
              </w:rPr>
              <w:t>
   2.3. Руководитель исследования получает информацию о ходе исследования на всех площадках.</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Руководство исследованием</w:t>
            </w:r>
          </w:p>
          <w:p>
            <w:pPr>
              <w:spacing w:after="20"/>
              <w:ind w:left="20"/>
              <w:jc w:val="both"/>
            </w:pPr>
            <w:r>
              <w:rPr>
                <w:rFonts w:ascii="Times New Roman"/>
                <w:b w:val="false"/>
                <w:i w:val="false"/>
                <w:color w:val="000000"/>
                <w:sz w:val="20"/>
              </w:rPr>
              <w:t>
   3.3. Спонсор назначает исследование для испытательной лаборатории. Руководство испытательной лаборатории назначает руководителя исследования, которому необязательно находиться на площадке, где проводиться большая часть экспериментальной работы. Решение о проведении работ по исследованию на других площадках обычно принимается руководством испытательной лаборатории после консультации с руководителем исследования и спонсором, если это необходимо.</w:t>
            </w:r>
          </w:p>
          <w:p>
            <w:pPr>
              <w:spacing w:after="20"/>
              <w:ind w:left="20"/>
              <w:jc w:val="both"/>
            </w:pPr>
            <w:r>
              <w:rPr>
                <w:rFonts w:ascii="Times New Roman"/>
                <w:b w:val="false"/>
                <w:i w:val="false"/>
                <w:color w:val="000000"/>
                <w:sz w:val="20"/>
              </w:rPr>
              <w:t>
   3.4. Если руководитель исследования не выполняет свои обязанности в испытательной площадке по причине ее географической или организационной отдаленности, возникает необходимость назначить ведущего исследователя на испытательной площадке. Исполнение обязанностей невыполнимо по причине временных затрат на проезд, часовых поясов или задержек с языковым переводом. Географическая отдаленность относится к расстоянию или необходимости одновременно уделять внимание более чем одному месту нахождения.</w:t>
            </w:r>
          </w:p>
          <w:p>
            <w:pPr>
              <w:spacing w:after="20"/>
              <w:ind w:left="20"/>
              <w:jc w:val="both"/>
            </w:pPr>
            <w:r>
              <w:rPr>
                <w:rFonts w:ascii="Times New Roman"/>
                <w:b w:val="false"/>
                <w:i w:val="false"/>
                <w:color w:val="000000"/>
                <w:sz w:val="20"/>
              </w:rPr>
              <w:t>
   3.5. Руководству испытательной лаборатории следует способствовать трудовым взаимоотношениям с руководством испытательной площадки с целью обеспечения целостности исследования. Предпочтения различных участвующих групп либо коммерческие договоры и соглашения о конфиденциальности не могут препятствовать обмену информацией, необходимой для надлежащего проведения исследования.</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Обязанности персонала</w:t>
            </w:r>
          </w:p>
          <w:p>
            <w:pPr>
              <w:spacing w:after="20"/>
              <w:ind w:left="20"/>
              <w:jc w:val="both"/>
            </w:pPr>
            <w:r>
              <w:rPr>
                <w:rFonts w:ascii="Times New Roman"/>
                <w:b w:val="false"/>
                <w:i w:val="false"/>
                <w:color w:val="000000"/>
                <w:sz w:val="20"/>
              </w:rPr>
              <w:t>
   4.3. Спонсор</w:t>
            </w:r>
          </w:p>
          <w:p>
            <w:pPr>
              <w:spacing w:after="20"/>
              <w:ind w:left="20"/>
              <w:jc w:val="both"/>
            </w:pPr>
            <w:r>
              <w:rPr>
                <w:rFonts w:ascii="Times New Roman"/>
                <w:b w:val="false"/>
                <w:i w:val="false"/>
                <w:color w:val="000000"/>
                <w:sz w:val="20"/>
              </w:rPr>
              <w:t xml:space="preserve">
   4.3.1. Спонсор в соответствии с приложением 5 к Стандарту внимательно изучает решение о проведении многоцентрового исследования после консультации с руководством испытательной лаборатории до запуска исследования. Спонсору следует определить, требуется ли соответствие Стандарту и применяемому законодательству. Спонсору следует понимать, что в результате многоцентрового исследования будет составлен один заключительный отчет. </w:t>
            </w:r>
          </w:p>
          <w:p>
            <w:pPr>
              <w:spacing w:after="20"/>
              <w:ind w:left="20"/>
              <w:jc w:val="both"/>
            </w:pPr>
            <w:r>
              <w:rPr>
                <w:rFonts w:ascii="Times New Roman"/>
                <w:b w:val="false"/>
                <w:i w:val="false"/>
                <w:color w:val="000000"/>
                <w:sz w:val="20"/>
              </w:rPr>
              <w:t>
   4.3.2. Спонсору следует быть осведомленным о том, что если площадка действует в качестве испытательной лаборатории, выполняя фазу многоцентрового исследования, ее операции и персонал, задействованный в исследовании, подлежат контролю со стороны руководителя исследования. В зависимости от ситуации, включает визиты руководства испытательной лаборатории, руководителя исследования и (или) инспекции главного специалиста по ОК. Руководитель исследования указывает, в каком объеме исследование соответствует Стандарту, включая любую работу, проводимую спонсором.</w:t>
            </w:r>
          </w:p>
          <w:p>
            <w:pPr>
              <w:spacing w:after="20"/>
              <w:ind w:left="20"/>
              <w:jc w:val="both"/>
            </w:pPr>
            <w:r>
              <w:rPr>
                <w:rFonts w:ascii="Times New Roman"/>
                <w:b w:val="false"/>
                <w:i w:val="false"/>
                <w:color w:val="000000"/>
                <w:sz w:val="20"/>
              </w:rPr>
              <w:t>
   4.4. Руководство испытательной лаборатории</w:t>
            </w:r>
          </w:p>
          <w:p>
            <w:pPr>
              <w:spacing w:after="20"/>
              <w:ind w:left="20"/>
              <w:jc w:val="both"/>
            </w:pPr>
            <w:r>
              <w:rPr>
                <w:rFonts w:ascii="Times New Roman"/>
                <w:b w:val="false"/>
                <w:i w:val="false"/>
                <w:color w:val="000000"/>
                <w:sz w:val="20"/>
              </w:rPr>
              <w:t>
   Руководство испытательной лаборатории одобряет выбор испытательных площадок. Рассматриваемые вопросы, помимо прочего, включают практичность установления связи, соответствие мероприятий СОК и наличие подходящего оборудования и экспертизы. Руководство испытательной лаборатории назначает главного специалиста по ОК, который несет общую ответственность за ОК всего исследования. Руководство испытательной лаборатории информирует все подразделения ОК испытательных площадок о месте нахождения главного специалиста по ОК. Использование испытательной площадки оформляется документально. Руководство испытательной лаборатории уведомляет руководство испытательной площадки о том, что она при необходимости подвергнется инспекции уполномоченного органа страны, где находится испытательная площадка. Если в этой стране нет уполномоченного органа, испытательная площадка подвергнется инспекции уполномоченного органа страны, в которой была подана заявка на исследование.</w:t>
            </w:r>
          </w:p>
          <w:p>
            <w:pPr>
              <w:spacing w:after="20"/>
              <w:ind w:left="20"/>
              <w:jc w:val="both"/>
            </w:pPr>
            <w:r>
              <w:rPr>
                <w:rFonts w:ascii="Times New Roman"/>
                <w:b w:val="false"/>
                <w:i w:val="false"/>
                <w:color w:val="000000"/>
                <w:sz w:val="20"/>
              </w:rPr>
              <w:t>
   4.5. Руководство испытательной площадки</w:t>
            </w:r>
          </w:p>
          <w:p>
            <w:pPr>
              <w:spacing w:after="20"/>
              <w:ind w:left="20"/>
              <w:jc w:val="both"/>
            </w:pPr>
            <w:r>
              <w:rPr>
                <w:rFonts w:ascii="Times New Roman"/>
                <w:b w:val="false"/>
                <w:i w:val="false"/>
                <w:color w:val="000000"/>
                <w:sz w:val="20"/>
              </w:rPr>
              <w:t>
   Руководство испытательной площадки несет ответственность за предоставление соответствующих ресурсов для площадки и за выбор ведущего исследователя с надлежащей квалификацией. Если возникает необходимость заменить ведущего исследователя, руководство испытательной площадки назначает заместителя ведущего исследователя после консультации со спонсором, руководителем исследования и руководством испытательной лаборатории, если это необходимо. Подробные сведения представляются руководителю исследования своевременно, чтобы принять поправку к протоколу, плану, программе исследования. Заместитель ведущего исследователя оценивает статус соответствия Стандарту работы, выполненной до времени его замены.</w:t>
            </w:r>
          </w:p>
          <w:p>
            <w:pPr>
              <w:spacing w:after="20"/>
              <w:ind w:left="20"/>
              <w:jc w:val="both"/>
            </w:pPr>
            <w:r>
              <w:rPr>
                <w:rFonts w:ascii="Times New Roman"/>
                <w:b w:val="false"/>
                <w:i w:val="false"/>
                <w:color w:val="000000"/>
                <w:sz w:val="20"/>
              </w:rPr>
              <w:t>
   4.6. Руководитель исследования</w:t>
            </w:r>
          </w:p>
          <w:p>
            <w:pPr>
              <w:spacing w:after="20"/>
              <w:ind w:left="20"/>
              <w:jc w:val="both"/>
            </w:pPr>
            <w:r>
              <w:rPr>
                <w:rFonts w:ascii="Times New Roman"/>
                <w:b w:val="false"/>
                <w:i w:val="false"/>
                <w:color w:val="000000"/>
                <w:sz w:val="20"/>
              </w:rPr>
              <w:t>
   4.6.1. Руководитель исследования обеспечивает приемлемость выбранных испытательных площадок. Для этого требуются визиты на испытательные площадки и встречи с персоналом испытательных площадок.</w:t>
            </w:r>
          </w:p>
          <w:p>
            <w:pPr>
              <w:spacing w:after="20"/>
              <w:ind w:left="20"/>
              <w:jc w:val="both"/>
            </w:pPr>
            <w:r>
              <w:rPr>
                <w:rFonts w:ascii="Times New Roman"/>
                <w:b w:val="false"/>
                <w:i w:val="false"/>
                <w:color w:val="000000"/>
                <w:sz w:val="20"/>
              </w:rPr>
              <w:t>
   4.6.2. Если руководитель исследования считает, что он (она), сам (сама) возможным напрямую контролировать работу, которая выполняется на одной из испытательных площадок, без необходимости назначения ведущего исследователя, он (она) извещает руководство испытательной лаборатории о такой возможности. Руководство испытательной лаборатории обеспечивает организацию соответствующего мониторинга ОК на этой площадке. Это выполняется отдел ОК самой испытательной площадки или главный специалист по ОК.</w:t>
            </w:r>
          </w:p>
          <w:p>
            <w:pPr>
              <w:spacing w:after="20"/>
              <w:ind w:left="20"/>
              <w:jc w:val="both"/>
            </w:pPr>
            <w:r>
              <w:rPr>
                <w:rFonts w:ascii="Times New Roman"/>
                <w:b w:val="false"/>
                <w:i w:val="false"/>
                <w:color w:val="000000"/>
                <w:sz w:val="20"/>
              </w:rPr>
              <w:t>
   4.6.3. Руководитель исследования несет ответственность за утверждение протокола, плана, программы исследования, включая объединение частей работы ведущих исследователей. Руководитель исследования одобряет и вносит поправки и признает отклонения от протокола, плана, программы исследования, включая соответствующие работы, выполняемые на местах. Руководитель исследования несет ответственность за точное информирование всего персонала о требованиях к исследованию и обеспечивает доступность протокола, плана, программы исследования и поправок для всего соответствующего персонала.</w:t>
            </w:r>
          </w:p>
          <w:p>
            <w:pPr>
              <w:spacing w:after="20"/>
              <w:ind w:left="20"/>
              <w:jc w:val="both"/>
            </w:pPr>
            <w:r>
              <w:rPr>
                <w:rFonts w:ascii="Times New Roman"/>
                <w:b w:val="false"/>
                <w:i w:val="false"/>
                <w:color w:val="000000"/>
                <w:sz w:val="20"/>
              </w:rPr>
              <w:t>
   4.6.4. Руководитель исследования устанавливает, проводить тестирование и техническое обслуживание систем связи между ним самим и каждым ведущим исследователем. В случае географической отдаленности друг от друга, требуется учитывать разницу в часовых поясах. Руководитель исследования поддерживает прямой контакт с каждым ведущим исследователем, а не через посредника, кроме случаев, когда это невозможно (например, необходимость в языковых переводчиках).</w:t>
            </w:r>
          </w:p>
          <w:p>
            <w:pPr>
              <w:spacing w:after="20"/>
              <w:ind w:left="20"/>
              <w:jc w:val="both"/>
            </w:pPr>
            <w:r>
              <w:rPr>
                <w:rFonts w:ascii="Times New Roman"/>
                <w:b w:val="false"/>
                <w:i w:val="false"/>
                <w:color w:val="000000"/>
                <w:sz w:val="20"/>
              </w:rPr>
              <w:t>
    4.6.5. На протяжении всего исследования руководитель исследования будет доступен для ведущих исследователей. Руководитель исследования содействует координированию и согласованию по времени событий и перемещению проб, образцов или данных между площадками, и обеспечить, чтобы ведущие исследователи понимали последовательность процедур хранения.</w:t>
            </w:r>
          </w:p>
          <w:p>
            <w:pPr>
              <w:spacing w:after="20"/>
              <w:ind w:left="20"/>
              <w:jc w:val="both"/>
            </w:pPr>
            <w:r>
              <w:rPr>
                <w:rFonts w:ascii="Times New Roman"/>
                <w:b w:val="false"/>
                <w:i w:val="false"/>
                <w:color w:val="000000"/>
                <w:sz w:val="20"/>
              </w:rPr>
              <w:t>
   4.6.6. Руководитель исследования поддерживает контакт с ведущими исследователями относительно результатов инспектирования СОК испытательных площадок, если необходимо. Все контакты, касающиеся этих результатов, между руководителем исследования и ведущими исследователями или СОК испытательной площадки оформляется документально.</w:t>
            </w:r>
          </w:p>
          <w:p>
            <w:pPr>
              <w:spacing w:after="20"/>
              <w:ind w:left="20"/>
              <w:jc w:val="both"/>
            </w:pPr>
            <w:r>
              <w:rPr>
                <w:rFonts w:ascii="Times New Roman"/>
                <w:b w:val="false"/>
                <w:i w:val="false"/>
                <w:color w:val="000000"/>
                <w:sz w:val="20"/>
              </w:rPr>
              <w:t>
   4.6.7. Руководитель исследования обеспечивает подготовку заключительного отчета с учетом материалов, подготовленных ведущими исследователями.</w:t>
            </w:r>
          </w:p>
          <w:p>
            <w:pPr>
              <w:spacing w:after="20"/>
              <w:ind w:left="20"/>
              <w:jc w:val="both"/>
            </w:pPr>
            <w:r>
              <w:rPr>
                <w:rFonts w:ascii="Times New Roman"/>
                <w:b w:val="false"/>
                <w:i w:val="false"/>
                <w:color w:val="000000"/>
                <w:sz w:val="20"/>
              </w:rPr>
              <w:t>
   4.6.8. Руководителю исследования следует обеспечить, чтобы заключительный отчет был представлен главному специалисту по ОК для инспекции. Руководитель исследования подписывает заключительный отчет и ставит на нем дату, чтобы подтвердить, что принимает на себя ответственность за точность данных и указать, в каком объеме исследование соответствует Стандарту. Это частично основывывается на письменных гарантиях, представленных ведущим исследователем.</w:t>
            </w:r>
          </w:p>
          <w:p>
            <w:pPr>
              <w:spacing w:after="20"/>
              <w:ind w:left="20"/>
              <w:jc w:val="both"/>
            </w:pPr>
            <w:r>
              <w:rPr>
                <w:rFonts w:ascii="Times New Roman"/>
                <w:b w:val="false"/>
                <w:i w:val="false"/>
                <w:color w:val="000000"/>
                <w:sz w:val="20"/>
              </w:rPr>
              <w:t>
   4.6.9. На площадках, где ведущий исследователь не назначен, руководитель исследования контактирует напрямую с персоналом, проводящим работу на этих площадках. Этот персонал обозначается в протоколе, плане, программе исследования.</w:t>
            </w:r>
          </w:p>
          <w:p>
            <w:pPr>
              <w:spacing w:after="20"/>
              <w:ind w:left="20"/>
              <w:jc w:val="both"/>
            </w:pPr>
            <w:r>
              <w:rPr>
                <w:rFonts w:ascii="Times New Roman"/>
                <w:b w:val="false"/>
                <w:i w:val="false"/>
                <w:color w:val="000000"/>
                <w:sz w:val="20"/>
              </w:rPr>
              <w:t>
   4.7. Ведущий исследователь</w:t>
            </w:r>
          </w:p>
          <w:p>
            <w:pPr>
              <w:spacing w:after="20"/>
              <w:ind w:left="20"/>
              <w:jc w:val="both"/>
            </w:pPr>
            <w:r>
              <w:rPr>
                <w:rFonts w:ascii="Times New Roman"/>
                <w:b w:val="false"/>
                <w:i w:val="false"/>
                <w:color w:val="000000"/>
                <w:sz w:val="20"/>
              </w:rPr>
              <w:t>
   4.7.1. Ведущий исследователь действует от имени руководителя исследования в течение порученной ему фазы и несет ответственность за обеспечение соблюдения Стандарта для этой фазы. Открытые рабочие отношения между ведущим исследователем и руководителем исследования, основанные на принципах сотрудничества, являются крайне важными.</w:t>
            </w:r>
          </w:p>
          <w:p>
            <w:pPr>
              <w:spacing w:after="20"/>
              <w:ind w:left="20"/>
              <w:jc w:val="both"/>
            </w:pPr>
            <w:r>
              <w:rPr>
                <w:rFonts w:ascii="Times New Roman"/>
                <w:b w:val="false"/>
                <w:i w:val="false"/>
                <w:color w:val="000000"/>
                <w:sz w:val="20"/>
              </w:rPr>
              <w:t>
   4.7.2. Иметь в наличии документально оформленное соглашение о том, что ведущий исследователь будет вести порученную ему фазу в соответствии с протоколом, планом, программой исследования и Стандарту. Подпись ведущего исследователя на протоколе, плане, программе исследования является приемлемым документальном подтверждением этому.</w:t>
            </w:r>
          </w:p>
          <w:p>
            <w:pPr>
              <w:spacing w:after="20"/>
              <w:ind w:left="20"/>
              <w:jc w:val="both"/>
            </w:pPr>
            <w:r>
              <w:rPr>
                <w:rFonts w:ascii="Times New Roman"/>
                <w:b w:val="false"/>
                <w:i w:val="false"/>
                <w:color w:val="000000"/>
                <w:sz w:val="20"/>
              </w:rPr>
              <w:t>
   4.7.3. Отклонения от протокола, плана, программы исследования или СОП, относящихся к исследованию, оформляется документально на испытательной площадке, подтверждается ведущим исследователем, о них следует также сообщить руководителю исследования и своевременно получить его подтверждение.</w:t>
            </w:r>
          </w:p>
          <w:p>
            <w:pPr>
              <w:spacing w:after="20"/>
              <w:ind w:left="20"/>
              <w:jc w:val="both"/>
            </w:pPr>
            <w:r>
              <w:rPr>
                <w:rFonts w:ascii="Times New Roman"/>
                <w:b w:val="false"/>
                <w:i w:val="false"/>
                <w:color w:val="000000"/>
                <w:sz w:val="20"/>
              </w:rPr>
              <w:t xml:space="preserve">
   4.7.4. Ведущий исследователь представляет руководителю исследования материалы, позволяющие подготовить заключительный отчет. Эти материалы включают в себя письменную гарантию от ведущего исследователя, подтверждающую соответствие настоящим правилам работы, за которую он (она) несет ответственность. </w:t>
            </w:r>
          </w:p>
          <w:p>
            <w:pPr>
              <w:spacing w:after="20"/>
              <w:ind w:left="20"/>
              <w:jc w:val="both"/>
            </w:pPr>
            <w:r>
              <w:rPr>
                <w:rFonts w:ascii="Times New Roman"/>
                <w:b w:val="false"/>
                <w:i w:val="false"/>
                <w:color w:val="000000"/>
                <w:sz w:val="20"/>
              </w:rPr>
              <w:t>
   4.7.5. Ведущий исследователь обеспечивает, чтобы все данные и образцы, за которые он (она) были переданы руководителю исследования или в архив, как описано в протоколе, плане, программе исследования. Если они не переданы руководителю исследования, ведущий исследователь уведомляет руководителя исследования о том, когда и где они будут сданы в архив. Во время исследования ведущий исследователь не утилизирует какие-либо образцы без предварительного письменного разрешения руководителя исследования.</w:t>
            </w:r>
          </w:p>
          <w:p>
            <w:pPr>
              <w:spacing w:after="20"/>
              <w:ind w:left="20"/>
              <w:jc w:val="both"/>
            </w:pPr>
            <w:r>
              <w:rPr>
                <w:rFonts w:ascii="Times New Roman"/>
                <w:b w:val="false"/>
                <w:i w:val="false"/>
                <w:color w:val="000000"/>
                <w:sz w:val="20"/>
              </w:rPr>
              <w:t>
   4.8. Персонал исследования</w:t>
            </w:r>
          </w:p>
          <w:p>
            <w:pPr>
              <w:spacing w:after="20"/>
              <w:ind w:left="20"/>
              <w:jc w:val="both"/>
            </w:pPr>
            <w:r>
              <w:rPr>
                <w:rFonts w:ascii="Times New Roman"/>
                <w:b w:val="false"/>
                <w:i w:val="false"/>
                <w:color w:val="000000"/>
                <w:sz w:val="20"/>
              </w:rPr>
              <w:t>
   4.8.1. Весь профессиональный и технический персонал, участвующий в проведении исследования, иметь в наличии должностные инструкции и документ об обучении, квалификации и стаже работы, подтверждающий их способность выполнять назначенные им задания. Если требуется, чтобы персонал исследования следовал СОП, утвержденным для другой испытательной площадки, любое требующее дополнительное обучение оформляется документально.</w:t>
            </w:r>
          </w:p>
          <w:p>
            <w:pPr>
              <w:spacing w:after="20"/>
              <w:ind w:left="20"/>
              <w:jc w:val="both"/>
            </w:pPr>
            <w:r>
              <w:rPr>
                <w:rFonts w:ascii="Times New Roman"/>
                <w:b w:val="false"/>
                <w:i w:val="false"/>
                <w:color w:val="000000"/>
                <w:sz w:val="20"/>
              </w:rPr>
              <w:t>
   4.8.2. При наличии нескольких площадок, где временно нанятый персонал выполняет аспекты проведения исследования. Если эти лица получили или ввели исходные данные, следует сохранить записи об их квалификации, обучении и стаже работы. Если такие лица выполняют обычные операции, такие как, уход за лабораторными животными, подлежащие надзору со стороны более высококвалифицированного персонала, то такие записи об этих лицах не требуются.</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Обеспечение качества</w:t>
            </w:r>
          </w:p>
          <w:p>
            <w:pPr>
              <w:spacing w:after="20"/>
              <w:ind w:left="20"/>
              <w:jc w:val="both"/>
            </w:pPr>
            <w:r>
              <w:rPr>
                <w:rFonts w:ascii="Times New Roman"/>
                <w:b w:val="false"/>
                <w:i w:val="false"/>
                <w:color w:val="000000"/>
                <w:sz w:val="20"/>
              </w:rPr>
              <w:t>
   5.3. Необходимо тщательно спланировать и организовать СОК многоцентровых исследований, чтобы обеспечить соблюдение общих принципов Стандарта для данного исследования. Поскольку в наличии имеется более одной площадки, возникают проблемы с организацией нескольких управленческих служб и программ ОК.</w:t>
            </w:r>
          </w:p>
          <w:p>
            <w:pPr>
              <w:spacing w:after="20"/>
              <w:ind w:left="20"/>
              <w:jc w:val="both"/>
            </w:pPr>
            <w:r>
              <w:rPr>
                <w:rFonts w:ascii="Times New Roman"/>
                <w:b w:val="false"/>
                <w:i w:val="false"/>
                <w:color w:val="000000"/>
                <w:sz w:val="20"/>
              </w:rPr>
              <w:t>
   5.4. Обязанности главного специалиста по ОК</w:t>
            </w:r>
          </w:p>
          <w:p>
            <w:pPr>
              <w:spacing w:after="20"/>
              <w:ind w:left="20"/>
              <w:jc w:val="both"/>
            </w:pPr>
            <w:r>
              <w:rPr>
                <w:rFonts w:ascii="Times New Roman"/>
                <w:b w:val="false"/>
                <w:i w:val="false"/>
                <w:color w:val="000000"/>
                <w:sz w:val="20"/>
              </w:rPr>
              <w:t>
   5.4.1. Главный специалист по ОК поддерживает контакт с отделом ОК испытательной площадки, чтобы обеспечить инспектирование ОК на протяжении всего исследования.</w:t>
            </w:r>
          </w:p>
          <w:p>
            <w:pPr>
              <w:spacing w:after="20"/>
              <w:ind w:left="20"/>
              <w:jc w:val="both"/>
            </w:pPr>
            <w:r>
              <w:rPr>
                <w:rFonts w:ascii="Times New Roman"/>
                <w:b w:val="false"/>
                <w:i w:val="false"/>
                <w:color w:val="000000"/>
                <w:sz w:val="20"/>
              </w:rPr>
              <w:t>
   5.4.2. Особое внимание следует уделять функционированию и ведению документации, относящейся к взаимодействию (контактам) между площадками. Ответственность за ОК на различных площадках устанавливаются до начала экспериментальной работы на этих площадках.</w:t>
            </w:r>
          </w:p>
          <w:p>
            <w:pPr>
              <w:spacing w:after="20"/>
              <w:ind w:left="20"/>
              <w:jc w:val="both"/>
            </w:pPr>
            <w:r>
              <w:rPr>
                <w:rFonts w:ascii="Times New Roman"/>
                <w:b w:val="false"/>
                <w:i w:val="false"/>
                <w:color w:val="000000"/>
                <w:sz w:val="20"/>
              </w:rPr>
              <w:t>
   5.4.3. Главный специалист по ОК обеспечивает проведение проверки протокола, плана, программы исследования и инспектирование заключительного отчета на соответствие Стандарту. Инспектирование СОК завершающего отчета включает проверку того, включены ли материалы ведущего исследователя (в том числе доказательства обеспечения качества на испытательной площадке) в состав отчета надлежащим образом. Главный специалист по ОК обеспечивает подготовку заключения СОК в отношении работы, выполненной на испытательной площадке, включая заключения СОК со всех испытательных площадок или ссылки на них.</w:t>
            </w:r>
          </w:p>
          <w:p>
            <w:pPr>
              <w:spacing w:after="20"/>
              <w:ind w:left="20"/>
              <w:jc w:val="both"/>
            </w:pPr>
            <w:r>
              <w:rPr>
                <w:rFonts w:ascii="Times New Roman"/>
                <w:b w:val="false"/>
                <w:i w:val="false"/>
                <w:color w:val="000000"/>
                <w:sz w:val="20"/>
              </w:rPr>
              <w:t>
   5.5. Обязанности СОК испытательной площадки</w:t>
            </w:r>
          </w:p>
          <w:p>
            <w:pPr>
              <w:spacing w:after="20"/>
              <w:ind w:left="20"/>
              <w:jc w:val="both"/>
            </w:pPr>
            <w:r>
              <w:rPr>
                <w:rFonts w:ascii="Times New Roman"/>
                <w:b w:val="false"/>
                <w:i w:val="false"/>
                <w:color w:val="000000"/>
                <w:sz w:val="20"/>
              </w:rPr>
              <w:t>
   5.5.1. Обычно руководство каждой испытательной площадки несет ответственность за соответствующее обеспечение качества в отношении части исследования, проведенной на площадке. СОК на каждой испытательной площадке проверяет разделы протокола, плана, программы исследования, относящиеся к операциям, выполняемым на площадке. СОК хранить копию утвержденного протокола, плана, программы исследования и поправок к протоколу, плану, программе исследования.</w:t>
            </w:r>
          </w:p>
          <w:p>
            <w:pPr>
              <w:spacing w:after="20"/>
              <w:ind w:left="20"/>
              <w:jc w:val="both"/>
            </w:pPr>
            <w:r>
              <w:rPr>
                <w:rFonts w:ascii="Times New Roman"/>
                <w:b w:val="false"/>
                <w:i w:val="false"/>
                <w:color w:val="000000"/>
                <w:sz w:val="20"/>
              </w:rPr>
              <w:t>
   5.5.2. СОК на испытательной площадке инспектирует относящуюся к исследованию работу на своей площадке согласно своим собственным СОП, если иное не требуется по указанию главного специалиста по ОК, при этом он своевременно составляет отчеты о любых результатах инспекций в письменной форме в адрес ведущего исследователя, руководства испытательной площадки, руководителя исследования, руководства испытательной лаборатории и главного специалиста по ОК.</w:t>
            </w:r>
          </w:p>
          <w:p>
            <w:pPr>
              <w:spacing w:after="20"/>
              <w:ind w:left="20"/>
              <w:jc w:val="both"/>
            </w:pPr>
            <w:r>
              <w:rPr>
                <w:rFonts w:ascii="Times New Roman"/>
                <w:b w:val="false"/>
                <w:i w:val="false"/>
                <w:color w:val="000000"/>
                <w:sz w:val="20"/>
              </w:rPr>
              <w:t>
   5.5.3. СОК на испытательной площадке инспектирует часть работы по исследованию, выполняемую ведущим исследователем, согласно СОП своей испытательной площадки и представлять заключение, относящееся к деятельности по ОК на испытательной площадке.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Основные графики работ</w:t>
            </w:r>
          </w:p>
          <w:p>
            <w:pPr>
              <w:spacing w:after="20"/>
              <w:ind w:left="20"/>
              <w:jc w:val="both"/>
            </w:pPr>
            <w:r>
              <w:rPr>
                <w:rFonts w:ascii="Times New Roman"/>
                <w:b w:val="false"/>
                <w:i w:val="false"/>
                <w:color w:val="000000"/>
                <w:sz w:val="20"/>
              </w:rPr>
              <w:t>
   6.3. Многоцентровое исследование, для которого назначен один либо несколько ведущих исследователей, имеет основной график работ всех задействованных испытательных площадок. Обеспечить выполнение этого – обязанность руководства испытательной лаборатории и руководства испытательной площадки.</w:t>
            </w:r>
          </w:p>
          <w:p>
            <w:pPr>
              <w:spacing w:after="20"/>
              <w:ind w:left="20"/>
              <w:jc w:val="both"/>
            </w:pPr>
            <w:r>
              <w:rPr>
                <w:rFonts w:ascii="Times New Roman"/>
                <w:b w:val="false"/>
                <w:i w:val="false"/>
                <w:color w:val="000000"/>
                <w:sz w:val="20"/>
              </w:rPr>
              <w:t>
   6.4. В основном графике работ обозначается уникальное идентификационное название исследования, а также, если необходимо, перекрестные ссылки на идентификационные названия испытательных площадок. На основном графике работ отражается руководитель исследования, а на графике работ каждой испытательной площадки – соответствующий ведущий исследователь.</w:t>
            </w:r>
          </w:p>
          <w:p>
            <w:pPr>
              <w:spacing w:after="20"/>
              <w:ind w:left="20"/>
              <w:jc w:val="both"/>
            </w:pPr>
            <w:r>
              <w:rPr>
                <w:rFonts w:ascii="Times New Roman"/>
                <w:b w:val="false"/>
                <w:i w:val="false"/>
                <w:color w:val="000000"/>
                <w:sz w:val="20"/>
              </w:rPr>
              <w:t>
   6.5. На основном графике работ, находящемся на всех площадках, указывается даты начала и завершения фаз работ, за которую они отвечают.</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Протокол, план, программа исследования</w:t>
            </w:r>
          </w:p>
          <w:p>
            <w:pPr>
              <w:spacing w:after="20"/>
              <w:ind w:left="20"/>
              <w:jc w:val="both"/>
            </w:pPr>
            <w:r>
              <w:rPr>
                <w:rFonts w:ascii="Times New Roman"/>
                <w:b w:val="false"/>
                <w:i w:val="false"/>
                <w:color w:val="000000"/>
                <w:sz w:val="20"/>
              </w:rPr>
              <w:t>
   7.3. Для каждого многоцентрового исследования составляется единый протокол, план, программа исследования. В протоколе, плане, программе исследования точно указывается названия и адреса всех задействованных площадок.</w:t>
            </w:r>
          </w:p>
          <w:p>
            <w:pPr>
              <w:spacing w:after="20"/>
              <w:ind w:left="20"/>
              <w:jc w:val="both"/>
            </w:pPr>
            <w:r>
              <w:rPr>
                <w:rFonts w:ascii="Times New Roman"/>
                <w:b w:val="false"/>
                <w:i w:val="false"/>
                <w:color w:val="000000"/>
                <w:sz w:val="20"/>
              </w:rPr>
              <w:t>
   7.4. В протоколе, плане, программе исследования содержится информация с паспортными данными и адрес ведущего сотрудника и порученная ему фаза исследования. Рекомендуется включать информацию, достаточную для установления прямого контакта с руководителем исследования, например, номер телефона.</w:t>
            </w:r>
          </w:p>
          <w:p>
            <w:pPr>
              <w:spacing w:after="20"/>
              <w:ind w:left="20"/>
              <w:jc w:val="both"/>
            </w:pPr>
            <w:r>
              <w:rPr>
                <w:rFonts w:ascii="Times New Roman"/>
                <w:b w:val="false"/>
                <w:i w:val="false"/>
                <w:color w:val="000000"/>
                <w:sz w:val="20"/>
              </w:rPr>
              <w:t>
   7.5. Протокол, план, программа исследования обозначает, каким образом собранные на местах данные будут предоставляться руководителю исследования для включения их в завершающий отчет.</w:t>
            </w:r>
          </w:p>
          <w:p>
            <w:pPr>
              <w:spacing w:after="20"/>
              <w:ind w:left="20"/>
              <w:jc w:val="both"/>
            </w:pPr>
            <w:r>
              <w:rPr>
                <w:rFonts w:ascii="Times New Roman"/>
                <w:b w:val="false"/>
                <w:i w:val="false"/>
                <w:color w:val="000000"/>
                <w:sz w:val="20"/>
              </w:rPr>
              <w:t>
   7.6. Если это известно, желательно описать в протоколе, плане, программе исследования место, где хранятся данные, исследуемые вещества (лекарственные средства), образцы сравнения (контрольные образцы) и образцы, собранные для хранения на различных площадках.</w:t>
            </w:r>
          </w:p>
          <w:p>
            <w:pPr>
              <w:spacing w:after="20"/>
              <w:ind w:left="20"/>
              <w:jc w:val="both"/>
            </w:pPr>
            <w:r>
              <w:rPr>
                <w:rFonts w:ascii="Times New Roman"/>
                <w:b w:val="false"/>
                <w:i w:val="false"/>
                <w:color w:val="000000"/>
                <w:sz w:val="20"/>
              </w:rPr>
              <w:t>
   7.7. Рекомендуется, чтобы проект протокола, плана, программы исследования представили ведущим сотрудникам для изучения и определения возможности выполнить назначенную им работу, а также для выполнения специальной технической работы, если этого требует протокол, план, программа исследования.</w:t>
            </w:r>
          </w:p>
          <w:p>
            <w:pPr>
              <w:spacing w:after="20"/>
              <w:ind w:left="20"/>
              <w:jc w:val="both"/>
            </w:pPr>
            <w:r>
              <w:rPr>
                <w:rFonts w:ascii="Times New Roman"/>
                <w:b w:val="false"/>
                <w:i w:val="false"/>
                <w:color w:val="000000"/>
                <w:sz w:val="20"/>
              </w:rPr>
              <w:t>
   7.8. Протокол, план, программа исследования составляется на одном языке, обычно на языке руководителя исследования. Для многоцентровых исследований когда требуется, чтобы протокол, план, программа исследования был составлен на более чем одном языке; это намерение отражается в исходном протоколе, плане, программе исследования, переведенном протоколе, плане, программе исследования, а исходный язык указывается на всех версиях. Следует иметь механизм проверки точности и полноты переведенного протокола, плана, программы исследования. Ответственность за точность перевода возлагается руководителем исследования на специалиста по языку и оформляется документально.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Проведение исследования</w:t>
            </w:r>
          </w:p>
          <w:p>
            <w:pPr>
              <w:spacing w:after="20"/>
              <w:ind w:left="20"/>
              <w:jc w:val="both"/>
            </w:pPr>
            <w:r>
              <w:rPr>
                <w:rFonts w:ascii="Times New Roman"/>
                <w:b w:val="false"/>
                <w:i w:val="false"/>
                <w:color w:val="000000"/>
                <w:sz w:val="20"/>
              </w:rPr>
              <w:t>
   7.9. Испытательные лаборатории</w:t>
            </w:r>
          </w:p>
          <w:p>
            <w:pPr>
              <w:spacing w:after="20"/>
              <w:ind w:left="20"/>
              <w:jc w:val="both"/>
            </w:pPr>
            <w:r>
              <w:rPr>
                <w:rFonts w:ascii="Times New Roman"/>
                <w:b w:val="false"/>
                <w:i w:val="false"/>
                <w:color w:val="000000"/>
                <w:sz w:val="20"/>
              </w:rPr>
              <w:t>
   7.9.1. Если персонал не присутствует на испытательных площадках в течение всего рабочего времени, обеспечиваются дополнительные меры для поддержания физической сохранности исследуемых веществ (лекарственных средств), образцов и данных.</w:t>
            </w:r>
          </w:p>
          <w:p>
            <w:pPr>
              <w:spacing w:after="20"/>
              <w:ind w:left="20"/>
              <w:jc w:val="both"/>
            </w:pPr>
            <w:r>
              <w:rPr>
                <w:rFonts w:ascii="Times New Roman"/>
                <w:b w:val="false"/>
                <w:i w:val="false"/>
                <w:color w:val="000000"/>
                <w:sz w:val="20"/>
              </w:rPr>
              <w:t>
   7.9.2. При необходимости перемещения данных или других материалов между площадками, следует установить механизмы для поддержания их сохранности. Особое внимание следует уделять электронной передаче данных (электронная почта, интернет и т.д.).</w:t>
            </w:r>
          </w:p>
          <w:p>
            <w:pPr>
              <w:spacing w:after="20"/>
              <w:ind w:left="20"/>
              <w:jc w:val="both"/>
            </w:pPr>
            <w:r>
              <w:rPr>
                <w:rFonts w:ascii="Times New Roman"/>
                <w:b w:val="false"/>
                <w:i w:val="false"/>
                <w:color w:val="000000"/>
                <w:sz w:val="20"/>
              </w:rPr>
              <w:t>
   7.10. Оборудование</w:t>
            </w:r>
          </w:p>
          <w:p>
            <w:pPr>
              <w:spacing w:after="20"/>
              <w:ind w:left="20"/>
              <w:jc w:val="both"/>
            </w:pPr>
            <w:r>
              <w:rPr>
                <w:rFonts w:ascii="Times New Roman"/>
                <w:b w:val="false"/>
                <w:i w:val="false"/>
                <w:color w:val="000000"/>
                <w:sz w:val="20"/>
              </w:rPr>
              <w:t>
   7.10.1. Всегда надо следить, чтобы в исследованиях оборудование использовались в соответствии своему назначению. Это относится и к крупным механическим средствам, и к высокоспециализированному оборудованию, которое используется на некоторых площадках.</w:t>
            </w:r>
          </w:p>
          <w:p>
            <w:pPr>
              <w:spacing w:after="20"/>
              <w:ind w:left="20"/>
              <w:jc w:val="both"/>
            </w:pPr>
            <w:r>
              <w:rPr>
                <w:rFonts w:ascii="Times New Roman"/>
                <w:b w:val="false"/>
                <w:i w:val="false"/>
                <w:color w:val="000000"/>
                <w:sz w:val="20"/>
              </w:rPr>
              <w:t>
   7.10.2. Для такого оборудования ведется регистрационные записи о проведении технического обслуживания и калибровки, во время использования они служат для подтверждения их "пригодности к использованию по назначению". Некоторая аппаратура взятое в аренду или лизинг оборудование, такое как, весы для крупных животных и аналитическое оборудование не имеет регистрационных записей о периодической инспекции, очистке, техническом обслуживании и калибровке. В таких случаях информация вносится в необработанные данные специально по данному исследованию, чтобы продемонстрировать "пригодность к использованию по назначению" оборудования.</w:t>
            </w:r>
          </w:p>
          <w:p>
            <w:pPr>
              <w:spacing w:after="20"/>
              <w:ind w:left="20"/>
              <w:jc w:val="both"/>
            </w:pPr>
            <w:r>
              <w:rPr>
                <w:rFonts w:ascii="Times New Roman"/>
                <w:b w:val="false"/>
                <w:i w:val="false"/>
                <w:color w:val="000000"/>
                <w:sz w:val="20"/>
              </w:rPr>
              <w:t>
   7.11. Контроль и учет материалов исследования</w:t>
            </w:r>
          </w:p>
          <w:p>
            <w:pPr>
              <w:spacing w:after="20"/>
              <w:ind w:left="20"/>
              <w:jc w:val="both"/>
            </w:pPr>
            <w:r>
              <w:rPr>
                <w:rFonts w:ascii="Times New Roman"/>
                <w:b w:val="false"/>
                <w:i w:val="false"/>
                <w:color w:val="000000"/>
                <w:sz w:val="20"/>
              </w:rPr>
              <w:t xml:space="preserve">
   7.11.1. Иметь в наличии процедуры, обеспечивающие своевременную доставку на места материалов, относящихся к исследованию. Необходимо поддерживать целостность, стабильность во время транспортировки, поэтому крайне важно использовать надежные средства транспортировки и порядок сохранности документов. Важно иметь четко определенные процедуры для транспортировки, а также обязанности для исполнителей. </w:t>
            </w:r>
          </w:p>
          <w:p>
            <w:pPr>
              <w:spacing w:after="20"/>
              <w:ind w:left="20"/>
              <w:jc w:val="both"/>
            </w:pPr>
            <w:r>
              <w:rPr>
                <w:rFonts w:ascii="Times New Roman"/>
                <w:b w:val="false"/>
                <w:i w:val="false"/>
                <w:color w:val="000000"/>
                <w:sz w:val="20"/>
              </w:rPr>
              <w:t>
   7.11.2. Каждая отправка материала исследования сопровождается соответствующей документацией, чтобы соответствовать каким-либо применяемым законодательным требованиям, например, таможенному законодательству, законодательству о здравоохранении и безопасности. Такая документация предоставляет важную информацию, достаточную для установления пригодности к использованию по назначению по прибытии на место. Эти вопросы решается до отгрузки.</w:t>
            </w:r>
          </w:p>
          <w:p>
            <w:pPr>
              <w:spacing w:after="20"/>
              <w:ind w:left="20"/>
              <w:jc w:val="both"/>
            </w:pPr>
            <w:r>
              <w:rPr>
                <w:rFonts w:ascii="Times New Roman"/>
                <w:b w:val="false"/>
                <w:i w:val="false"/>
                <w:color w:val="000000"/>
                <w:sz w:val="20"/>
              </w:rPr>
              <w:t>
   7.11.3. Если материалы исследования транспортируются между площадками в одной и той же грузовой партии, важно, чтобы они были соответствующим образом разделены и идентифицированы, во избежание путаницы или перекрестного загрязнения. Это особенно важно, если вместе транспортируются материалы более чем, одного исследования.</w:t>
            </w:r>
          </w:p>
          <w:p>
            <w:pPr>
              <w:spacing w:after="20"/>
              <w:ind w:left="20"/>
              <w:jc w:val="both"/>
            </w:pPr>
            <w:r>
              <w:rPr>
                <w:rFonts w:ascii="Times New Roman"/>
                <w:b w:val="false"/>
                <w:i w:val="false"/>
                <w:color w:val="000000"/>
                <w:sz w:val="20"/>
              </w:rPr>
              <w:t>
   7.11.4. Если во время транспортировки условия окружающей среды оказывают негативное влияние на транспортируемые материалы, следует установить процедуры для сохранения их целостности. Требуется ведение мониторинга для подтверждения, что необходимые условия поддерживаются.</w:t>
            </w:r>
          </w:p>
          <w:p>
            <w:pPr>
              <w:spacing w:after="20"/>
              <w:ind w:left="20"/>
              <w:jc w:val="both"/>
            </w:pPr>
            <w:r>
              <w:rPr>
                <w:rFonts w:ascii="Times New Roman"/>
                <w:b w:val="false"/>
                <w:i w:val="false"/>
                <w:color w:val="000000"/>
                <w:sz w:val="20"/>
              </w:rPr>
              <w:t>
   7.11.5. Следует уделять внимание хранению, возврату или утилизации избыточных исследуемых или эталонных элементов, используемых на местах.</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Оформление результатов исследования</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Для каждого многоцентрового исследования следует составлять единый заключительный отчет. Заключительный отчет включает данные по всем фазам исследования. Ведущему исследователю следует составлять отчет, заверенный подписью и с указанием даты, в отношении порученной ему фазы для включения в заключительный отчет. В готовом виде такие отчеты имеет доказательство проведения соответствующего мониторинга ОК на этой испытательной площадке и содержать достаточный комментарий, чтобы руководитель исследования мог составить действительный заключительный отчет по всему исследованию. В качестве альтернативы, необработанные данные передаются от ведущего исследователя руководителю исследования, которому следует убедиться, что эти данные представлены в заключительном отчете. Заключительный отчет, составленный таким образом, содержит указание о ведущем исследователе и фазе, за которую они несут ответственность.</w:t>
            </w:r>
          </w:p>
          <w:p>
            <w:pPr>
              <w:spacing w:after="20"/>
              <w:ind w:left="20"/>
              <w:jc w:val="both"/>
            </w:pPr>
            <w:r>
              <w:rPr>
                <w:rFonts w:ascii="Times New Roman"/>
                <w:b w:val="false"/>
                <w:i w:val="false"/>
                <w:color w:val="000000"/>
                <w:sz w:val="20"/>
              </w:rPr>
              <w:t>
   9.2. Ведущие исследователи указывают, в каком объеме работа, за которую они отвечают, соответствует Стандарту, и представить доказательство проведения инспекций по ОК на этой испытательной площадке. Это включается непосредственно в заключительный отчет либо требуемые данные выделяются и вставляются в заявление руководителя исследования следовать Стандарту и в заключение СОК в заключительном отчете. При этом следует дать ссылку на источник и место его хранения.</w:t>
            </w:r>
          </w:p>
          <w:p>
            <w:pPr>
              <w:spacing w:after="20"/>
              <w:ind w:left="20"/>
              <w:jc w:val="both"/>
            </w:pPr>
            <w:r>
              <w:rPr>
                <w:rFonts w:ascii="Times New Roman"/>
                <w:b w:val="false"/>
                <w:i w:val="false"/>
                <w:color w:val="000000"/>
                <w:sz w:val="20"/>
              </w:rPr>
              <w:t>
   9.3. Руководитель исследования подписывает и датирует заключительный отчет, чтобы подтвердить свою ответственность за правильность всех данных. Следование Стандарту всегда указывается с помощью ссылки на Стандарт и правовые акты, соответствие которым обозначается. Данное заявление о соответствии распространяется на все фазы исследования и согласовывается с информацией, представленной в заявлениях ведущего исследователя. В заключительном отчете также указываются площадки, не соответствующие Стандарту.</w:t>
            </w:r>
          </w:p>
          <w:p>
            <w:pPr>
              <w:spacing w:after="20"/>
              <w:ind w:left="20"/>
              <w:jc w:val="both"/>
            </w:pPr>
            <w:r>
              <w:rPr>
                <w:rFonts w:ascii="Times New Roman"/>
                <w:b w:val="false"/>
                <w:i w:val="false"/>
                <w:color w:val="000000"/>
                <w:sz w:val="20"/>
              </w:rPr>
              <w:t>
   9.4. В заключительном отчете указывается место хранения протокола, плана, программы исследования, проб исследуемых и эталонных веществ, образцов, необработанных данных и заключительного отчета. Отчеты, составленные ведущими исследователями, предоставляет информацию, касающуюся сохранности материалов, за которые они несут ответственность.</w:t>
            </w:r>
          </w:p>
          <w:p>
            <w:pPr>
              <w:spacing w:after="20"/>
              <w:ind w:left="20"/>
              <w:jc w:val="both"/>
            </w:pPr>
            <w:r>
              <w:rPr>
                <w:rFonts w:ascii="Times New Roman"/>
                <w:b w:val="false"/>
                <w:i w:val="false"/>
                <w:color w:val="000000"/>
                <w:sz w:val="20"/>
              </w:rPr>
              <w:t>
   9.5. Поправки в заключительный отчет вносят только руководитель исследования. Если необходимая поправка касается фазы, проведенной на какой-либо испытательной площадке, руководитель исследования связывается с ведущим исследователем, чтобы согласовать соответствующие корректирующие действия. Эти корректирующие действия оформляются документально в полном объеме.</w:t>
            </w:r>
          </w:p>
          <w:p>
            <w:pPr>
              <w:spacing w:after="20"/>
              <w:ind w:left="20"/>
              <w:jc w:val="both"/>
            </w:pPr>
            <w:r>
              <w:rPr>
                <w:rFonts w:ascii="Times New Roman"/>
                <w:b w:val="false"/>
                <w:i w:val="false"/>
                <w:color w:val="000000"/>
                <w:sz w:val="20"/>
              </w:rPr>
              <w:t>
   9.6. Если отчет подготавливает ведущий исследователь, то данный отчет соответствует тем же требованиям, что и итоговый отчет.</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операционные процедуры</w:t>
            </w:r>
          </w:p>
          <w:p>
            <w:pPr>
              <w:spacing w:after="20"/>
              <w:ind w:left="20"/>
              <w:jc w:val="both"/>
            </w:pPr>
            <w:r>
              <w:rPr>
                <w:rFonts w:ascii="Times New Roman"/>
                <w:b w:val="false"/>
                <w:i w:val="false"/>
                <w:color w:val="000000"/>
                <w:sz w:val="20"/>
              </w:rPr>
              <w:t>
   10.1. Стандарт требует, чтобы были установлены и соблюдались соответствующие и технически утвержденные СОП. Ниже приведены примерные процедуры, характерные для многоцентровых исследований:</w:t>
            </w:r>
          </w:p>
          <w:p>
            <w:pPr>
              <w:spacing w:after="20"/>
              <w:ind w:left="20"/>
              <w:jc w:val="both"/>
            </w:pPr>
            <w:r>
              <w:rPr>
                <w:rFonts w:ascii="Times New Roman"/>
                <w:b w:val="false"/>
                <w:i w:val="false"/>
                <w:color w:val="000000"/>
                <w:sz w:val="20"/>
              </w:rPr>
              <w:t>
   10.1.1. Выбор и мониторинг испытательных площадок;</w:t>
            </w:r>
          </w:p>
          <w:p>
            <w:pPr>
              <w:spacing w:after="20"/>
              <w:ind w:left="20"/>
              <w:jc w:val="both"/>
            </w:pPr>
            <w:r>
              <w:rPr>
                <w:rFonts w:ascii="Times New Roman"/>
                <w:b w:val="false"/>
                <w:i w:val="false"/>
                <w:color w:val="000000"/>
                <w:sz w:val="20"/>
              </w:rPr>
              <w:t>
   10.1.2. Назначение и замена ведущего исследователя;</w:t>
            </w:r>
          </w:p>
          <w:p>
            <w:pPr>
              <w:spacing w:after="20"/>
              <w:ind w:left="20"/>
              <w:jc w:val="both"/>
            </w:pPr>
            <w:r>
              <w:rPr>
                <w:rFonts w:ascii="Times New Roman"/>
                <w:b w:val="false"/>
                <w:i w:val="false"/>
                <w:color w:val="000000"/>
                <w:sz w:val="20"/>
              </w:rPr>
              <w:t>
   10.1.3. Передача данных, образцов и проб между площадками;</w:t>
            </w:r>
          </w:p>
          <w:p>
            <w:pPr>
              <w:spacing w:after="20"/>
              <w:ind w:left="20"/>
              <w:jc w:val="both"/>
            </w:pPr>
            <w:r>
              <w:rPr>
                <w:rFonts w:ascii="Times New Roman"/>
                <w:b w:val="false"/>
                <w:i w:val="false"/>
                <w:color w:val="000000"/>
                <w:sz w:val="20"/>
              </w:rPr>
              <w:t>
   10.1.4. Проверка правильности или утверждение переводов протокола, плана, программы исследований или СОП на иностранный язык; и</w:t>
            </w:r>
          </w:p>
          <w:p>
            <w:pPr>
              <w:spacing w:after="20"/>
              <w:ind w:left="20"/>
              <w:jc w:val="both"/>
            </w:pPr>
            <w:r>
              <w:rPr>
                <w:rFonts w:ascii="Times New Roman"/>
                <w:b w:val="false"/>
                <w:i w:val="false"/>
                <w:color w:val="000000"/>
                <w:sz w:val="20"/>
              </w:rPr>
              <w:t>
   10.1.5. Хранение, возврат или утилизации исследуемых и эталонных веществ, используемых на отдаленных испытательных площадках.</w:t>
            </w:r>
          </w:p>
          <w:p>
            <w:pPr>
              <w:spacing w:after="20"/>
              <w:ind w:left="20"/>
              <w:jc w:val="both"/>
            </w:pPr>
            <w:r>
              <w:rPr>
                <w:rFonts w:ascii="Times New Roman"/>
                <w:b w:val="false"/>
                <w:i w:val="false"/>
                <w:color w:val="000000"/>
                <w:sz w:val="20"/>
              </w:rPr>
              <w:t>
   10.2. Стандарт требует, чтобы СОП находились непосредственно в распоряжении персонала исследования при осуществлении деятельности, независимо от того, выполняют ли они работу в данный момент.</w:t>
            </w:r>
          </w:p>
          <w:p>
            <w:pPr>
              <w:spacing w:after="20"/>
              <w:ind w:left="20"/>
              <w:jc w:val="both"/>
            </w:pPr>
            <w:r>
              <w:rPr>
                <w:rFonts w:ascii="Times New Roman"/>
                <w:b w:val="false"/>
                <w:i w:val="false"/>
                <w:color w:val="000000"/>
                <w:sz w:val="20"/>
              </w:rPr>
              <w:t>
   10.3. Персонал испытательной площадки соблюдает СОП испытательной площадки. В случае необходимости соблюдения других процедур, то это требование отражается в протоколе, плане, программе исследования. Ведущий исследователь несет ответственность за обеспечение знания персонала испытательной площадки процедур, которые следует соблюдать, и имел доступ к соответствующей документации.</w:t>
            </w:r>
          </w:p>
          <w:p>
            <w:pPr>
              <w:spacing w:after="20"/>
              <w:ind w:left="20"/>
              <w:jc w:val="both"/>
            </w:pPr>
            <w:r>
              <w:rPr>
                <w:rFonts w:ascii="Times New Roman"/>
                <w:b w:val="false"/>
                <w:i w:val="false"/>
                <w:color w:val="000000"/>
                <w:sz w:val="20"/>
              </w:rPr>
              <w:t>
   10.4. В случае необходимости соблюдения процедур, представленных руководством испытательной лаборатории, персоналом испытательной площадки, руководство испытательной площадки дает на это письменное согласие.</w:t>
            </w:r>
          </w:p>
          <w:p>
            <w:pPr>
              <w:spacing w:after="20"/>
              <w:ind w:left="20"/>
              <w:jc w:val="both"/>
            </w:pPr>
            <w:r>
              <w:rPr>
                <w:rFonts w:ascii="Times New Roman"/>
                <w:b w:val="false"/>
                <w:i w:val="false"/>
                <w:color w:val="000000"/>
                <w:sz w:val="20"/>
              </w:rPr>
              <w:t>
   10.5. Если СОП испытательной лаборатории были изданы для использования на испытательной площадке, руководство испытательной лаборатории обеспечивает, чтобы какие-либо последующие редакции СОП, выпускаемые во время исследования, направлялись также и на испытательную площадку, а старые версии изымались из использования. Ведущий исследователь обеспечивает, чтобы весь персонал испытательной площадки знал о пересмотре СОП и имел доступ только к текущей версии.</w:t>
            </w:r>
          </w:p>
          <w:p>
            <w:pPr>
              <w:spacing w:after="20"/>
              <w:ind w:left="20"/>
              <w:jc w:val="both"/>
            </w:pPr>
            <w:r>
              <w:rPr>
                <w:rFonts w:ascii="Times New Roman"/>
                <w:b w:val="false"/>
                <w:i w:val="false"/>
                <w:color w:val="000000"/>
                <w:sz w:val="20"/>
              </w:rPr>
              <w:t>
   10.6. Если на испытательных площадках требуется выполнять СОП испытательной лаборатории, на другие языки. При необходимости перевода СОПа необходимо чтобы любые переводы тщательно проверяли, и чтобы инструкции и значение различных языковых версий оставались идентичными. Исходный язык (язык оригинала) указывается в переведенных СОП.</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регистрационных записей и материалов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Во время проведения многоцентровых исследований следует уделять внимание временному хранению материалов. Такие помещения для хранения защищают целостность их содержимого и надежные. Если данные передают из испытательной лаборатории, следует удостовериться, что площадка имеет возможность легко проводить поиск данных, которые требуются для анализа.</w:t>
            </w:r>
          </w:p>
          <w:p>
            <w:pPr>
              <w:spacing w:after="20"/>
              <w:ind w:left="20"/>
              <w:jc w:val="both"/>
            </w:pPr>
            <w:r>
              <w:rPr>
                <w:rFonts w:ascii="Times New Roman"/>
                <w:b w:val="false"/>
                <w:i w:val="false"/>
                <w:color w:val="000000"/>
                <w:sz w:val="20"/>
              </w:rPr>
              <w:t>
   11.2. Способ хранения регистрационных записей и материалов осуществляется в соответствии со Стандартом. Если помещения для хранения на площадке не удовлетворяют требования Стандарта, регистрационные записи и материалы следует передавать в архив, соответствующий требованиям Стандарта.</w:t>
            </w:r>
          </w:p>
          <w:p>
            <w:pPr>
              <w:spacing w:after="20"/>
              <w:ind w:left="20"/>
              <w:jc w:val="both"/>
            </w:pPr>
            <w:r>
              <w:rPr>
                <w:rFonts w:ascii="Times New Roman"/>
                <w:b w:val="false"/>
                <w:i w:val="false"/>
                <w:color w:val="000000"/>
                <w:sz w:val="20"/>
              </w:rPr>
              <w:t>
   11.3 Руководство испытательной площадки обеспечивает, чтобы имелись соответствующие документы, демонстрирующие участие испытательной площадки в исследовании.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надлежащей лабораторной</w:t>
            </w:r>
            <w:r>
              <w:br/>
            </w:r>
            <w:r>
              <w:rPr>
                <w:rFonts w:ascii="Times New Roman"/>
                <w:b w:val="false"/>
                <w:i w:val="false"/>
                <w:color w:val="000000"/>
                <w:sz w:val="20"/>
              </w:rPr>
              <w:t>практики 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
        <w:gridCol w:w="12206"/>
      </w:tblGrid>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Руководство по применению принципов Стандарта к компьютеризированным системам</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положения</w:t>
            </w:r>
          </w:p>
          <w:p>
            <w:pPr>
              <w:spacing w:after="20"/>
              <w:ind w:left="20"/>
              <w:jc w:val="both"/>
            </w:pPr>
            <w:r>
              <w:rPr>
                <w:rFonts w:ascii="Times New Roman"/>
                <w:b w:val="false"/>
                <w:i w:val="false"/>
                <w:color w:val="000000"/>
                <w:sz w:val="20"/>
              </w:rPr>
              <w:t>
   1.1. Компьютеризированные системы, связанные с проведением исследований, предназначенных для представления в уполномоченный орган, имеет соответствующую конструкцию, достаточную мощность и подходить для реализации их предназначения. Системы разрабатываются, валидируются и эксплуатируются в соответствии с принципами Стандарта, кроме того, устанавливаются соответствующие процедуры контроля и технического обслуживания данных систем. Подтверждение того, что компьютеризированная система соответствует своему назначению, имеет фундаментальное значение и называется "компьютерная валидация".</w:t>
            </w:r>
          </w:p>
          <w:p>
            <w:pPr>
              <w:spacing w:after="20"/>
              <w:ind w:left="20"/>
              <w:jc w:val="both"/>
            </w:pPr>
            <w:r>
              <w:rPr>
                <w:rFonts w:ascii="Times New Roman"/>
                <w:b w:val="false"/>
                <w:i w:val="false"/>
                <w:color w:val="000000"/>
                <w:sz w:val="20"/>
              </w:rPr>
              <w:t>
   1.2. Процесс валидации обеспечивает высокую степень уверенности в соответствии компьютеризированной системы заранее заданным техническим требованиям. Валидация осуществляется до начала эксплуатации системы и проводиться надлежащим образом только с помощью разработанного плана валидации.</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Стандарта и компьютеризированные системы</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применении принципов Стандарта к вышеописанным компьютеризированным системам принимаются во внимание следующие требования.</w:t>
            </w:r>
          </w:p>
          <w:p>
            <w:pPr>
              <w:spacing w:after="20"/>
              <w:ind w:left="20"/>
              <w:jc w:val="both"/>
            </w:pPr>
            <w:r>
              <w:rPr>
                <w:rFonts w:ascii="Times New Roman"/>
                <w:b w:val="false"/>
                <w:i w:val="false"/>
                <w:color w:val="000000"/>
                <w:sz w:val="20"/>
              </w:rPr>
              <w:t>
   2.1. Обязанности и ответственность</w:t>
            </w:r>
          </w:p>
          <w:p>
            <w:pPr>
              <w:spacing w:after="20"/>
              <w:ind w:left="20"/>
              <w:jc w:val="both"/>
            </w:pPr>
            <w:r>
              <w:rPr>
                <w:rFonts w:ascii="Times New Roman"/>
                <w:b w:val="false"/>
                <w:i w:val="false"/>
                <w:color w:val="000000"/>
                <w:sz w:val="20"/>
              </w:rPr>
              <w:t>
   2.1.1. Руководство испытательной лаборатории несет полную ответственность за соблюдение принципов Стандарта, включая назначение на должность и эффективную организацию достаточного числа квалифицированных и опытных сотрудников, а также обязано обеспечивать, чтобы помещения, оборудование и процедуры обработки данных находились на соответствующем уровне.</w:t>
            </w:r>
          </w:p>
          <w:p>
            <w:pPr>
              <w:spacing w:after="20"/>
              <w:ind w:left="20"/>
              <w:jc w:val="both"/>
            </w:pPr>
            <w:r>
              <w:rPr>
                <w:rFonts w:ascii="Times New Roman"/>
                <w:b w:val="false"/>
                <w:i w:val="false"/>
                <w:color w:val="000000"/>
                <w:sz w:val="20"/>
              </w:rPr>
              <w:t>
   Руководство испытательной лаборатории несет ответственность за обеспечение соответствия компьютеризированных систем предполагаемому назначению. Оно устанавливает принципы организации и процедуры в области автоматизации, гарантирующие разработку, валидацию, эксплуатацию и обслуживание систем в соответствии с принципами Стандарта.</w:t>
            </w:r>
          </w:p>
          <w:p>
            <w:pPr>
              <w:spacing w:after="20"/>
              <w:ind w:left="20"/>
              <w:jc w:val="both"/>
            </w:pPr>
            <w:r>
              <w:rPr>
                <w:rFonts w:ascii="Times New Roman"/>
                <w:b w:val="false"/>
                <w:i w:val="false"/>
                <w:color w:val="000000"/>
                <w:sz w:val="20"/>
              </w:rPr>
              <w:t>
   Руководство испытательной лаборатории обеспечивает ясность и соблюдение данных принципов организации и процедур, а также эффективный контроль выполнения данных требований.</w:t>
            </w:r>
          </w:p>
          <w:p>
            <w:pPr>
              <w:spacing w:after="20"/>
              <w:ind w:left="20"/>
              <w:jc w:val="both"/>
            </w:pPr>
            <w:r>
              <w:rPr>
                <w:rFonts w:ascii="Times New Roman"/>
                <w:b w:val="false"/>
                <w:i w:val="false"/>
                <w:color w:val="000000"/>
                <w:sz w:val="20"/>
              </w:rPr>
              <w:t>
   Руководство испытательной лаборатории назначает сотрудников, несущих конкретную ответственность за разработку, валидацию, эксплуатацию и обслуживание компьютеризированных систем. Данный персонал имеет соответствующую квалификацию, опыт и достаточную подготовку для выполнения своих обязанностей в соответствии с принципами Стандарта.</w:t>
            </w:r>
          </w:p>
          <w:p>
            <w:pPr>
              <w:spacing w:after="20"/>
              <w:ind w:left="20"/>
              <w:jc w:val="both"/>
            </w:pPr>
            <w:r>
              <w:rPr>
                <w:rFonts w:ascii="Times New Roman"/>
                <w:b w:val="false"/>
                <w:i w:val="false"/>
                <w:color w:val="000000"/>
                <w:sz w:val="20"/>
              </w:rPr>
              <w:t>
   2.1.2. Руководители исследования согласно принципам Стандарта несут ответственность за общее проведение исследований.</w:t>
            </w:r>
          </w:p>
          <w:p>
            <w:pPr>
              <w:spacing w:after="20"/>
              <w:ind w:left="20"/>
              <w:jc w:val="both"/>
            </w:pPr>
            <w:r>
              <w:rPr>
                <w:rFonts w:ascii="Times New Roman"/>
                <w:b w:val="false"/>
                <w:i w:val="false"/>
                <w:color w:val="000000"/>
                <w:sz w:val="20"/>
              </w:rPr>
              <w:t>
   Поскольку для проведения многих подобных исследований будут использоваться компьютеризированные системы, важно, чтобы руководители исследования в полной мере их использовали в исследовании для достижения определенной цели.</w:t>
            </w:r>
          </w:p>
          <w:p>
            <w:pPr>
              <w:spacing w:after="20"/>
              <w:ind w:left="20"/>
              <w:jc w:val="both"/>
            </w:pPr>
            <w:r>
              <w:rPr>
                <w:rFonts w:ascii="Times New Roman"/>
                <w:b w:val="false"/>
                <w:i w:val="false"/>
                <w:color w:val="000000"/>
                <w:sz w:val="20"/>
              </w:rPr>
              <w:t>
   Ответственность руководителя исследования относительно данных, полученных в электронном виде, идентична ответственности при работе с данными, хранящимися на бумажном носителе. Кроме того, в исследованиях следует использовать только системы, прошедшие процедуру валидации.</w:t>
            </w:r>
          </w:p>
          <w:p>
            <w:pPr>
              <w:spacing w:after="20"/>
              <w:ind w:left="20"/>
              <w:jc w:val="both"/>
            </w:pPr>
            <w:r>
              <w:rPr>
                <w:rFonts w:ascii="Times New Roman"/>
                <w:b w:val="false"/>
                <w:i w:val="false"/>
                <w:color w:val="000000"/>
                <w:sz w:val="20"/>
              </w:rPr>
              <w:t>
   2.1.3. Персонал</w:t>
            </w:r>
          </w:p>
          <w:p>
            <w:pPr>
              <w:spacing w:after="20"/>
              <w:ind w:left="20"/>
              <w:jc w:val="both"/>
            </w:pPr>
            <w:r>
              <w:rPr>
                <w:rFonts w:ascii="Times New Roman"/>
                <w:b w:val="false"/>
                <w:i w:val="false"/>
                <w:color w:val="000000"/>
                <w:sz w:val="20"/>
              </w:rPr>
              <w:t>
   Весь персонал, использующий компьютеризированные системы, несет ответственность за эксплуатацию данных систем в соответствии с принципами Стандарта. Сотрудники, которые разрабатывают, валидируют, эксплуатируют и обслуживают компьютеризированные системы, несут ответственность за выполнение вышеперечисленных мероприятий в соответствии с принципами Стандарта и установленными техническими нормами.</w:t>
            </w:r>
          </w:p>
          <w:p>
            <w:pPr>
              <w:spacing w:after="20"/>
              <w:ind w:left="20"/>
              <w:jc w:val="both"/>
            </w:pPr>
            <w:r>
              <w:rPr>
                <w:rFonts w:ascii="Times New Roman"/>
                <w:b w:val="false"/>
                <w:i w:val="false"/>
                <w:color w:val="000000"/>
                <w:sz w:val="20"/>
              </w:rPr>
              <w:t>
   2.1.4. Обязательства и ответственность СОК в отношении компьютеризированных систем определяется руководством испытательной лаборатории и описываться служебными инструкциями и процедурами. Программа обеспечения качества включает в себя процедуры и методы, гарантирующие соответствие всех этапов валидации, эксплуатации и технического обслуживания компьютеризированных систем установленным стандартам. Кроме того, программа включает в себя процедуры и методы установки приобретенных систем и процесс разработки компьютеризированных систем внутренними силами организации.</w:t>
            </w:r>
          </w:p>
          <w:p>
            <w:pPr>
              <w:spacing w:after="20"/>
              <w:ind w:left="20"/>
              <w:jc w:val="both"/>
            </w:pPr>
            <w:r>
              <w:rPr>
                <w:rFonts w:ascii="Times New Roman"/>
                <w:b w:val="false"/>
                <w:i w:val="false"/>
                <w:color w:val="000000"/>
                <w:sz w:val="20"/>
              </w:rPr>
              <w:t>
   Персонал СОК призван контролировать соответствие компьютеризированных систем принципам Стандарта, и обучен необходимым специальным (профильным) техническим навыкам. Сотрудники СОК ознакомляются с такими системами в достаточной степени, чтобы давать в отношении них объективные замечания; в некоторых случаях при необходимости назначаются профильный аудитор.</w:t>
            </w:r>
          </w:p>
          <w:p>
            <w:pPr>
              <w:spacing w:after="20"/>
              <w:ind w:left="20"/>
              <w:jc w:val="both"/>
            </w:pPr>
            <w:r>
              <w:rPr>
                <w:rFonts w:ascii="Times New Roman"/>
                <w:b w:val="false"/>
                <w:i w:val="false"/>
                <w:color w:val="000000"/>
                <w:sz w:val="20"/>
              </w:rPr>
              <w:t>
   Для обзора данных персонал СОК имеет прямой доступ "только для чтения" к данным, хранящимся в компьютеризированной системе.</w:t>
            </w:r>
          </w:p>
          <w:p>
            <w:pPr>
              <w:spacing w:after="20"/>
              <w:ind w:left="20"/>
              <w:jc w:val="both"/>
            </w:pPr>
            <w:r>
              <w:rPr>
                <w:rFonts w:ascii="Times New Roman"/>
                <w:b w:val="false"/>
                <w:i w:val="false"/>
                <w:color w:val="000000"/>
                <w:sz w:val="20"/>
              </w:rPr>
              <w:t>
   2.2. Обучение</w:t>
            </w:r>
          </w:p>
          <w:p>
            <w:pPr>
              <w:spacing w:after="20"/>
              <w:ind w:left="20"/>
              <w:jc w:val="both"/>
            </w:pPr>
            <w:r>
              <w:rPr>
                <w:rFonts w:ascii="Times New Roman"/>
                <w:b w:val="false"/>
                <w:i w:val="false"/>
                <w:color w:val="000000"/>
                <w:sz w:val="20"/>
              </w:rPr>
              <w:t>
   Принципы Стандарта требуют, чтобы испытательная лаборатория имела квалифицированный и опытный персонал надлежащего уровня, документированные учебные программы как для обучения на рабочем месте, так и, при необходимости, на внешних учебных курсах. Записи о подобном обучении сохраняются.</w:t>
            </w:r>
          </w:p>
          <w:p>
            <w:pPr>
              <w:spacing w:after="20"/>
              <w:ind w:left="20"/>
              <w:jc w:val="both"/>
            </w:pPr>
            <w:r>
              <w:rPr>
                <w:rFonts w:ascii="Times New Roman"/>
                <w:b w:val="false"/>
                <w:i w:val="false"/>
                <w:color w:val="000000"/>
                <w:sz w:val="20"/>
              </w:rPr>
              <w:t>
   Вышеуказанные положения применяет весь персонал, использующий компьютеризированные системы.</w:t>
            </w:r>
          </w:p>
          <w:p>
            <w:pPr>
              <w:spacing w:after="20"/>
              <w:ind w:left="20"/>
              <w:jc w:val="both"/>
            </w:pPr>
            <w:r>
              <w:rPr>
                <w:rFonts w:ascii="Times New Roman"/>
                <w:b w:val="false"/>
                <w:i w:val="false"/>
                <w:color w:val="000000"/>
                <w:sz w:val="20"/>
              </w:rPr>
              <w:t>
   2.3. Помещения и оборудование</w:t>
            </w:r>
          </w:p>
          <w:p>
            <w:pPr>
              <w:spacing w:after="20"/>
              <w:ind w:left="20"/>
              <w:jc w:val="both"/>
            </w:pPr>
            <w:r>
              <w:rPr>
                <w:rFonts w:ascii="Times New Roman"/>
                <w:b w:val="false"/>
                <w:i w:val="false"/>
                <w:color w:val="000000"/>
                <w:sz w:val="20"/>
              </w:rPr>
              <w:t>
   Для проведения исследований в соответствии с требованиями принципов Стандарта требуется наличие соответствующих помещений и оборудования. Рассматривая компьютеризированные системы, следует принять во внимание ряд конкретных положений.</w:t>
            </w:r>
          </w:p>
          <w:p>
            <w:pPr>
              <w:spacing w:after="20"/>
              <w:ind w:left="20"/>
              <w:jc w:val="both"/>
            </w:pPr>
            <w:r>
              <w:rPr>
                <w:rFonts w:ascii="Times New Roman"/>
                <w:b w:val="false"/>
                <w:i w:val="false"/>
                <w:color w:val="000000"/>
                <w:sz w:val="20"/>
              </w:rPr>
              <w:t>
   2.3.1. Помещения</w:t>
            </w:r>
          </w:p>
          <w:p>
            <w:pPr>
              <w:spacing w:after="20"/>
              <w:ind w:left="20"/>
              <w:jc w:val="both"/>
            </w:pPr>
            <w:r>
              <w:rPr>
                <w:rFonts w:ascii="Times New Roman"/>
                <w:b w:val="false"/>
                <w:i w:val="false"/>
                <w:color w:val="000000"/>
                <w:sz w:val="20"/>
              </w:rPr>
              <w:t>
   Необходимо уделять соответствующее внимание физическому расположению компьютерного аппаратного обеспечения, периферийных компонентов, коммуникационного оборудования и электронных носителей информации. Следует избегать экстремальных температур и влажности, пыли, электромагнитных помех и близости к кабелям высокого напряжения, кроме случаев, когда оборудование специально предназначено для работы в подобных условиях.</w:t>
            </w:r>
          </w:p>
          <w:p>
            <w:pPr>
              <w:spacing w:after="20"/>
              <w:ind w:left="20"/>
              <w:jc w:val="both"/>
            </w:pPr>
            <w:r>
              <w:rPr>
                <w:rFonts w:ascii="Times New Roman"/>
                <w:b w:val="false"/>
                <w:i w:val="false"/>
                <w:color w:val="000000"/>
                <w:sz w:val="20"/>
              </w:rPr>
              <w:t>
   Также необходимо уделять внимание электропитанию компьютерного оборудования и, при необходимости, резервному копированию или бесперебойному питанию компьютеризированных систем, неисправность которых повлияет на результаты исследования.</w:t>
            </w:r>
          </w:p>
          <w:p>
            <w:pPr>
              <w:spacing w:after="20"/>
              <w:ind w:left="20"/>
              <w:jc w:val="both"/>
            </w:pPr>
            <w:r>
              <w:rPr>
                <w:rFonts w:ascii="Times New Roman"/>
                <w:b w:val="false"/>
                <w:i w:val="false"/>
                <w:color w:val="000000"/>
                <w:sz w:val="20"/>
              </w:rPr>
              <w:t>
   Необходимо иметь соответствующие помещения для безопасного хранения электронных носителей информации;</w:t>
            </w:r>
          </w:p>
          <w:p>
            <w:pPr>
              <w:spacing w:after="20"/>
              <w:ind w:left="20"/>
              <w:jc w:val="both"/>
            </w:pPr>
            <w:r>
              <w:rPr>
                <w:rFonts w:ascii="Times New Roman"/>
                <w:b w:val="false"/>
                <w:i w:val="false"/>
                <w:color w:val="000000"/>
                <w:sz w:val="20"/>
              </w:rPr>
              <w:t>
   2.3.2. Оборудование</w:t>
            </w:r>
          </w:p>
          <w:p>
            <w:pPr>
              <w:spacing w:after="20"/>
              <w:ind w:left="20"/>
              <w:jc w:val="both"/>
            </w:pPr>
            <w:r>
              <w:rPr>
                <w:rFonts w:ascii="Times New Roman"/>
                <w:b w:val="false"/>
                <w:i w:val="false"/>
                <w:color w:val="000000"/>
                <w:sz w:val="20"/>
              </w:rPr>
              <w:t>
   a) Аппаратное и программное обеспечение</w:t>
            </w:r>
          </w:p>
          <w:p>
            <w:pPr>
              <w:spacing w:after="20"/>
              <w:ind w:left="20"/>
              <w:jc w:val="both"/>
            </w:pPr>
            <w:r>
              <w:rPr>
                <w:rFonts w:ascii="Times New Roman"/>
                <w:b w:val="false"/>
                <w:i w:val="false"/>
                <w:color w:val="000000"/>
                <w:sz w:val="20"/>
              </w:rPr>
              <w:t>
   Компьютеризированная система определяется как группа аппаратных компонентов и соответствующего программного обеспечения, разработанная и собранная для выполнения определенной функции или группы функций.</w:t>
            </w:r>
          </w:p>
          <w:p>
            <w:pPr>
              <w:spacing w:after="20"/>
              <w:ind w:left="20"/>
              <w:jc w:val="both"/>
            </w:pPr>
            <w:r>
              <w:rPr>
                <w:rFonts w:ascii="Times New Roman"/>
                <w:b w:val="false"/>
                <w:i w:val="false"/>
                <w:color w:val="000000"/>
                <w:sz w:val="20"/>
              </w:rPr>
              <w:t>
   К аппаратному обеспечению относятся физические компоненты компьютеризированной системы, состоящие из самого компьютера и периферийных компонентов.</w:t>
            </w:r>
          </w:p>
          <w:p>
            <w:pPr>
              <w:spacing w:after="20"/>
              <w:ind w:left="20"/>
              <w:jc w:val="both"/>
            </w:pPr>
            <w:r>
              <w:rPr>
                <w:rFonts w:ascii="Times New Roman"/>
                <w:b w:val="false"/>
                <w:i w:val="false"/>
                <w:color w:val="000000"/>
                <w:sz w:val="20"/>
              </w:rPr>
              <w:t>
   Программное обеспечение представляет собой программу, управляющую функционированием компьютеризированной системы.</w:t>
            </w:r>
          </w:p>
          <w:p>
            <w:pPr>
              <w:spacing w:after="20"/>
              <w:ind w:left="20"/>
              <w:jc w:val="both"/>
            </w:pPr>
            <w:r>
              <w:rPr>
                <w:rFonts w:ascii="Times New Roman"/>
                <w:b w:val="false"/>
                <w:i w:val="false"/>
                <w:color w:val="000000"/>
                <w:sz w:val="20"/>
              </w:rPr>
              <w:t>
   Все принципы Стандарта, применяемые к оборудованию, в равной степени применимы и к аппаратному, и программному обеспечению.</w:t>
            </w:r>
          </w:p>
          <w:p>
            <w:pPr>
              <w:spacing w:after="20"/>
              <w:ind w:left="20"/>
              <w:jc w:val="both"/>
            </w:pPr>
            <w:r>
              <w:rPr>
                <w:rFonts w:ascii="Times New Roman"/>
                <w:b w:val="false"/>
                <w:i w:val="false"/>
                <w:color w:val="000000"/>
                <w:sz w:val="20"/>
              </w:rPr>
              <w:t>
   b) Коммуникации</w:t>
            </w:r>
          </w:p>
          <w:p>
            <w:pPr>
              <w:spacing w:after="20"/>
              <w:ind w:left="20"/>
              <w:jc w:val="both"/>
            </w:pPr>
            <w:r>
              <w:rPr>
                <w:rFonts w:ascii="Times New Roman"/>
                <w:b w:val="false"/>
                <w:i w:val="false"/>
                <w:color w:val="000000"/>
                <w:sz w:val="20"/>
              </w:rPr>
              <w:t>
   Коммуникации, относящиеся к компьютеризированным системам, делятся на две основные категории: коммуникации между компьютерами или между компьютерами и периферийными компонентами.</w:t>
            </w:r>
          </w:p>
          <w:p>
            <w:pPr>
              <w:spacing w:after="20"/>
              <w:ind w:left="20"/>
              <w:jc w:val="both"/>
            </w:pPr>
            <w:r>
              <w:rPr>
                <w:rFonts w:ascii="Times New Roman"/>
                <w:b w:val="false"/>
                <w:i w:val="false"/>
                <w:color w:val="000000"/>
                <w:sz w:val="20"/>
              </w:rPr>
              <w:t>
   Все коммуникационные линии являются потенциальными источниками ошибок, которые приводят к потере или повреждению данных. Для обеспечения безопасности и целостности системы устанавливается соответствующий контроль процессов разработки, валидации, эксплуатации и технического обслуживания компьютеризированных систем.</w:t>
            </w:r>
          </w:p>
          <w:p>
            <w:pPr>
              <w:spacing w:after="20"/>
              <w:ind w:left="20"/>
              <w:jc w:val="both"/>
            </w:pPr>
            <w:r>
              <w:rPr>
                <w:rFonts w:ascii="Times New Roman"/>
                <w:b w:val="false"/>
                <w:i w:val="false"/>
                <w:color w:val="000000"/>
                <w:sz w:val="20"/>
              </w:rPr>
              <w:t>
   2.4. Техническое обслуживание и аварийное восстановление</w:t>
            </w:r>
          </w:p>
          <w:p>
            <w:pPr>
              <w:spacing w:after="20"/>
              <w:ind w:left="20"/>
              <w:jc w:val="both"/>
            </w:pPr>
            <w:r>
              <w:rPr>
                <w:rFonts w:ascii="Times New Roman"/>
                <w:b w:val="false"/>
                <w:i w:val="false"/>
                <w:color w:val="000000"/>
                <w:sz w:val="20"/>
              </w:rPr>
              <w:t>
   Все компьютеризированные системы следует устанавливать и обслуживать таким образом, чтобы обеспечивать непрерывность работы.</w:t>
            </w:r>
          </w:p>
          <w:p>
            <w:pPr>
              <w:spacing w:after="20"/>
              <w:ind w:left="20"/>
              <w:jc w:val="both"/>
            </w:pPr>
            <w:r>
              <w:rPr>
                <w:rFonts w:ascii="Times New Roman"/>
                <w:b w:val="false"/>
                <w:i w:val="false"/>
                <w:color w:val="000000"/>
                <w:sz w:val="20"/>
              </w:rPr>
              <w:t>
   2.4.1. Техническое обслуживание</w:t>
            </w:r>
          </w:p>
          <w:p>
            <w:pPr>
              <w:spacing w:after="20"/>
              <w:ind w:left="20"/>
              <w:jc w:val="both"/>
            </w:pPr>
            <w:r>
              <w:rPr>
                <w:rFonts w:ascii="Times New Roman"/>
                <w:b w:val="false"/>
                <w:i w:val="false"/>
                <w:color w:val="000000"/>
                <w:sz w:val="20"/>
              </w:rPr>
              <w:t>
   Обязательно наличие документированных процедур, охватывающих как плановое профилактическое обслуживание, так и устранение неисправностей. В этих процедурах четко определяется роль и ответственность вовлеченного в процесс технического обслуживания персонала. В случаях, когда такие операции по сопровождению требуют изменений аппаратного и (или) программного обеспечения, возникает необходимость повторной валидации системы. В течение повседневной работы записывается информация о любых проблемах и несоответствиях в системе и любые предпринятые действия по исправлению положения.</w:t>
            </w:r>
          </w:p>
          <w:p>
            <w:pPr>
              <w:spacing w:after="20"/>
              <w:ind w:left="20"/>
              <w:jc w:val="both"/>
            </w:pPr>
            <w:r>
              <w:rPr>
                <w:rFonts w:ascii="Times New Roman"/>
                <w:b w:val="false"/>
                <w:i w:val="false"/>
                <w:color w:val="000000"/>
                <w:sz w:val="20"/>
              </w:rPr>
              <w:t>
   2.4.2. Аварийное восстановление</w:t>
            </w:r>
          </w:p>
          <w:p>
            <w:pPr>
              <w:spacing w:after="20"/>
              <w:ind w:left="20"/>
              <w:jc w:val="both"/>
            </w:pPr>
            <w:r>
              <w:rPr>
                <w:rFonts w:ascii="Times New Roman"/>
                <w:b w:val="false"/>
                <w:i w:val="false"/>
                <w:color w:val="000000"/>
                <w:sz w:val="20"/>
              </w:rPr>
              <w:t xml:space="preserve">
   Имеется место процедуры, описывающие меры, которые необходимо предпринять в случае частичного или полного отказа компьютеризированной системы. Меры варьируются от запланированного сокращения аппаратного оборудования до перехода в систему с бумажными носителями информации. Все планы действия в аварийных ситуациях тщательно документируются, валидированы; кроме того, они обеспечивают непрерывную целостность данных и не могут каким-либо образом угрожать исследованию. Персонал, вовлеченный в проведение исследования в соответствии с принципами </w:t>
            </w:r>
          </w:p>
          <w:p>
            <w:pPr>
              <w:spacing w:after="20"/>
              <w:ind w:left="20"/>
              <w:jc w:val="both"/>
            </w:pPr>
            <w:r>
              <w:rPr>
                <w:rFonts w:ascii="Times New Roman"/>
                <w:b w:val="false"/>
                <w:i w:val="false"/>
                <w:color w:val="000000"/>
                <w:sz w:val="20"/>
              </w:rPr>
              <w:t>
   Стандарта, осведомлен о наличии данных планов действия в аварийных ситуациях.</w:t>
            </w:r>
          </w:p>
          <w:p>
            <w:pPr>
              <w:spacing w:after="20"/>
              <w:ind w:left="20"/>
              <w:jc w:val="both"/>
            </w:pPr>
            <w:r>
              <w:rPr>
                <w:rFonts w:ascii="Times New Roman"/>
                <w:b w:val="false"/>
                <w:i w:val="false"/>
                <w:color w:val="000000"/>
                <w:sz w:val="20"/>
              </w:rPr>
              <w:t>
   Процедуры восстановления компьютеризированной системы будут зависеть от критичности системы, поэтому так важно иметь в наличии резервные копии всех программ. Если процедуры восстановления влекут за собой изменения аппаратного или программного обеспечения, требуется повторная валидация системы.</w:t>
            </w:r>
          </w:p>
          <w:p>
            <w:pPr>
              <w:spacing w:after="20"/>
              <w:ind w:left="20"/>
              <w:jc w:val="both"/>
            </w:pPr>
            <w:r>
              <w:rPr>
                <w:rFonts w:ascii="Times New Roman"/>
                <w:b w:val="false"/>
                <w:i w:val="false"/>
                <w:color w:val="000000"/>
                <w:sz w:val="20"/>
              </w:rPr>
              <w:t>
   2.5. Данные</w:t>
            </w:r>
          </w:p>
          <w:p>
            <w:pPr>
              <w:spacing w:after="20"/>
              <w:ind w:left="20"/>
              <w:jc w:val="both"/>
            </w:pPr>
            <w:r>
              <w:rPr>
                <w:rFonts w:ascii="Times New Roman"/>
                <w:b w:val="false"/>
                <w:i w:val="false"/>
                <w:color w:val="000000"/>
                <w:sz w:val="20"/>
              </w:rPr>
              <w:t>
   Принципы Стандарта определяют первичные данные как оригиналы записей и документации, включая данные, напрямую введенные в компьютер через интерфейс прибора, которые являются результатами оригинальных наблюдений и действий в ходе исследования и необходимы для формирования и оценки отчета о данном исследовании.</w:t>
            </w:r>
          </w:p>
          <w:p>
            <w:pPr>
              <w:spacing w:after="20"/>
              <w:ind w:left="20"/>
              <w:jc w:val="both"/>
            </w:pPr>
            <w:r>
              <w:rPr>
                <w:rFonts w:ascii="Times New Roman"/>
                <w:b w:val="false"/>
                <w:i w:val="false"/>
                <w:color w:val="000000"/>
                <w:sz w:val="20"/>
              </w:rPr>
              <w:t>
   Компьютеризированные системы, работающие в соответствии с принципами Стандарта, связаны с первичными данными с использованием различных форм, таких как, например, электронных носителей информации, распечаток с компьютера или приборов, а также копий микрофильмов, микрофиш. Необходимо, чтобы первичные данные были определены для каждой компьютеризированной системы.</w:t>
            </w:r>
          </w:p>
          <w:p>
            <w:pPr>
              <w:spacing w:after="20"/>
              <w:ind w:left="20"/>
              <w:jc w:val="both"/>
            </w:pPr>
            <w:r>
              <w:rPr>
                <w:rFonts w:ascii="Times New Roman"/>
                <w:b w:val="false"/>
                <w:i w:val="false"/>
                <w:color w:val="000000"/>
                <w:sz w:val="20"/>
              </w:rPr>
              <w:t>
   Если компьютеризированные системы используют для сбора, обработки, представления или хранения первичных данных в электронном виде, то конфигурация системы всегда обеспечивает сохранение аудиторских данных в полном объеме, чтобы была возможность показать все изменения данных, не скрывая первичных данных. Имеет возможность связать все изменения данных с лицами, которые внесли эти изменения при помощи своевременной и датированной (электронной) подписи. Причины внесения изменений указываются.</w:t>
            </w:r>
          </w:p>
          <w:p>
            <w:pPr>
              <w:spacing w:after="20"/>
              <w:ind w:left="20"/>
              <w:jc w:val="both"/>
            </w:pPr>
            <w:r>
              <w:rPr>
                <w:rFonts w:ascii="Times New Roman"/>
                <w:b w:val="false"/>
                <w:i w:val="false"/>
                <w:color w:val="000000"/>
                <w:sz w:val="20"/>
              </w:rPr>
              <w:t>
   Если первичные данные хранятся на электронных носителях информации, то необходимо обеспечить выполнение требований по их долгосрочному хранению в зависимости от типа хранимых данных и ожидаемого срока службы компьютеризированных систем. При изменении систем аппаратного и программного обеспечения предоставляется постоянный доступ к первичным данным и их безопасное хранение для гарантирования целостности данных. Вспомогательная информация, такая как журналы обслуживания оборудования и протоколы калибровки, которая необходима для подтверждения достоверности первичных данных или которая позволяет реконструировать процесс или исследование, сохраняется в архивах.</w:t>
            </w:r>
          </w:p>
          <w:p>
            <w:pPr>
              <w:spacing w:after="20"/>
              <w:ind w:left="20"/>
              <w:jc w:val="both"/>
            </w:pPr>
            <w:r>
              <w:rPr>
                <w:rFonts w:ascii="Times New Roman"/>
                <w:b w:val="false"/>
                <w:i w:val="false"/>
                <w:color w:val="000000"/>
                <w:sz w:val="20"/>
              </w:rPr>
              <w:t>
   Процедуры для работы компьютеризированной системы также описывает альтернативные процедуры сбора данных, которым необходимо следовать в случае сбоя системы. При таких обстоятельствах любые вручную записанные исходные данные, в дальнейшем вводимые в компьютер, четко обозначаются в качестве таковых и сохранены в качестве исходных записей. Процедуры по резервированию данных, проводимые вручную, могут свести к минимуму риск потери данных и гарантировать сохранение этих альтернативных записей.</w:t>
            </w:r>
          </w:p>
          <w:p>
            <w:pPr>
              <w:spacing w:after="20"/>
              <w:ind w:left="20"/>
              <w:jc w:val="both"/>
            </w:pPr>
            <w:r>
              <w:rPr>
                <w:rFonts w:ascii="Times New Roman"/>
                <w:b w:val="false"/>
                <w:i w:val="false"/>
                <w:color w:val="000000"/>
                <w:sz w:val="20"/>
              </w:rPr>
              <w:t>
   Если в случае устаревания системы необходимо перевести электронные первичные данные из одной системы в другую, то данный процесс документируется надлежащим образом, а целостность данных подтверждена. В случаях, когда подобные миграции данных не осуществимы практически, первичные данные передаются на другой носитель и утверждаются в качестве точной копии до начала удаления оригинальных электронных записей.</w:t>
            </w:r>
          </w:p>
          <w:p>
            <w:pPr>
              <w:spacing w:after="20"/>
              <w:ind w:left="20"/>
              <w:jc w:val="both"/>
            </w:pPr>
            <w:r>
              <w:rPr>
                <w:rFonts w:ascii="Times New Roman"/>
                <w:b w:val="false"/>
                <w:i w:val="false"/>
                <w:color w:val="000000"/>
                <w:sz w:val="20"/>
              </w:rPr>
              <w:t>
   2.6. Компьютерная безопасность</w:t>
            </w:r>
          </w:p>
          <w:p>
            <w:pPr>
              <w:spacing w:after="20"/>
              <w:ind w:left="20"/>
              <w:jc w:val="both"/>
            </w:pPr>
            <w:r>
              <w:rPr>
                <w:rFonts w:ascii="Times New Roman"/>
                <w:b w:val="false"/>
                <w:i w:val="false"/>
                <w:color w:val="000000"/>
                <w:sz w:val="20"/>
              </w:rPr>
              <w:t>
   Для защиты аппаратного оборудования, программного обеспечения и данных от повреждения, несанкционированного изменения или потери данных устанавливаются документированные процедуры безопасности.</w:t>
            </w:r>
          </w:p>
          <w:p>
            <w:pPr>
              <w:spacing w:after="20"/>
              <w:ind w:left="20"/>
              <w:jc w:val="both"/>
            </w:pPr>
            <w:r>
              <w:rPr>
                <w:rFonts w:ascii="Times New Roman"/>
                <w:b w:val="false"/>
                <w:i w:val="false"/>
                <w:color w:val="000000"/>
                <w:sz w:val="20"/>
              </w:rPr>
              <w:t>
   В данном контексте "безопасность" означает предотвращение несанкционированного доступа или изменений, как компьютеризированной системы, так и данных, хранящихся в ней. Следует также принять во внимание вероятность повреждения данных вирусами или другими программами-агентами. Также предпринимаются меры безопасности, обеспечивающие целостность данных в случае как краткосрочных, так и долгосрочных сбоев системы.</w:t>
            </w:r>
          </w:p>
          <w:p>
            <w:pPr>
              <w:spacing w:after="20"/>
              <w:ind w:left="20"/>
              <w:jc w:val="both"/>
            </w:pPr>
            <w:r>
              <w:rPr>
                <w:rFonts w:ascii="Times New Roman"/>
                <w:b w:val="false"/>
                <w:i w:val="false"/>
                <w:color w:val="000000"/>
                <w:sz w:val="20"/>
              </w:rPr>
              <w:t>
   2.6.1. Физическая безопасность</w:t>
            </w:r>
          </w:p>
          <w:p>
            <w:pPr>
              <w:spacing w:after="20"/>
              <w:ind w:left="20"/>
              <w:jc w:val="both"/>
            </w:pPr>
            <w:r>
              <w:rPr>
                <w:rFonts w:ascii="Times New Roman"/>
                <w:b w:val="false"/>
                <w:i w:val="false"/>
                <w:color w:val="000000"/>
                <w:sz w:val="20"/>
              </w:rPr>
              <w:t>
   Чтобы ограничить доступ к компьютерному и коммуникационному оборудованию, периферийным компонентам и электронным носителям информации только уполномоченным персоналом, необходимо применять физические меры безопасности.</w:t>
            </w:r>
          </w:p>
          <w:p>
            <w:pPr>
              <w:spacing w:after="20"/>
              <w:ind w:left="20"/>
              <w:jc w:val="both"/>
            </w:pPr>
            <w:r>
              <w:rPr>
                <w:rFonts w:ascii="Times New Roman"/>
                <w:b w:val="false"/>
                <w:i w:val="false"/>
                <w:color w:val="000000"/>
                <w:sz w:val="20"/>
              </w:rPr>
              <w:t>
   К оборудованию, которое не хранится в специальных "компьютерных помещениях" (например, персональным компьютерам и терминалам), могут применяться, как минимум, стандартные элементы контроля доступа, имеющиеся в испытательной лаборатории.</w:t>
            </w:r>
          </w:p>
          <w:p>
            <w:pPr>
              <w:spacing w:after="20"/>
              <w:ind w:left="20"/>
              <w:jc w:val="both"/>
            </w:pPr>
            <w:r>
              <w:rPr>
                <w:rFonts w:ascii="Times New Roman"/>
                <w:b w:val="false"/>
                <w:i w:val="false"/>
                <w:color w:val="000000"/>
                <w:sz w:val="20"/>
              </w:rPr>
              <w:t>
   Однако там, где такое оборудование располагается удаленно (например, портативные компоненты и линии модемной связи), предпринимаются дополнительные меры.</w:t>
            </w:r>
          </w:p>
          <w:p>
            <w:pPr>
              <w:spacing w:after="20"/>
              <w:ind w:left="20"/>
              <w:jc w:val="both"/>
            </w:pPr>
            <w:r>
              <w:rPr>
                <w:rFonts w:ascii="Times New Roman"/>
                <w:b w:val="false"/>
                <w:i w:val="false"/>
                <w:color w:val="000000"/>
                <w:sz w:val="20"/>
              </w:rPr>
              <w:t>
   2.6.2. Логическая безопасность</w:t>
            </w:r>
          </w:p>
          <w:p>
            <w:pPr>
              <w:spacing w:after="20"/>
              <w:ind w:left="20"/>
              <w:jc w:val="both"/>
            </w:pPr>
            <w:r>
              <w:rPr>
                <w:rFonts w:ascii="Times New Roman"/>
                <w:b w:val="false"/>
                <w:i w:val="false"/>
                <w:color w:val="000000"/>
                <w:sz w:val="20"/>
              </w:rPr>
              <w:t>
   Чтобы предотвратить несанкционированный доступ к компьютеризированной системе, приложениям и данным, необходимо наличие мер логической безопасности для каждой компьютеризированной системы или приложения. Важно обеспечивать использование только утвержденных версий и валидированного программного обеспечения. Логическая безопасность включает в себя необходимость введения уникального идентификатора пользователя с соответствующим паролем. Любое введение данных или установку программного обеспечения из внешних источников следует контролировать. Эти элементы контроля обеспечиваются с помощью программного обеспечения операционной системы компьютера, специальных программ безопасности, встроенных в приложения процедур, или комбинаций всего вышеперечисленного.</w:t>
            </w:r>
          </w:p>
          <w:p>
            <w:pPr>
              <w:spacing w:after="20"/>
              <w:ind w:left="20"/>
              <w:jc w:val="both"/>
            </w:pPr>
            <w:r>
              <w:rPr>
                <w:rFonts w:ascii="Times New Roman"/>
                <w:b w:val="false"/>
                <w:i w:val="false"/>
                <w:color w:val="000000"/>
                <w:sz w:val="20"/>
              </w:rPr>
              <w:t>
   2.6.3. Целостность данных</w:t>
            </w:r>
          </w:p>
          <w:p>
            <w:pPr>
              <w:spacing w:after="20"/>
              <w:ind w:left="20"/>
              <w:jc w:val="both"/>
            </w:pPr>
            <w:r>
              <w:rPr>
                <w:rFonts w:ascii="Times New Roman"/>
                <w:b w:val="false"/>
                <w:i w:val="false"/>
                <w:color w:val="000000"/>
                <w:sz w:val="20"/>
              </w:rPr>
              <w:t>
   Так как поддержание целостности данных является главной целью принципов Стандарта, важно, чтобы весь персонал, связанный с компьютеризированной системой, осознавал необходимость вышеизложенных мер безопасности. Руководство испытательной лаборатории гарантирует, чтобы персонал был осведомлен о важности обеспечения безопасности данных, доступных процедурах и особенностях системы, которые позволяют предоставить надлежащую безопасность, а также о последствиях нарушения безопасности.</w:t>
            </w:r>
          </w:p>
          <w:p>
            <w:pPr>
              <w:spacing w:after="20"/>
              <w:ind w:left="20"/>
              <w:jc w:val="both"/>
            </w:pPr>
            <w:r>
              <w:rPr>
                <w:rFonts w:ascii="Times New Roman"/>
                <w:b w:val="false"/>
                <w:i w:val="false"/>
                <w:color w:val="000000"/>
                <w:sz w:val="20"/>
              </w:rPr>
              <w:t>
   Такие функции системы включают плановое наблюдение за доступом к системе, внедрение программ верификации файлов и отчетов об исключениях и (или) трендах.</w:t>
            </w:r>
          </w:p>
          <w:p>
            <w:pPr>
              <w:spacing w:after="20"/>
              <w:ind w:left="20"/>
              <w:jc w:val="both"/>
            </w:pPr>
            <w:r>
              <w:rPr>
                <w:rFonts w:ascii="Times New Roman"/>
                <w:b w:val="false"/>
                <w:i w:val="false"/>
                <w:color w:val="000000"/>
                <w:sz w:val="20"/>
              </w:rPr>
              <w:t>
   2.6.4. Резервное копирование</w:t>
            </w:r>
          </w:p>
          <w:p>
            <w:pPr>
              <w:spacing w:after="20"/>
              <w:ind w:left="20"/>
              <w:jc w:val="both"/>
            </w:pPr>
            <w:r>
              <w:rPr>
                <w:rFonts w:ascii="Times New Roman"/>
                <w:b w:val="false"/>
                <w:i w:val="false"/>
                <w:color w:val="000000"/>
                <w:sz w:val="20"/>
              </w:rPr>
              <w:t>
   Резервное копирование программного обеспечения и данных является стандартной практикой при работе с компьютеризированной системой, которое позволяет восстановить систему после любых неполадок (например, повреждения диска), ставящих под угрозу целостность системы. В данном случае подразумевается возможность превращения резервной копии в первичные данные, после чего они рассматриваются в качестве таковых.</w:t>
            </w:r>
          </w:p>
          <w:p>
            <w:pPr>
              <w:spacing w:after="20"/>
              <w:ind w:left="20"/>
              <w:jc w:val="both"/>
            </w:pPr>
            <w:r>
              <w:rPr>
                <w:rFonts w:ascii="Times New Roman"/>
                <w:b w:val="false"/>
                <w:i w:val="false"/>
                <w:color w:val="000000"/>
                <w:sz w:val="20"/>
              </w:rPr>
              <w:t>
   2.7. Валидация компьютеризированных систем</w:t>
            </w:r>
          </w:p>
          <w:p>
            <w:pPr>
              <w:spacing w:after="20"/>
              <w:ind w:left="20"/>
              <w:jc w:val="both"/>
            </w:pPr>
            <w:r>
              <w:rPr>
                <w:rFonts w:ascii="Times New Roman"/>
                <w:b w:val="false"/>
                <w:i w:val="false"/>
                <w:color w:val="000000"/>
                <w:sz w:val="20"/>
              </w:rPr>
              <w:t>
   Компьютеризированные системы пригодны для предусмотренного назначения. Рассматриваются следующие аспекты:</w:t>
            </w:r>
          </w:p>
          <w:p>
            <w:pPr>
              <w:spacing w:after="20"/>
              <w:ind w:left="20"/>
              <w:jc w:val="both"/>
            </w:pPr>
            <w:r>
              <w:rPr>
                <w:rFonts w:ascii="Times New Roman"/>
                <w:b w:val="false"/>
                <w:i w:val="false"/>
                <w:color w:val="000000"/>
                <w:sz w:val="20"/>
              </w:rPr>
              <w:t>
   2.7.1. Приемочные испытания</w:t>
            </w:r>
          </w:p>
          <w:p>
            <w:pPr>
              <w:spacing w:after="20"/>
              <w:ind w:left="20"/>
              <w:jc w:val="both"/>
            </w:pPr>
            <w:r>
              <w:rPr>
                <w:rFonts w:ascii="Times New Roman"/>
                <w:b w:val="false"/>
                <w:i w:val="false"/>
                <w:color w:val="000000"/>
                <w:sz w:val="20"/>
              </w:rPr>
              <w:t>
   Компьютеризированные системы спроектированы так, чтобы удовлетворять принципам Стандарта. Они устанавливаются согласно предварительно разработанному плану. При этом необходимо наличие соответствующей документации, подтверждающей, что каждая система была разработана под соответствующим контролем и (желательно) в соответствии с общепризнанными стандартами качества и техническими стандартами (например, ISO 9001). Кроме того, предоставляется доказательства того, что система была надлежащим образом протестирована испытательной лабораторией на соответствие критериям приемки до введения в повседневное использование.</w:t>
            </w:r>
          </w:p>
          <w:p>
            <w:pPr>
              <w:spacing w:after="20"/>
              <w:ind w:left="20"/>
              <w:jc w:val="both"/>
            </w:pPr>
            <w:r>
              <w:rPr>
                <w:rFonts w:ascii="Times New Roman"/>
                <w:b w:val="false"/>
                <w:i w:val="false"/>
                <w:color w:val="000000"/>
                <w:sz w:val="20"/>
              </w:rPr>
              <w:t>
   Процедура официального приемочного испытания требует проведения испытаний в соответствии с заранее установленным планом и сохранения документированного свидетельства, содержащего следующую информацию: процедуры испытания, данные проведенного испытания, результаты испытаний, официальную сводку об испытании, записи об официальной приемке результатов испытания.</w:t>
            </w:r>
          </w:p>
          <w:p>
            <w:pPr>
              <w:spacing w:after="20"/>
              <w:ind w:left="20"/>
              <w:jc w:val="both"/>
            </w:pPr>
            <w:r>
              <w:rPr>
                <w:rFonts w:ascii="Times New Roman"/>
                <w:b w:val="false"/>
                <w:i w:val="false"/>
                <w:color w:val="000000"/>
                <w:sz w:val="20"/>
              </w:rPr>
              <w:t>
   Вполне вероятно, что большая часть документации, относящейся к установленным производителем системам и созданной в процессе разработки систем, хранится на сайте производителя. В этом случае, данные официальной оценки и (или) аудита производителя имеется в наличии в испытательной лаборатории;</w:t>
            </w:r>
          </w:p>
          <w:p>
            <w:pPr>
              <w:spacing w:after="20"/>
              <w:ind w:left="20"/>
              <w:jc w:val="both"/>
            </w:pPr>
            <w:r>
              <w:rPr>
                <w:rFonts w:ascii="Times New Roman"/>
                <w:b w:val="false"/>
                <w:i w:val="false"/>
                <w:color w:val="000000"/>
                <w:sz w:val="20"/>
              </w:rPr>
              <w:t>
   2.7.2. Ретроспективная оценка</w:t>
            </w:r>
          </w:p>
          <w:p>
            <w:pPr>
              <w:spacing w:after="20"/>
              <w:ind w:left="20"/>
              <w:jc w:val="both"/>
            </w:pPr>
            <w:r>
              <w:rPr>
                <w:rFonts w:ascii="Times New Roman"/>
                <w:b w:val="false"/>
                <w:i w:val="false"/>
                <w:color w:val="000000"/>
                <w:sz w:val="20"/>
              </w:rPr>
              <w:t>
   Имеются системы, для которых необходимость соблюдения принципов Стандарта не была предусмотрена или указана. В таких случаях необходимо наличие документального обоснования использования данных систем, которое включает в себя ретроспективную оценку, используемую для определения пригодности системы.</w:t>
            </w:r>
          </w:p>
          <w:p>
            <w:pPr>
              <w:spacing w:after="20"/>
              <w:ind w:left="20"/>
              <w:jc w:val="both"/>
            </w:pPr>
            <w:r>
              <w:rPr>
                <w:rFonts w:ascii="Times New Roman"/>
                <w:b w:val="false"/>
                <w:i w:val="false"/>
                <w:color w:val="000000"/>
                <w:sz w:val="20"/>
              </w:rPr>
              <w:t>
   Ретроспективная оценка начинается со сбора всех исторических записей, связанных с компьютеризированной системой. Затем данные записи рассматриваются, после чего составляется письменная сводка. В данной сводке ретроспективной оценки необходимо указывать, что доказательства валидации доступны, а также, какие шаги следует предпринимать в будущем для обеспечения валидации компьютеризированной систем;</w:t>
            </w:r>
          </w:p>
          <w:p>
            <w:pPr>
              <w:spacing w:after="20"/>
              <w:ind w:left="20"/>
              <w:jc w:val="both"/>
            </w:pPr>
            <w:r>
              <w:rPr>
                <w:rFonts w:ascii="Times New Roman"/>
                <w:b w:val="false"/>
                <w:i w:val="false"/>
                <w:color w:val="000000"/>
                <w:sz w:val="20"/>
              </w:rPr>
              <w:t>
   2.7.3. Контроль изменений</w:t>
            </w:r>
          </w:p>
          <w:p>
            <w:pPr>
              <w:spacing w:after="20"/>
              <w:ind w:left="20"/>
              <w:jc w:val="both"/>
            </w:pPr>
            <w:r>
              <w:rPr>
                <w:rFonts w:ascii="Times New Roman"/>
                <w:b w:val="false"/>
                <w:i w:val="false"/>
                <w:color w:val="000000"/>
                <w:sz w:val="20"/>
              </w:rPr>
              <w:t>
   Контроль изменений означает официальное утверждение и документирование любого изменения компьютеризированной системы в течение срока ее эксплуатации. Контроль изменений необходим в случаях, когда изменения влияют на статус валидации компьютеризированной системы. Процедуры контроля изменений вступают в силу сразу после подтверждения готовности к эксплуатации компьютеризированной системы.</w:t>
            </w:r>
          </w:p>
          <w:p>
            <w:pPr>
              <w:spacing w:after="20"/>
              <w:ind w:left="20"/>
              <w:jc w:val="both"/>
            </w:pPr>
            <w:r>
              <w:rPr>
                <w:rFonts w:ascii="Times New Roman"/>
                <w:b w:val="false"/>
                <w:i w:val="false"/>
                <w:color w:val="000000"/>
                <w:sz w:val="20"/>
              </w:rPr>
              <w:t>
   В процедуре описывается метод оценки, призванный определять объем повторного испытания, необходимого для поддержания системы в валидированном состоянии. В рамках процедур контроля изменений определяются лица, ответственные за определение необходимости и одобрение контроля изменений.</w:t>
            </w:r>
          </w:p>
          <w:p>
            <w:pPr>
              <w:spacing w:after="20"/>
              <w:ind w:left="20"/>
              <w:jc w:val="both"/>
            </w:pPr>
            <w:r>
              <w:rPr>
                <w:rFonts w:ascii="Times New Roman"/>
                <w:b w:val="false"/>
                <w:i w:val="false"/>
                <w:color w:val="000000"/>
                <w:sz w:val="20"/>
              </w:rPr>
              <w:t>
   Независимо от источника происхождения изменения (поставленная вендором система или система собственной разработки) соответствующая информация представлена как часть процесса контроля изменений. Процедуры контроля изменений гарантирует целостность данных;</w:t>
            </w:r>
          </w:p>
          <w:p>
            <w:pPr>
              <w:spacing w:after="20"/>
              <w:ind w:left="20"/>
              <w:jc w:val="both"/>
            </w:pPr>
            <w:r>
              <w:rPr>
                <w:rFonts w:ascii="Times New Roman"/>
                <w:b w:val="false"/>
                <w:i w:val="false"/>
                <w:color w:val="000000"/>
                <w:sz w:val="20"/>
              </w:rPr>
              <w:t>
   2.7.4. Механизм поддержки</w:t>
            </w:r>
          </w:p>
          <w:p>
            <w:pPr>
              <w:spacing w:after="20"/>
              <w:ind w:left="20"/>
              <w:jc w:val="both"/>
            </w:pPr>
            <w:r>
              <w:rPr>
                <w:rFonts w:ascii="Times New Roman"/>
                <w:b w:val="false"/>
                <w:i w:val="false"/>
                <w:color w:val="000000"/>
                <w:sz w:val="20"/>
              </w:rPr>
              <w:t>
   В целях обеспечения соответствия компьютеризированной системы предусмотренному назначению создаются механизмы поддержки, обеспечивающие корректное функционирование и использование системы. Они включают в себя систему управления, обучение, обслуживание, техническую поддержку, аудит и (или) оценку эксплуатационных показателей. Оценка эксплуатационных показателей означает номинальный просмотр системы через определенные промежутки времени с целью подтверждения соответствия установленным критериям функционирования, например, надежности, чувствительности, производственной мощности.</w:t>
            </w:r>
          </w:p>
          <w:p>
            <w:pPr>
              <w:spacing w:after="20"/>
              <w:ind w:left="20"/>
              <w:jc w:val="both"/>
            </w:pPr>
            <w:r>
              <w:rPr>
                <w:rFonts w:ascii="Times New Roman"/>
                <w:b w:val="false"/>
                <w:i w:val="false"/>
                <w:color w:val="000000"/>
                <w:sz w:val="20"/>
              </w:rPr>
              <w:t>
   2.8. Документирование</w:t>
            </w:r>
          </w:p>
          <w:p>
            <w:pPr>
              <w:spacing w:after="20"/>
              <w:ind w:left="20"/>
              <w:jc w:val="both"/>
            </w:pPr>
            <w:r>
              <w:rPr>
                <w:rFonts w:ascii="Times New Roman"/>
                <w:b w:val="false"/>
                <w:i w:val="false"/>
                <w:color w:val="000000"/>
                <w:sz w:val="20"/>
              </w:rPr>
              <w:t>
   Перечисленные ниже пункты представляют собой руководство по подбору минимальной документации для разработки, валидации, эксплуатации и техническому обслуживанию компьютеризированных систем.</w:t>
            </w:r>
          </w:p>
          <w:p>
            <w:pPr>
              <w:spacing w:after="20"/>
              <w:ind w:left="20"/>
              <w:jc w:val="both"/>
            </w:pPr>
            <w:r>
              <w:rPr>
                <w:rFonts w:ascii="Times New Roman"/>
                <w:b w:val="false"/>
                <w:i w:val="false"/>
                <w:color w:val="000000"/>
                <w:sz w:val="20"/>
              </w:rPr>
              <w:t>
   2.8.1. Порядок действий</w:t>
            </w:r>
          </w:p>
          <w:p>
            <w:pPr>
              <w:spacing w:after="20"/>
              <w:ind w:left="20"/>
              <w:jc w:val="both"/>
            </w:pPr>
            <w:r>
              <w:rPr>
                <w:rFonts w:ascii="Times New Roman"/>
                <w:b w:val="false"/>
                <w:i w:val="false"/>
                <w:color w:val="000000"/>
                <w:sz w:val="20"/>
              </w:rPr>
              <w:t>
   Необходимо наличие письменно зафиксированных принципов административного управления, описывающих помимо прочего процесс приобретения, требования, проектирование, валидацию, испытание, установку, эксплуатацию, техническое обслуживание, подбор персонала, контроль, аудит, мониторинг и изъятие из обращения компьютеризированных систем.</w:t>
            </w:r>
          </w:p>
          <w:p>
            <w:pPr>
              <w:spacing w:after="20"/>
              <w:ind w:left="20"/>
              <w:jc w:val="both"/>
            </w:pPr>
            <w:r>
              <w:rPr>
                <w:rFonts w:ascii="Times New Roman"/>
                <w:b w:val="false"/>
                <w:i w:val="false"/>
                <w:color w:val="000000"/>
                <w:sz w:val="20"/>
              </w:rPr>
              <w:t xml:space="preserve">
   2.8.2. Описание приложения (прикладного программного обеспечения) </w:t>
            </w:r>
          </w:p>
          <w:p>
            <w:pPr>
              <w:spacing w:after="20"/>
              <w:ind w:left="20"/>
              <w:jc w:val="both"/>
            </w:pPr>
            <w:r>
              <w:rPr>
                <w:rFonts w:ascii="Times New Roman"/>
                <w:b w:val="false"/>
                <w:i w:val="false"/>
                <w:color w:val="000000"/>
                <w:sz w:val="20"/>
              </w:rPr>
              <w:t>
   Каждое приложение сопровождается документацией, в которой полностью описывается:</w:t>
            </w:r>
          </w:p>
          <w:p>
            <w:pPr>
              <w:spacing w:after="20"/>
              <w:ind w:left="20"/>
              <w:jc w:val="both"/>
            </w:pPr>
            <w:r>
              <w:rPr>
                <w:rFonts w:ascii="Times New Roman"/>
                <w:b w:val="false"/>
                <w:i w:val="false"/>
                <w:color w:val="000000"/>
                <w:sz w:val="20"/>
              </w:rPr>
              <w:t>
   а) наименование приложения или идентификационного кода и подробное и четкое описание целей приложения;</w:t>
            </w:r>
          </w:p>
          <w:p>
            <w:pPr>
              <w:spacing w:after="20"/>
              <w:ind w:left="20"/>
              <w:jc w:val="both"/>
            </w:pPr>
            <w:r>
              <w:rPr>
                <w:rFonts w:ascii="Times New Roman"/>
                <w:b w:val="false"/>
                <w:i w:val="false"/>
                <w:color w:val="000000"/>
                <w:sz w:val="20"/>
              </w:rPr>
              <w:t>
   б) аппаратное обеспечение (с номерами моделей), на которое установлено приложение;</w:t>
            </w:r>
          </w:p>
          <w:p>
            <w:pPr>
              <w:spacing w:after="20"/>
              <w:ind w:left="20"/>
              <w:jc w:val="both"/>
            </w:pPr>
            <w:r>
              <w:rPr>
                <w:rFonts w:ascii="Times New Roman"/>
                <w:b w:val="false"/>
                <w:i w:val="false"/>
                <w:color w:val="000000"/>
                <w:sz w:val="20"/>
              </w:rPr>
              <w:t>
   в) программное обеспечение операционной и другой системы (например, инструментов), используемое в сочетании с приложением;</w:t>
            </w:r>
          </w:p>
          <w:p>
            <w:pPr>
              <w:spacing w:after="20"/>
              <w:ind w:left="20"/>
              <w:jc w:val="both"/>
            </w:pPr>
            <w:r>
              <w:rPr>
                <w:rFonts w:ascii="Times New Roman"/>
                <w:b w:val="false"/>
                <w:i w:val="false"/>
                <w:color w:val="000000"/>
                <w:sz w:val="20"/>
              </w:rPr>
              <w:t>
   г) используемый программируемый язык приложения и (или) инструментов базы данных;</w:t>
            </w:r>
          </w:p>
          <w:p>
            <w:pPr>
              <w:spacing w:after="20"/>
              <w:ind w:left="20"/>
              <w:jc w:val="both"/>
            </w:pPr>
            <w:r>
              <w:rPr>
                <w:rFonts w:ascii="Times New Roman"/>
                <w:b w:val="false"/>
                <w:i w:val="false"/>
                <w:color w:val="000000"/>
                <w:sz w:val="20"/>
              </w:rPr>
              <w:t>
   д) основные функции, выполняемые приложением;</w:t>
            </w:r>
          </w:p>
          <w:p>
            <w:pPr>
              <w:spacing w:after="20"/>
              <w:ind w:left="20"/>
              <w:jc w:val="both"/>
            </w:pPr>
            <w:r>
              <w:rPr>
                <w:rFonts w:ascii="Times New Roman"/>
                <w:b w:val="false"/>
                <w:i w:val="false"/>
                <w:color w:val="000000"/>
                <w:sz w:val="20"/>
              </w:rPr>
              <w:t>
   е) обзор типов и потоколов данных, дизайна баз данных, связанных с приложением;</w:t>
            </w:r>
          </w:p>
          <w:p>
            <w:pPr>
              <w:spacing w:after="20"/>
              <w:ind w:left="20"/>
              <w:jc w:val="both"/>
            </w:pPr>
            <w:r>
              <w:rPr>
                <w:rFonts w:ascii="Times New Roman"/>
                <w:b w:val="false"/>
                <w:i w:val="false"/>
                <w:color w:val="000000"/>
                <w:sz w:val="20"/>
              </w:rPr>
              <w:t>
   ж) структуры файлов, сообщения об ошибках и авариях, а также алгоритмы, связанные с приложением;</w:t>
            </w:r>
          </w:p>
          <w:p>
            <w:pPr>
              <w:spacing w:after="20"/>
              <w:ind w:left="20"/>
              <w:jc w:val="both"/>
            </w:pPr>
            <w:r>
              <w:rPr>
                <w:rFonts w:ascii="Times New Roman"/>
                <w:b w:val="false"/>
                <w:i w:val="false"/>
                <w:color w:val="000000"/>
                <w:sz w:val="20"/>
              </w:rPr>
              <w:t>
   з) компоненты прикладного программного обеспечения с указанием номеров версий;</w:t>
            </w:r>
          </w:p>
          <w:p>
            <w:pPr>
              <w:spacing w:after="20"/>
              <w:ind w:left="20"/>
              <w:jc w:val="both"/>
            </w:pPr>
            <w:r>
              <w:rPr>
                <w:rFonts w:ascii="Times New Roman"/>
                <w:b w:val="false"/>
                <w:i w:val="false"/>
                <w:color w:val="000000"/>
                <w:sz w:val="20"/>
              </w:rPr>
              <w:t>
   и) конфигурация и коммуникационные связи между модулями приложения, а также оборудованием и другими системами.</w:t>
            </w:r>
          </w:p>
          <w:p>
            <w:pPr>
              <w:spacing w:after="20"/>
              <w:ind w:left="20"/>
              <w:jc w:val="both"/>
            </w:pPr>
            <w:r>
              <w:rPr>
                <w:rFonts w:ascii="Times New Roman"/>
                <w:b w:val="false"/>
                <w:i w:val="false"/>
                <w:color w:val="000000"/>
                <w:sz w:val="20"/>
              </w:rPr>
              <w:t xml:space="preserve">
   2.8.3. Стандартные операционные процедуры </w:t>
            </w:r>
          </w:p>
          <w:p>
            <w:pPr>
              <w:spacing w:after="20"/>
              <w:ind w:left="20"/>
              <w:jc w:val="both"/>
            </w:pPr>
            <w:r>
              <w:rPr>
                <w:rFonts w:ascii="Times New Roman"/>
                <w:b w:val="false"/>
                <w:i w:val="false"/>
                <w:color w:val="000000"/>
                <w:sz w:val="20"/>
              </w:rPr>
              <w:t>
   Большая часть документации, охватывающей использование компьютеризированных систем, представляется в форме СОП. Данные СОП охватывают следующие процедуры, но не ограничиваются ими:</w:t>
            </w:r>
          </w:p>
          <w:p>
            <w:pPr>
              <w:spacing w:after="20"/>
              <w:ind w:left="20"/>
              <w:jc w:val="both"/>
            </w:pPr>
            <w:r>
              <w:rPr>
                <w:rFonts w:ascii="Times New Roman"/>
                <w:b w:val="false"/>
                <w:i w:val="false"/>
                <w:color w:val="000000"/>
                <w:sz w:val="20"/>
              </w:rPr>
              <w:t>
   а) процедуры по работе с компьютеризированными системами (аппаратные средства, программное обеспечение) и обязанности, ответственность вовлеченного персонала;</w:t>
            </w:r>
          </w:p>
          <w:p>
            <w:pPr>
              <w:spacing w:after="20"/>
              <w:ind w:left="20"/>
              <w:jc w:val="both"/>
            </w:pPr>
            <w:r>
              <w:rPr>
                <w:rFonts w:ascii="Times New Roman"/>
                <w:b w:val="false"/>
                <w:i w:val="false"/>
                <w:color w:val="000000"/>
                <w:sz w:val="20"/>
              </w:rPr>
              <w:t>
   б) процедуры по обеспечению мер безопасности, используемых для обнаружения и предотвращения несанкционированного доступа к программе и внесения в нее изменений;</w:t>
            </w:r>
          </w:p>
          <w:p>
            <w:pPr>
              <w:spacing w:after="20"/>
              <w:ind w:left="20"/>
              <w:jc w:val="both"/>
            </w:pPr>
            <w:r>
              <w:rPr>
                <w:rFonts w:ascii="Times New Roman"/>
                <w:b w:val="false"/>
                <w:i w:val="false"/>
                <w:color w:val="000000"/>
                <w:sz w:val="20"/>
              </w:rPr>
              <w:t>
   в) процедуры по внесению изменений в программу, их авторизации и записи изменений;</w:t>
            </w:r>
          </w:p>
          <w:p>
            <w:pPr>
              <w:spacing w:after="20"/>
              <w:ind w:left="20"/>
              <w:jc w:val="both"/>
            </w:pPr>
            <w:r>
              <w:rPr>
                <w:rFonts w:ascii="Times New Roman"/>
                <w:b w:val="false"/>
                <w:i w:val="false"/>
                <w:color w:val="000000"/>
                <w:sz w:val="20"/>
              </w:rPr>
              <w:t>
   г) процедуры по внесению изменений в оборудование (аппаратные средства, программное обеспечение) и их авторизации, в том числе, в случае необходимости, проведение испытаний перед использованием оборудования;</w:t>
            </w:r>
          </w:p>
          <w:p>
            <w:pPr>
              <w:spacing w:after="20"/>
              <w:ind w:left="20"/>
              <w:jc w:val="both"/>
            </w:pPr>
            <w:r>
              <w:rPr>
                <w:rFonts w:ascii="Times New Roman"/>
                <w:b w:val="false"/>
                <w:i w:val="false"/>
                <w:color w:val="000000"/>
                <w:sz w:val="20"/>
              </w:rPr>
              <w:t>
   д) процедуры по проведению периодического испытания надлежащего функционирования всей системы или ее составных частей и записи данных испытаний;</w:t>
            </w:r>
          </w:p>
          <w:p>
            <w:pPr>
              <w:spacing w:after="20"/>
              <w:ind w:left="20"/>
              <w:jc w:val="both"/>
            </w:pPr>
            <w:r>
              <w:rPr>
                <w:rFonts w:ascii="Times New Roman"/>
                <w:b w:val="false"/>
                <w:i w:val="false"/>
                <w:color w:val="000000"/>
                <w:sz w:val="20"/>
              </w:rPr>
              <w:t>
   е) процедуры обслуживания компьютеризированных систем и любого сопутствующего оборудования;</w:t>
            </w:r>
          </w:p>
          <w:p>
            <w:pPr>
              <w:spacing w:after="20"/>
              <w:ind w:left="20"/>
              <w:jc w:val="both"/>
            </w:pPr>
            <w:r>
              <w:rPr>
                <w:rFonts w:ascii="Times New Roman"/>
                <w:b w:val="false"/>
                <w:i w:val="false"/>
                <w:color w:val="000000"/>
                <w:sz w:val="20"/>
              </w:rPr>
              <w:t>
   ж) процедуры разработки программного обеспечения и приемочных испытаний, а также записи всех приемочных испытаний;</w:t>
            </w:r>
          </w:p>
          <w:p>
            <w:pPr>
              <w:spacing w:after="20"/>
              <w:ind w:left="20"/>
              <w:jc w:val="both"/>
            </w:pPr>
            <w:r>
              <w:rPr>
                <w:rFonts w:ascii="Times New Roman"/>
                <w:b w:val="false"/>
                <w:i w:val="false"/>
                <w:color w:val="000000"/>
                <w:sz w:val="20"/>
              </w:rPr>
              <w:t>
   з) процедуры по резервному копированию всех хранимых данных, а также планы действия в случае поломки;</w:t>
            </w:r>
          </w:p>
          <w:p>
            <w:pPr>
              <w:spacing w:after="20"/>
              <w:ind w:left="20"/>
              <w:jc w:val="both"/>
            </w:pPr>
            <w:r>
              <w:rPr>
                <w:rFonts w:ascii="Times New Roman"/>
                <w:b w:val="false"/>
                <w:i w:val="false"/>
                <w:color w:val="000000"/>
                <w:sz w:val="20"/>
              </w:rPr>
              <w:t>
   и) процедуры архивирования и извлечения всех документов, программного обеспечения и компьютерных данных;</w:t>
            </w:r>
          </w:p>
          <w:p>
            <w:pPr>
              <w:spacing w:after="20"/>
              <w:ind w:left="20"/>
              <w:jc w:val="both"/>
            </w:pPr>
            <w:r>
              <w:rPr>
                <w:rFonts w:ascii="Times New Roman"/>
                <w:b w:val="false"/>
                <w:i w:val="false"/>
                <w:color w:val="000000"/>
                <w:sz w:val="20"/>
              </w:rPr>
              <w:t>
   к) процедуры мониторинга и аудита компьютеризированных систем.</w:t>
            </w:r>
          </w:p>
          <w:p>
            <w:pPr>
              <w:spacing w:after="20"/>
              <w:ind w:left="20"/>
              <w:jc w:val="both"/>
            </w:pPr>
            <w:r>
              <w:rPr>
                <w:rFonts w:ascii="Times New Roman"/>
                <w:b w:val="false"/>
                <w:i w:val="false"/>
                <w:color w:val="000000"/>
                <w:sz w:val="20"/>
              </w:rPr>
              <w:t>
   2.9. Архивы</w:t>
            </w:r>
          </w:p>
          <w:p>
            <w:pPr>
              <w:spacing w:after="20"/>
              <w:ind w:left="20"/>
              <w:jc w:val="both"/>
            </w:pPr>
            <w:r>
              <w:rPr>
                <w:rFonts w:ascii="Times New Roman"/>
                <w:b w:val="false"/>
                <w:i w:val="false"/>
                <w:color w:val="000000"/>
                <w:sz w:val="20"/>
              </w:rPr>
              <w:t>
   Принципы Стандарта по архивированию данных следует применять последовательно ко всем типам данных. Поэтому очень важно, чтобы электронные данные хранились на том же уровне контроля доступа, индексирования и соответствующего извлечения, как и другие типы данных.</w:t>
            </w:r>
          </w:p>
          <w:p>
            <w:pPr>
              <w:spacing w:after="20"/>
              <w:ind w:left="20"/>
              <w:jc w:val="both"/>
            </w:pPr>
            <w:r>
              <w:rPr>
                <w:rFonts w:ascii="Times New Roman"/>
                <w:b w:val="false"/>
                <w:i w:val="false"/>
                <w:color w:val="000000"/>
                <w:sz w:val="20"/>
              </w:rPr>
              <w:t>
   Если электронные данные о нескольких исследованиях хранятся на одном носителе информации (диске или магнитной ленте), требуется создание подробного указателя. Он необходим для обеспечения испытательных лабораторий средствами контроля окружающей среды, чтобы гарантировать целостность хранимых электронных данных. Если существует необходимость в создании дополнительных архивных помещений, то руководство испытательной лаборатории обеспечивает, чтобы персонал, ответственный за управление архивами, был идентифицирован, и чтобы доступ к архиву был возможен только уполномоченному персоналу. Также необходимо будет внедрить процедуры, гарантирующие, что целостность хранящихся в электронном виде в течение длительного времени данных не будет нарушена.</w:t>
            </w:r>
          </w:p>
          <w:p>
            <w:pPr>
              <w:spacing w:after="20"/>
              <w:ind w:left="20"/>
              <w:jc w:val="both"/>
            </w:pPr>
            <w:r>
              <w:rPr>
                <w:rFonts w:ascii="Times New Roman"/>
                <w:b w:val="false"/>
                <w:i w:val="false"/>
                <w:color w:val="000000"/>
                <w:sz w:val="20"/>
              </w:rPr>
              <w:t>
   Необходимо создание процедур, обеспечивающих непрерывную считываемость данных в случаях, когда предполагается возникновение проблем с долгосрочным доступом к данным или возникает необходимость изъятия компьютеризированных систем из употребления. Такие процедуры включают, например, производство твердых копий в форме распечатки с принтера или перенос данных в другую систему.</w:t>
            </w:r>
          </w:p>
          <w:p>
            <w:pPr>
              <w:spacing w:after="20"/>
              <w:ind w:left="20"/>
              <w:jc w:val="both"/>
            </w:pPr>
            <w:r>
              <w:rPr>
                <w:rFonts w:ascii="Times New Roman"/>
                <w:b w:val="false"/>
                <w:i w:val="false"/>
                <w:color w:val="000000"/>
                <w:sz w:val="20"/>
              </w:rPr>
              <w:t>
   Хранящиеся в электронном виде данные не следует уничтожать без разрешения руководства испытательной лаборатории и соответствующего документирования. Другие данные, хранящиеся в поддержку компьютеризированных систем, такие как исходный код и записи о разработке, валидации, эксплуатации, обслуживании и мониторинге, следует хранить, по крайней мере, в течение того же срока, как и записи об исследовании, связанные с данными системами.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надлежащей лабораторной</w:t>
            </w:r>
            <w:r>
              <w:br/>
            </w:r>
            <w:r>
              <w:rPr>
                <w:rFonts w:ascii="Times New Roman"/>
                <w:b w:val="false"/>
                <w:i w:val="false"/>
                <w:color w:val="000000"/>
                <w:sz w:val="20"/>
              </w:rPr>
              <w:t>практики 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20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Руководство по обмену информацией в отношении программ контроля соблюдения принципов Стандарта</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val="false"/>
                <w:i w:val="false"/>
                <w:color w:val="000000"/>
                <w:sz w:val="20"/>
              </w:rPr>
              <w:t>В данном приложении содержится информация, которой уполномоченный орган обменивается при проведении программ контроля соблюдения Стандарта. Эта информация включает:</w:t>
            </w:r>
          </w:p>
          <w:p>
            <w:pPr>
              <w:spacing w:after="20"/>
              <w:ind w:left="20"/>
              <w:jc w:val="both"/>
            </w:pPr>
            <w:r>
              <w:rPr>
                <w:rFonts w:ascii="Times New Roman"/>
                <w:b w:val="false"/>
                <w:i w:val="false"/>
                <w:color w:val="000000"/>
                <w:sz w:val="20"/>
              </w:rPr>
              <w:t>
   1.1. название, правовой статус и организационная структура уполномоченного органа;</w:t>
            </w:r>
          </w:p>
          <w:p>
            <w:pPr>
              <w:spacing w:after="20"/>
              <w:ind w:left="20"/>
              <w:jc w:val="both"/>
            </w:pPr>
            <w:r>
              <w:rPr>
                <w:rFonts w:ascii="Times New Roman"/>
                <w:b w:val="false"/>
                <w:i w:val="false"/>
                <w:color w:val="000000"/>
                <w:sz w:val="20"/>
              </w:rPr>
              <w:t>
   1.2. процедуры, проводимые в ходе инспекций лабораторий и аудитов исследований, периодичность инспекций и (или) критерии графиков инспекций;</w:t>
            </w:r>
          </w:p>
          <w:p>
            <w:pPr>
              <w:spacing w:after="20"/>
              <w:ind w:left="20"/>
              <w:jc w:val="both"/>
            </w:pPr>
            <w:r>
              <w:rPr>
                <w:rFonts w:ascii="Times New Roman"/>
                <w:b w:val="false"/>
                <w:i w:val="false"/>
                <w:color w:val="000000"/>
                <w:sz w:val="20"/>
              </w:rPr>
              <w:t>
   1.3. количество и квалификации инспекторов;</w:t>
            </w:r>
          </w:p>
          <w:p>
            <w:pPr>
              <w:spacing w:after="20"/>
              <w:ind w:left="20"/>
              <w:jc w:val="both"/>
            </w:pPr>
            <w:r>
              <w:rPr>
                <w:rFonts w:ascii="Times New Roman"/>
                <w:b w:val="false"/>
                <w:i w:val="false"/>
                <w:color w:val="000000"/>
                <w:sz w:val="20"/>
              </w:rPr>
              <w:t>
   1.4. действия, предпринимаемые уполномоченным органом в случае обнаружения несоответствия, включая возможность сообщать другим странам, при необходимости, о результатах инспекций лабораторий и аудитов исследований;</w:t>
            </w:r>
          </w:p>
          <w:p>
            <w:pPr>
              <w:spacing w:after="20"/>
              <w:ind w:left="20"/>
              <w:jc w:val="both"/>
            </w:pPr>
            <w:r>
              <w:rPr>
                <w:rFonts w:ascii="Times New Roman"/>
                <w:b w:val="false"/>
                <w:i w:val="false"/>
                <w:color w:val="000000"/>
                <w:sz w:val="20"/>
              </w:rPr>
              <w:t>
   1.5. договоренности о защите конфиденциальности информации;</w:t>
            </w:r>
          </w:p>
          <w:p>
            <w:pPr>
              <w:spacing w:after="20"/>
              <w:ind w:left="20"/>
              <w:jc w:val="both"/>
            </w:pPr>
            <w:r>
              <w:rPr>
                <w:rFonts w:ascii="Times New Roman"/>
                <w:b w:val="false"/>
                <w:i w:val="false"/>
                <w:color w:val="000000"/>
                <w:sz w:val="20"/>
              </w:rPr>
              <w:t>
   1.6. процедуры начала, проведения и подготовки отчета об инспекциях лабораторий и аудитах исследований по запросу других стран;</w:t>
            </w:r>
          </w:p>
          <w:p>
            <w:pPr>
              <w:spacing w:after="20"/>
              <w:ind w:left="20"/>
              <w:jc w:val="both"/>
            </w:pPr>
            <w:r>
              <w:rPr>
                <w:rFonts w:ascii="Times New Roman"/>
                <w:b w:val="false"/>
                <w:i w:val="false"/>
                <w:color w:val="000000"/>
                <w:sz w:val="20"/>
              </w:rPr>
              <w:t>
   1.7. процедуры получения информации о лабораториях, которые прошли инспекцию со стороны уполномоченного органа другой страны, включая статус соответствия таких лабораторий;</w:t>
            </w:r>
          </w:p>
          <w:p>
            <w:pPr>
              <w:spacing w:after="20"/>
              <w:ind w:left="20"/>
              <w:jc w:val="both"/>
            </w:pPr>
            <w:r>
              <w:rPr>
                <w:rFonts w:ascii="Times New Roman"/>
                <w:b w:val="false"/>
                <w:i w:val="false"/>
                <w:color w:val="000000"/>
                <w:sz w:val="20"/>
              </w:rPr>
              <w:t>
   1.8. сертификаты лаборатории о том, что исследования проводились в соответствии со Стандартом.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val="false"/>
                <w:i w:val="false"/>
                <w:color w:val="000000"/>
                <w:sz w:val="20"/>
              </w:rPr>
              <w:t>В случае обнаружения серьезных отклонений, которые влияют на специфические исследования, уполномоченный орган при необходимости, сообщает о результатах соответствующим уполномоченным органам в других странах.</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val="false"/>
                <w:i w:val="false"/>
                <w:color w:val="000000"/>
                <w:sz w:val="20"/>
              </w:rPr>
              <w:t xml:space="preserve">Названия лабораторий, подлежащих инспекциям в рамках программы контроля соблюдения Стандарта, степень соответствия принципам Стандарта и дата проведения инспекций ежегодно по запросу предоставляется в уполномоченные органы в других странах.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надлежащей лабораторной</w:t>
            </w:r>
            <w:r>
              <w:br/>
            </w:r>
            <w:r>
              <w:rPr>
                <w:rFonts w:ascii="Times New Roman"/>
                <w:b w:val="false"/>
                <w:i w:val="false"/>
                <w:color w:val="000000"/>
                <w:sz w:val="20"/>
              </w:rPr>
              <w:t>практики 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12161"/>
      </w:tblGrid>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Руководство для органов по контролю соблюдения Стандарта по подготовке ежегодных обзоров проверенных испытательных лабораторий</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Следующая минимальная информация позволяет согласование кратких обзоров, передаваемых инспекторами для уполномоченного органа:</w:t>
            </w:r>
          </w:p>
          <w:p>
            <w:pPr>
              <w:spacing w:after="20"/>
              <w:ind w:left="20"/>
              <w:jc w:val="both"/>
            </w:pPr>
            <w:r>
              <w:rPr>
                <w:rFonts w:ascii="Times New Roman"/>
                <w:b w:val="false"/>
                <w:i w:val="false"/>
                <w:color w:val="000000"/>
                <w:sz w:val="20"/>
              </w:rPr>
              <w:t>
   1. Указание названия проверенной лаборатории: отражается достаточная информация для недвусмысленной идентификации лаборатории (название лаборатории, города и страны, в которой она находится, включая инспекции за границей).</w:t>
            </w:r>
          </w:p>
          <w:p>
            <w:pPr>
              <w:spacing w:after="20"/>
              <w:ind w:left="20"/>
              <w:jc w:val="both"/>
            </w:pPr>
            <w:r>
              <w:rPr>
                <w:rFonts w:ascii="Times New Roman"/>
                <w:b w:val="false"/>
                <w:i w:val="false"/>
                <w:color w:val="000000"/>
                <w:sz w:val="20"/>
              </w:rPr>
              <w:t>
   2. Даты инспекций и заключение: месяц и год проведения инспекции и в соответствующих случаях дата вынесения последнего заключения о статусе соответствия Стандарту.</w:t>
            </w:r>
          </w:p>
          <w:p>
            <w:pPr>
              <w:spacing w:after="20"/>
              <w:ind w:left="20"/>
              <w:jc w:val="both"/>
            </w:pPr>
            <w:r>
              <w:rPr>
                <w:rFonts w:ascii="Times New Roman"/>
                <w:b w:val="false"/>
                <w:i w:val="false"/>
                <w:color w:val="000000"/>
                <w:sz w:val="20"/>
              </w:rPr>
              <w:t>
   3. Описание инспекции: четко отражается, что было проведено: инспекция соблюдения Стандарта и (или) аудит исследования, была ли инспекция стандартной или нестандартной, участвовали ли в инспекции другие органы.</w:t>
            </w:r>
          </w:p>
          <w:p>
            <w:pPr>
              <w:spacing w:after="20"/>
              <w:ind w:left="20"/>
              <w:jc w:val="both"/>
            </w:pPr>
            <w:r>
              <w:rPr>
                <w:rFonts w:ascii="Times New Roman"/>
                <w:b w:val="false"/>
                <w:i w:val="false"/>
                <w:color w:val="000000"/>
                <w:sz w:val="20"/>
              </w:rPr>
              <w:t>
   4. Специализация проверенной лаборатории: Так как соответствие Стандарту связано с исследованиями, проводимыми лабораториями, специализация проверяемых лабораторий включается в ежегодный краткий обзор, например:</w:t>
            </w:r>
          </w:p>
          <w:p>
            <w:pPr>
              <w:spacing w:after="20"/>
              <w:ind w:left="20"/>
              <w:jc w:val="both"/>
            </w:pPr>
            <w:r>
              <w:rPr>
                <w:rFonts w:ascii="Times New Roman"/>
                <w:b w:val="false"/>
                <w:i w:val="false"/>
                <w:color w:val="000000"/>
                <w:sz w:val="20"/>
              </w:rPr>
              <w:t>
   4.1. физико-химическое исследование</w:t>
            </w:r>
          </w:p>
          <w:p>
            <w:pPr>
              <w:spacing w:after="20"/>
              <w:ind w:left="20"/>
              <w:jc w:val="both"/>
            </w:pPr>
            <w:r>
              <w:rPr>
                <w:rFonts w:ascii="Times New Roman"/>
                <w:b w:val="false"/>
                <w:i w:val="false"/>
                <w:color w:val="000000"/>
                <w:sz w:val="20"/>
              </w:rPr>
              <w:t>
   4.2. исследования токсичности</w:t>
            </w:r>
          </w:p>
          <w:p>
            <w:pPr>
              <w:spacing w:after="20"/>
              <w:ind w:left="20"/>
              <w:jc w:val="both"/>
            </w:pPr>
            <w:r>
              <w:rPr>
                <w:rFonts w:ascii="Times New Roman"/>
                <w:b w:val="false"/>
                <w:i w:val="false"/>
                <w:color w:val="000000"/>
                <w:sz w:val="20"/>
              </w:rPr>
              <w:t>
   4.3. исследования мутагенности</w:t>
            </w:r>
          </w:p>
          <w:p>
            <w:pPr>
              <w:spacing w:after="20"/>
              <w:ind w:left="20"/>
              <w:jc w:val="both"/>
            </w:pPr>
            <w:r>
              <w:rPr>
                <w:rFonts w:ascii="Times New Roman"/>
                <w:b w:val="false"/>
                <w:i w:val="false"/>
                <w:color w:val="000000"/>
                <w:sz w:val="20"/>
              </w:rPr>
              <w:t>
   4.4. аналитические и клинические химические исследования</w:t>
            </w:r>
          </w:p>
          <w:p>
            <w:pPr>
              <w:spacing w:after="20"/>
              <w:ind w:left="20"/>
              <w:jc w:val="both"/>
            </w:pPr>
            <w:r>
              <w:rPr>
                <w:rFonts w:ascii="Times New Roman"/>
                <w:b w:val="false"/>
                <w:i w:val="false"/>
                <w:color w:val="000000"/>
                <w:sz w:val="20"/>
              </w:rPr>
              <w:t>
   4.5. другие исследования, указать</w:t>
            </w:r>
          </w:p>
          <w:p>
            <w:pPr>
              <w:spacing w:after="20"/>
              <w:ind w:left="20"/>
              <w:jc w:val="both"/>
            </w:pPr>
            <w:r>
              <w:rPr>
                <w:rFonts w:ascii="Times New Roman"/>
                <w:b w:val="false"/>
                <w:i w:val="false"/>
                <w:color w:val="000000"/>
                <w:sz w:val="20"/>
              </w:rPr>
              <w:t>
   Следует обратить внимание, что эти виды исследований могут использоваться в свободном режиме в зависимости от конкретного случая, и целью является предоставление информации о соответствии Стандарту, которая будет полезна для других регуляторных органов.</w:t>
            </w:r>
          </w:p>
          <w:p>
            <w:pPr>
              <w:spacing w:after="20"/>
              <w:ind w:left="20"/>
              <w:jc w:val="both"/>
            </w:pPr>
            <w:r>
              <w:rPr>
                <w:rFonts w:ascii="Times New Roman"/>
                <w:b w:val="false"/>
                <w:i w:val="false"/>
                <w:color w:val="000000"/>
                <w:sz w:val="20"/>
              </w:rPr>
              <w:t>
   5. Статус соответствия: Для указания статуса соответствия лабораторий используют три категории:</w:t>
            </w:r>
          </w:p>
          <w:p>
            <w:pPr>
              <w:spacing w:after="20"/>
              <w:ind w:left="20"/>
              <w:jc w:val="both"/>
            </w:pPr>
            <w:r>
              <w:rPr>
                <w:rFonts w:ascii="Times New Roman"/>
                <w:b w:val="false"/>
                <w:i w:val="false"/>
                <w:color w:val="000000"/>
                <w:sz w:val="20"/>
              </w:rPr>
              <w:t>
   5.1. соответствует</w:t>
            </w:r>
          </w:p>
          <w:p>
            <w:pPr>
              <w:spacing w:after="20"/>
              <w:ind w:left="20"/>
              <w:jc w:val="both"/>
            </w:pPr>
            <w:r>
              <w:rPr>
                <w:rFonts w:ascii="Times New Roman"/>
                <w:b w:val="false"/>
                <w:i w:val="false"/>
                <w:color w:val="000000"/>
                <w:sz w:val="20"/>
              </w:rPr>
              <w:t>
   5.2. не соответствует</w:t>
            </w:r>
          </w:p>
          <w:p>
            <w:pPr>
              <w:spacing w:after="20"/>
              <w:ind w:left="20"/>
              <w:jc w:val="both"/>
            </w:pPr>
            <w:r>
              <w:rPr>
                <w:rFonts w:ascii="Times New Roman"/>
                <w:b w:val="false"/>
                <w:i w:val="false"/>
                <w:color w:val="000000"/>
                <w:sz w:val="20"/>
              </w:rPr>
              <w:t>
   5.3. не закончено (с указание причины)</w:t>
            </w:r>
          </w:p>
          <w:p>
            <w:pPr>
              <w:spacing w:after="20"/>
              <w:ind w:left="20"/>
              <w:jc w:val="both"/>
            </w:pPr>
            <w:r>
              <w:rPr>
                <w:rFonts w:ascii="Times New Roman"/>
                <w:b w:val="false"/>
                <w:i w:val="false"/>
                <w:color w:val="000000"/>
                <w:sz w:val="20"/>
              </w:rPr>
              <w:t>
   Для того чтобы термин "не закончено" не был истолкован по-разному, его применение сопровождается объяснениями в обзоре. Такие объяснения включает "повторная инспекция не закончена", "отложенный ответ из лаборатории", "административная процедура не завершена".</w:t>
            </w:r>
          </w:p>
          <w:p>
            <w:pPr>
              <w:spacing w:after="20"/>
              <w:ind w:left="20"/>
              <w:jc w:val="both"/>
            </w:pPr>
            <w:r>
              <w:rPr>
                <w:rFonts w:ascii="Times New Roman"/>
                <w:b w:val="false"/>
                <w:i w:val="false"/>
                <w:color w:val="000000"/>
                <w:sz w:val="20"/>
              </w:rPr>
              <w:t>
   6. Комментарии: При необходимости делаются дополнительные комментарии.</w:t>
            </w:r>
          </w:p>
          <w:p>
            <w:pPr>
              <w:spacing w:after="20"/>
              <w:ind w:left="20"/>
              <w:jc w:val="both"/>
            </w:pPr>
            <w:r>
              <w:rPr>
                <w:rFonts w:ascii="Times New Roman"/>
                <w:b w:val="false"/>
                <w:i w:val="false"/>
                <w:color w:val="000000"/>
                <w:sz w:val="20"/>
              </w:rPr>
              <w:t xml:space="preserve">
   7. Серьезные отклонения: В ежегодных обзорах проверенных лабораторий отражаются сообщения об отдельных исследованиях, в результате аудита которых были обнаружены серьезные отклонения соблюдения Стандарта и которые впоследствии были признаны уполномоченным органом недействительными. Так как многие исследования одновременно направляются в уполномоченный орган разных стран, рекомендуется, чтобы эта информация была распространена среди регуляторных органов как можно быстрее в дополнение к ежегодным обзорам. </w:t>
            </w:r>
          </w:p>
          <w:p>
            <w:pPr>
              <w:spacing w:after="20"/>
              <w:ind w:left="20"/>
              <w:jc w:val="both"/>
            </w:pPr>
            <w:r>
              <w:rPr>
                <w:rFonts w:ascii="Times New Roman"/>
                <w:b w:val="false"/>
                <w:i w:val="false"/>
                <w:color w:val="000000"/>
                <w:sz w:val="20"/>
              </w:rPr>
              <w:t>
   8. Заключение о соответствии: При направлении уполномоченным органом заключения о соответствии, в них используются та же терминология и категории, что и в ежегодных обзорах.</w:t>
            </w:r>
          </w:p>
          <w:p>
            <w:pPr>
              <w:spacing w:after="20"/>
              <w:ind w:left="20"/>
              <w:jc w:val="both"/>
            </w:pPr>
            <w:r>
              <w:rPr>
                <w:rFonts w:ascii="Times New Roman"/>
                <w:b w:val="false"/>
                <w:i w:val="false"/>
                <w:color w:val="000000"/>
                <w:sz w:val="20"/>
              </w:rPr>
              <w:t>
   9. Распространение ежегодных обзоров: Обзоры по запросу предоставляются общественности по решению уполномоченного органа.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социальной защиты Республики Казахстан</w:t>
            </w:r>
            <w:r>
              <w:br/>
            </w:r>
            <w:r>
              <w:rPr>
                <w:rFonts w:ascii="Times New Roman"/>
                <w:b w:val="false"/>
                <w:i w:val="false"/>
                <w:color w:val="000000"/>
                <w:sz w:val="20"/>
              </w:rPr>
              <w:t>от 27 мая 2015 года № 392</w:t>
            </w:r>
          </w:p>
        </w:tc>
      </w:tr>
    </w:tbl>
    <w:bookmarkStart w:name="z27" w:id="15"/>
    <w:p>
      <w:pPr>
        <w:spacing w:after="0"/>
        <w:ind w:left="0"/>
        <w:jc w:val="left"/>
      </w:pPr>
      <w:r>
        <w:rPr>
          <w:rFonts w:ascii="Times New Roman"/>
          <w:b/>
          <w:i w:val="false"/>
          <w:color w:val="000000"/>
        </w:rPr>
        <w:t xml:space="preserve"> Cтандарт</w:t>
      </w:r>
      <w:r>
        <w:br/>
      </w:r>
      <w:r>
        <w:rPr>
          <w:rFonts w:ascii="Times New Roman"/>
          <w:b/>
          <w:i w:val="false"/>
          <w:color w:val="000000"/>
        </w:rPr>
        <w:t>надлежащей клинической практики (GCP)</w:t>
      </w:r>
    </w:p>
    <w:bookmarkEnd w:id="15"/>
    <w:p>
      <w:pPr>
        <w:spacing w:after="0"/>
        <w:ind w:left="0"/>
        <w:jc w:val="both"/>
      </w:pPr>
      <w:r>
        <w:rPr>
          <w:rFonts w:ascii="Times New Roman"/>
          <w:b w:val="false"/>
          <w:i w:val="false"/>
          <w:color w:val="ff0000"/>
          <w:sz w:val="28"/>
        </w:rPr>
        <w:t xml:space="preserve">
      Сноска. Стандарт с изменениями, внесенными приказом Министра здравоохранения РК от 08.05.2019 </w:t>
      </w:r>
      <w:r>
        <w:rPr>
          <w:rFonts w:ascii="Times New Roman"/>
          <w:b w:val="false"/>
          <w:i w:val="false"/>
          <w:color w:val="ff0000"/>
          <w:sz w:val="28"/>
        </w:rPr>
        <w:t>№ ҚР ДСМ-71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Общие положения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Настоящий Стандарт надлежащей клинической практики (далее – Стандарт) разработан в соответствии с </w:t>
            </w:r>
            <w:r>
              <w:rPr>
                <w:rFonts w:ascii="Times New Roman"/>
                <w:b w:val="false"/>
                <w:i w:val="false"/>
                <w:color w:val="000000"/>
                <w:sz w:val="20"/>
              </w:rPr>
              <w:t>подпунктом 115</w:t>
            </w:r>
            <w:r>
              <w:rPr>
                <w:rFonts w:ascii="Times New Roman"/>
                <w:b w:val="false"/>
                <w:i w:val="false"/>
                <w:color w:val="000000"/>
                <w:sz w:val="20"/>
              </w:rPr>
              <w:t xml:space="preserve"> пункта 1 статьи 7 Кодекса Республики Казахстан от 18 сентября 2009 года "О здоровье народа и системе здравоохранения" и определяет требования надлежащей клинической практики.</w:t>
            </w:r>
          </w:p>
          <w:p>
            <w:pPr>
              <w:spacing w:after="20"/>
              <w:ind w:left="20"/>
              <w:jc w:val="both"/>
            </w:pPr>
            <w:r>
              <w:rPr>
                <w:rFonts w:ascii="Times New Roman"/>
                <w:b w:val="false"/>
                <w:i w:val="false"/>
                <w:color w:val="000000"/>
                <w:sz w:val="20"/>
              </w:rPr>
              <w:t>
   2. Стандарт является частью системы обеспечения качества и устанавливает правила проведения исследований с участием человека в качестве субъекта, а также документального оформления и представления результатов таких исследований.</w:t>
            </w:r>
          </w:p>
          <w:p>
            <w:pPr>
              <w:spacing w:after="20"/>
              <w:ind w:left="20"/>
              <w:jc w:val="both"/>
            </w:pPr>
            <w:r>
              <w:rPr>
                <w:rFonts w:ascii="Times New Roman"/>
                <w:b w:val="false"/>
                <w:i w:val="false"/>
                <w:color w:val="000000"/>
                <w:sz w:val="20"/>
              </w:rPr>
              <w:t>
   Принципы, установленные настоящим Стандартом, применимы также и к клиническим исследованиям, которые оказывают влияние на безопасность и благополучие человека, выступающего в качестве субъекта исследования.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Термины и определения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настоящем Стандарте применяются следующие термины:</w:t>
            </w:r>
          </w:p>
          <w:p>
            <w:pPr>
              <w:spacing w:after="20"/>
              <w:ind w:left="20"/>
              <w:jc w:val="both"/>
            </w:pPr>
            <w:r>
              <w:rPr>
                <w:rFonts w:ascii="Times New Roman"/>
                <w:b w:val="false"/>
                <w:i w:val="false"/>
                <w:color w:val="000000"/>
                <w:sz w:val="20"/>
              </w:rPr>
              <w:t>
   1.1. аудит</w:t>
            </w:r>
            <w:r>
              <w:rPr>
                <w:rFonts w:ascii="Times New Roman"/>
                <w:b/>
                <w:i w:val="false"/>
                <w:color w:val="000000"/>
                <w:sz w:val="20"/>
              </w:rPr>
              <w:t xml:space="preserve"> -</w:t>
            </w:r>
            <w:r>
              <w:rPr>
                <w:rFonts w:ascii="Times New Roman"/>
                <w:b w:val="false"/>
                <w:i w:val="false"/>
                <w:color w:val="000000"/>
                <w:sz w:val="20"/>
              </w:rPr>
              <w:t xml:space="preserve"> систематическая и независимая проверка относящихся к исследованию деятельности и документации, проводимая для подтверждения соответствия этой деятельности, а также процедур сбора, анализа и представления данных протоколу, стандартным операционным процедурам спонсора, надлежащей клинической практике и нормативным требованиям;</w:t>
            </w:r>
          </w:p>
          <w:p>
            <w:pPr>
              <w:spacing w:after="20"/>
              <w:ind w:left="20"/>
              <w:jc w:val="both"/>
            </w:pPr>
            <w:r>
              <w:rPr>
                <w:rFonts w:ascii="Times New Roman"/>
                <w:b w:val="false"/>
                <w:i w:val="false"/>
                <w:color w:val="000000"/>
                <w:sz w:val="20"/>
              </w:rPr>
              <w:t>
   1.2. благополучие субъектов исследования (пациентов)</w:t>
            </w:r>
            <w:r>
              <w:rPr>
                <w:rFonts w:ascii="Times New Roman"/>
                <w:b/>
                <w:i w:val="false"/>
                <w:color w:val="000000"/>
                <w:sz w:val="20"/>
              </w:rPr>
              <w:t xml:space="preserve"> -</w:t>
            </w:r>
            <w:r>
              <w:rPr>
                <w:rFonts w:ascii="Times New Roman"/>
                <w:b w:val="false"/>
                <w:i w:val="false"/>
                <w:color w:val="000000"/>
                <w:sz w:val="20"/>
              </w:rPr>
              <w:t xml:space="preserve"> физическое и психическое здоровье субъектов, участвующих в клиническом исследовании;</w:t>
            </w:r>
          </w:p>
          <w:p>
            <w:pPr>
              <w:spacing w:after="20"/>
              <w:ind w:left="20"/>
              <w:jc w:val="both"/>
            </w:pPr>
            <w:r>
              <w:rPr>
                <w:rFonts w:ascii="Times New Roman"/>
                <w:b w:val="false"/>
                <w:i w:val="false"/>
                <w:color w:val="000000"/>
                <w:sz w:val="20"/>
              </w:rPr>
              <w:t>
   1.3. брошюра исследователя (далее – БИ)</w:t>
            </w:r>
            <w:r>
              <w:rPr>
                <w:rFonts w:ascii="Times New Roman"/>
                <w:b/>
                <w:i w:val="false"/>
                <w:color w:val="000000"/>
                <w:sz w:val="20"/>
              </w:rPr>
              <w:t xml:space="preserve"> -</w:t>
            </w:r>
            <w:r>
              <w:rPr>
                <w:rFonts w:ascii="Times New Roman"/>
                <w:b w:val="false"/>
                <w:i w:val="false"/>
                <w:color w:val="000000"/>
                <w:sz w:val="20"/>
              </w:rPr>
              <w:t xml:space="preserve"> сводное изложение результатов клинического и доклинического изучения исследуемого препарата, значимых для его исследования на человеке;</w:t>
            </w:r>
          </w:p>
          <w:p>
            <w:pPr>
              <w:spacing w:after="20"/>
              <w:ind w:left="20"/>
              <w:jc w:val="both"/>
            </w:pPr>
            <w:r>
              <w:rPr>
                <w:rFonts w:ascii="Times New Roman"/>
                <w:b w:val="false"/>
                <w:i w:val="false"/>
                <w:color w:val="000000"/>
                <w:sz w:val="20"/>
              </w:rPr>
              <w:t>
   1.4. договор</w:t>
            </w:r>
            <w:r>
              <w:rPr>
                <w:rFonts w:ascii="Times New Roman"/>
                <w:b/>
                <w:i w:val="false"/>
                <w:color w:val="000000"/>
                <w:sz w:val="20"/>
              </w:rPr>
              <w:t xml:space="preserve"> -</w:t>
            </w:r>
            <w:r>
              <w:rPr>
                <w:rFonts w:ascii="Times New Roman"/>
                <w:b w:val="false"/>
                <w:i w:val="false"/>
                <w:color w:val="000000"/>
                <w:sz w:val="20"/>
              </w:rPr>
              <w:t xml:space="preserve"> датированное и подписанное соглашение между двумя или более сторонами, которое устанавливает договоренности, касающиеся распределения объема работ и обязанностей при проведении клинического исследования, а также финансовых вопросов, основой договора служит протокол исследования;</w:t>
            </w:r>
          </w:p>
          <w:p>
            <w:pPr>
              <w:spacing w:after="20"/>
              <w:ind w:left="20"/>
              <w:jc w:val="both"/>
            </w:pPr>
            <w:r>
              <w:rPr>
                <w:rFonts w:ascii="Times New Roman"/>
                <w:b w:val="false"/>
                <w:i w:val="false"/>
                <w:color w:val="000000"/>
                <w:sz w:val="20"/>
              </w:rPr>
              <w:t>
   1.5. доклинические исследования</w:t>
            </w:r>
            <w:r>
              <w:rPr>
                <w:rFonts w:ascii="Times New Roman"/>
                <w:b/>
                <w:i w:val="false"/>
                <w:color w:val="000000"/>
                <w:sz w:val="20"/>
              </w:rPr>
              <w:t xml:space="preserve"> -</w:t>
            </w:r>
            <w:r>
              <w:rPr>
                <w:rFonts w:ascii="Times New Roman"/>
                <w:b w:val="false"/>
                <w:i w:val="false"/>
                <w:color w:val="000000"/>
                <w:sz w:val="20"/>
              </w:rPr>
              <w:t xml:space="preserve"> биомедицинские исследования, проводимые без участия человека в качестве субъекта;</w:t>
            </w:r>
          </w:p>
          <w:p>
            <w:pPr>
              <w:spacing w:after="20"/>
              <w:ind w:left="20"/>
              <w:jc w:val="both"/>
            </w:pPr>
            <w:r>
              <w:rPr>
                <w:rFonts w:ascii="Times New Roman"/>
                <w:b w:val="false"/>
                <w:i w:val="false"/>
                <w:color w:val="000000"/>
                <w:sz w:val="20"/>
              </w:rPr>
              <w:t>
   1.6. документальный след</w:t>
            </w:r>
            <w:r>
              <w:rPr>
                <w:rFonts w:ascii="Times New Roman"/>
                <w:b/>
                <w:i w:val="false"/>
                <w:color w:val="000000"/>
                <w:sz w:val="20"/>
              </w:rPr>
              <w:t xml:space="preserve"> - </w:t>
            </w:r>
            <w:r>
              <w:rPr>
                <w:rFonts w:ascii="Times New Roman"/>
                <w:b w:val="false"/>
                <w:i w:val="false"/>
                <w:color w:val="000000"/>
                <w:sz w:val="20"/>
              </w:rPr>
              <w:t>документация, позволяющая восстановить ход событий;</w:t>
            </w:r>
          </w:p>
          <w:p>
            <w:pPr>
              <w:spacing w:after="20"/>
              <w:ind w:left="20"/>
              <w:jc w:val="both"/>
            </w:pPr>
            <w:r>
              <w:rPr>
                <w:rFonts w:ascii="Times New Roman"/>
                <w:b w:val="false"/>
                <w:i w:val="false"/>
                <w:color w:val="000000"/>
                <w:sz w:val="20"/>
              </w:rPr>
              <w:t>
   1.7. документация</w:t>
            </w:r>
            <w:r>
              <w:rPr>
                <w:rFonts w:ascii="Times New Roman"/>
                <w:b/>
                <w:i w:val="false"/>
                <w:color w:val="000000"/>
                <w:sz w:val="20"/>
              </w:rPr>
              <w:t xml:space="preserve"> - </w:t>
            </w:r>
            <w:r>
              <w:rPr>
                <w:rFonts w:ascii="Times New Roman"/>
                <w:b w:val="false"/>
                <w:i w:val="false"/>
                <w:color w:val="000000"/>
                <w:sz w:val="20"/>
              </w:rPr>
              <w:t>записи в любой форме, включая записи на бумажных, электронных, магнитных или оптических носителях, сканограммы, рентгеновские снимки, электрокардиограммы, описывающие либо регистрирующие методы, организацию и (или) результаты клинического исследования, а также влияющие на исследование факторы и принятые меры;</w:t>
            </w:r>
          </w:p>
          <w:p>
            <w:pPr>
              <w:spacing w:after="20"/>
              <w:ind w:left="20"/>
              <w:jc w:val="both"/>
            </w:pPr>
            <w:r>
              <w:rPr>
                <w:rFonts w:ascii="Times New Roman"/>
                <w:b w:val="false"/>
                <w:i w:val="false"/>
                <w:color w:val="000000"/>
                <w:sz w:val="20"/>
              </w:rPr>
              <w:t>
   1.8. заключение комиссии по вопросам этики</w:t>
            </w:r>
            <w:r>
              <w:rPr>
                <w:rFonts w:ascii="Times New Roman"/>
                <w:b/>
                <w:i w:val="false"/>
                <w:color w:val="000000"/>
                <w:sz w:val="20"/>
              </w:rPr>
              <w:t xml:space="preserve"> -</w:t>
            </w:r>
            <w:r>
              <w:rPr>
                <w:rFonts w:ascii="Times New Roman"/>
                <w:b w:val="false"/>
                <w:i w:val="false"/>
                <w:color w:val="000000"/>
                <w:sz w:val="20"/>
              </w:rPr>
              <w:t xml:space="preserve"> заключение, принятое комиссией по вопросам этики, подтверждающее проведения экспертизы материалов клинического исследования и являющееся разрешением на его проведение в данной организации;</w:t>
            </w:r>
          </w:p>
          <w:p>
            <w:pPr>
              <w:spacing w:after="20"/>
              <w:ind w:left="20"/>
              <w:jc w:val="both"/>
            </w:pPr>
            <w:r>
              <w:rPr>
                <w:rFonts w:ascii="Times New Roman"/>
                <w:b w:val="false"/>
                <w:i w:val="false"/>
                <w:color w:val="000000"/>
                <w:sz w:val="20"/>
              </w:rPr>
              <w:t>
   1.9. законный представитель</w:t>
            </w:r>
            <w:r>
              <w:rPr>
                <w:rFonts w:ascii="Times New Roman"/>
                <w:b/>
                <w:i w:val="false"/>
                <w:color w:val="000000"/>
                <w:sz w:val="20"/>
              </w:rPr>
              <w:t xml:space="preserve"> -</w:t>
            </w:r>
            <w:r>
              <w:rPr>
                <w:rFonts w:ascii="Times New Roman"/>
                <w:b w:val="false"/>
                <w:i w:val="false"/>
                <w:color w:val="000000"/>
                <w:sz w:val="20"/>
              </w:rPr>
              <w:t xml:space="preserve"> физическое или юридическое лицо, или иной субъект права, имеющий право давать согласие на участие в клиническом исследовании от имени потенциального субъекта исследования;</w:t>
            </w:r>
          </w:p>
          <w:p>
            <w:pPr>
              <w:spacing w:after="20"/>
              <w:ind w:left="20"/>
              <w:jc w:val="both"/>
            </w:pPr>
            <w:r>
              <w:rPr>
                <w:rFonts w:ascii="Times New Roman"/>
                <w:b w:val="false"/>
                <w:i w:val="false"/>
                <w:color w:val="000000"/>
                <w:sz w:val="20"/>
              </w:rPr>
              <w:t>
   1.10. идентификационный код субъекта</w:t>
            </w:r>
            <w:r>
              <w:rPr>
                <w:rFonts w:ascii="Times New Roman"/>
                <w:b/>
                <w:i w:val="false"/>
                <w:color w:val="000000"/>
                <w:sz w:val="20"/>
              </w:rPr>
              <w:t xml:space="preserve"> - </w:t>
            </w:r>
            <w:r>
              <w:rPr>
                <w:rFonts w:ascii="Times New Roman"/>
                <w:b w:val="false"/>
                <w:i w:val="false"/>
                <w:color w:val="000000"/>
                <w:sz w:val="20"/>
              </w:rPr>
              <w:t>уникальный код, присваиваемый исследователем каждому субъекту исследования для обеспечения конфиденциальности личных данных субъекта и используемый вместо имени субъекта в отчетах по нежелательным явлениям и (или) данных, относящихся к исследованию;</w:t>
            </w:r>
          </w:p>
          <w:p>
            <w:pPr>
              <w:spacing w:after="20"/>
              <w:ind w:left="20"/>
              <w:jc w:val="both"/>
            </w:pPr>
            <w:r>
              <w:rPr>
                <w:rFonts w:ascii="Times New Roman"/>
                <w:b w:val="false"/>
                <w:i w:val="false"/>
                <w:color w:val="000000"/>
                <w:sz w:val="20"/>
              </w:rPr>
              <w:t>
   1.11. индивидуальная регистрационная карта (далее – ИРК)</w:t>
            </w:r>
            <w:r>
              <w:rPr>
                <w:rFonts w:ascii="Times New Roman"/>
                <w:b/>
                <w:i w:val="false"/>
                <w:color w:val="000000"/>
                <w:sz w:val="20"/>
              </w:rPr>
              <w:t xml:space="preserve"> - </w:t>
            </w:r>
            <w:r>
              <w:rPr>
                <w:rFonts w:ascii="Times New Roman"/>
                <w:b w:val="false"/>
                <w:i w:val="false"/>
                <w:color w:val="000000"/>
                <w:sz w:val="20"/>
              </w:rPr>
              <w:t>документ на бумажном, электронном или оптическом носителе, предназначенный для внесения всей предусмотренной протоколом и подлежащей передаче спонсору информации по каждому субъекту исследования;</w:t>
            </w:r>
          </w:p>
          <w:p>
            <w:pPr>
              <w:spacing w:after="20"/>
              <w:ind w:left="20"/>
              <w:jc w:val="both"/>
            </w:pPr>
            <w:r>
              <w:rPr>
                <w:rFonts w:ascii="Times New Roman"/>
                <w:b w:val="false"/>
                <w:i w:val="false"/>
                <w:color w:val="000000"/>
                <w:sz w:val="20"/>
              </w:rPr>
              <w:t>
   1.12. инспекция (проверка) – действие уполномоченного органа в области здравоохранения, заключающееся в официальной проверке с привлечением экспертной организации в сфере обращения лекарственных средств и медицинских изделий документации, оборудования, материалов, имеющих отношение к клиническому исследованию и находящихся в исследовательском центре, в помещениях спонсора и (или) контрактной исследовательской организации, а также иных организациях, имеющих отношение к исследованию;</w:t>
            </w:r>
          </w:p>
          <w:p>
            <w:pPr>
              <w:spacing w:after="20"/>
              <w:ind w:left="20"/>
              <w:jc w:val="both"/>
            </w:pPr>
            <w:r>
              <w:rPr>
                <w:rFonts w:ascii="Times New Roman"/>
                <w:b w:val="false"/>
                <w:i w:val="false"/>
                <w:color w:val="000000"/>
                <w:sz w:val="20"/>
              </w:rPr>
              <w:t>
   1.13. информированное согласие</w:t>
            </w:r>
            <w:r>
              <w:rPr>
                <w:rFonts w:ascii="Times New Roman"/>
                <w:b/>
                <w:i w:val="false"/>
                <w:color w:val="000000"/>
                <w:sz w:val="20"/>
              </w:rPr>
              <w:t xml:space="preserve"> - </w:t>
            </w:r>
            <w:r>
              <w:rPr>
                <w:rFonts w:ascii="Times New Roman"/>
                <w:b w:val="false"/>
                <w:i w:val="false"/>
                <w:color w:val="000000"/>
                <w:sz w:val="20"/>
              </w:rPr>
              <w:t>процедура добровольного подтверждения субъектом своего согласия на участие в конкретном исследовании после получения информации обо всех значимых для принятия им решения аспектах исследования. Информированное согласие документируется посредством подписания и датирования формы информированного согласия;</w:t>
            </w:r>
          </w:p>
          <w:p>
            <w:pPr>
              <w:spacing w:after="20"/>
              <w:ind w:left="20"/>
              <w:jc w:val="both"/>
            </w:pPr>
            <w:r>
              <w:rPr>
                <w:rFonts w:ascii="Times New Roman"/>
                <w:b w:val="false"/>
                <w:i w:val="false"/>
                <w:color w:val="000000"/>
                <w:sz w:val="20"/>
              </w:rPr>
              <w:t>
   1.14. исследователь</w:t>
            </w:r>
            <w:r>
              <w:rPr>
                <w:rFonts w:ascii="Times New Roman"/>
                <w:b/>
                <w:i w:val="false"/>
                <w:color w:val="000000"/>
                <w:sz w:val="20"/>
              </w:rPr>
              <w:t xml:space="preserve"> -</w:t>
            </w:r>
            <w:r>
              <w:rPr>
                <w:rFonts w:ascii="Times New Roman"/>
                <w:b w:val="false"/>
                <w:i w:val="false"/>
                <w:color w:val="000000"/>
                <w:sz w:val="20"/>
              </w:rPr>
              <w:t xml:space="preserve"> физическое лицо, несущее ответственность за проведение клинического исследования в исследовательском центре. В случае проведения исследования на клинической базе группой лиц исследователем (главным исследователем) является руководитель группы;</w:t>
            </w:r>
          </w:p>
          <w:p>
            <w:pPr>
              <w:spacing w:after="20"/>
              <w:ind w:left="20"/>
              <w:jc w:val="both"/>
            </w:pPr>
            <w:r>
              <w:rPr>
                <w:rFonts w:ascii="Times New Roman"/>
                <w:b w:val="false"/>
                <w:i w:val="false"/>
                <w:color w:val="000000"/>
                <w:sz w:val="20"/>
              </w:rPr>
              <w:t>
   1.15. исследователь-координатор</w:t>
            </w:r>
            <w:r>
              <w:rPr>
                <w:rFonts w:ascii="Times New Roman"/>
                <w:b/>
                <w:i w:val="false"/>
                <w:color w:val="000000"/>
                <w:sz w:val="20"/>
              </w:rPr>
              <w:t xml:space="preserve"> -</w:t>
            </w:r>
            <w:r>
              <w:rPr>
                <w:rFonts w:ascii="Times New Roman"/>
                <w:b w:val="false"/>
                <w:i w:val="false"/>
                <w:color w:val="000000"/>
                <w:sz w:val="20"/>
              </w:rPr>
              <w:t xml:space="preserve"> исследователь, отвечающий за координацию деятельности исследователей всех исследовательских центров, участвующих в многоцентровом клиническом исследовании;</w:t>
            </w:r>
          </w:p>
          <w:p>
            <w:pPr>
              <w:spacing w:after="20"/>
              <w:ind w:left="20"/>
              <w:jc w:val="both"/>
            </w:pPr>
            <w:r>
              <w:rPr>
                <w:rFonts w:ascii="Times New Roman"/>
                <w:b w:val="false"/>
                <w:i w:val="false"/>
                <w:color w:val="000000"/>
                <w:sz w:val="20"/>
              </w:rPr>
              <w:t>
   1.16. исследователь или медицинская организация</w:t>
            </w:r>
            <w:r>
              <w:rPr>
                <w:rFonts w:ascii="Times New Roman"/>
                <w:b/>
                <w:i w:val="false"/>
                <w:color w:val="000000"/>
                <w:sz w:val="20"/>
              </w:rPr>
              <w:t xml:space="preserve"> - </w:t>
            </w:r>
            <w:r>
              <w:rPr>
                <w:rFonts w:ascii="Times New Roman"/>
                <w:b w:val="false"/>
                <w:i w:val="false"/>
                <w:color w:val="000000"/>
                <w:sz w:val="20"/>
              </w:rPr>
              <w:t>термин, обозначающий исследователя или организацию;</w:t>
            </w:r>
          </w:p>
          <w:p>
            <w:pPr>
              <w:spacing w:after="20"/>
              <w:ind w:left="20"/>
              <w:jc w:val="both"/>
            </w:pPr>
            <w:r>
              <w:rPr>
                <w:rFonts w:ascii="Times New Roman"/>
                <w:b w:val="false"/>
                <w:i w:val="false"/>
                <w:color w:val="000000"/>
                <w:sz w:val="20"/>
              </w:rPr>
              <w:t>
   1.17.  клиническая база</w:t>
            </w:r>
            <w:r>
              <w:rPr>
                <w:rFonts w:ascii="Times New Roman"/>
                <w:b/>
                <w:i w:val="false"/>
                <w:color w:val="000000"/>
                <w:sz w:val="20"/>
              </w:rPr>
              <w:t xml:space="preserve"> - </w:t>
            </w:r>
            <w:r>
              <w:rPr>
                <w:rFonts w:ascii="Times New Roman"/>
                <w:b w:val="false"/>
                <w:i w:val="false"/>
                <w:color w:val="000000"/>
                <w:sz w:val="20"/>
              </w:rPr>
              <w:t>фактическое место проведения клинического исследования;</w:t>
            </w:r>
          </w:p>
          <w:p>
            <w:pPr>
              <w:spacing w:after="20"/>
              <w:ind w:left="20"/>
              <w:jc w:val="both"/>
            </w:pPr>
            <w:r>
              <w:rPr>
                <w:rFonts w:ascii="Times New Roman"/>
                <w:b w:val="false"/>
                <w:i w:val="false"/>
                <w:color w:val="000000"/>
                <w:sz w:val="20"/>
              </w:rPr>
              <w:t>
   1.18. исследуемый препарат</w:t>
            </w:r>
            <w:r>
              <w:rPr>
                <w:rFonts w:ascii="Times New Roman"/>
                <w:b/>
                <w:i w:val="false"/>
                <w:color w:val="000000"/>
                <w:sz w:val="20"/>
              </w:rPr>
              <w:t xml:space="preserve"> - </w:t>
            </w:r>
            <w:r>
              <w:rPr>
                <w:rFonts w:ascii="Times New Roman"/>
                <w:b w:val="false"/>
                <w:i w:val="false"/>
                <w:color w:val="000000"/>
                <w:sz w:val="20"/>
              </w:rPr>
              <w:t>лекарственная форма активного вещества или плацебо, изучаемая или используемая для контроля в клиническом исследовании, в том числе зарегистрированный лекарственный препарат в случае, если способ его применения отличается от утвержденного, а также при его использовании по новому показанию или для получения дополнительной информации по утвержденному показанию;</w:t>
            </w:r>
          </w:p>
          <w:p>
            <w:pPr>
              <w:spacing w:after="20"/>
              <w:ind w:left="20"/>
              <w:jc w:val="both"/>
            </w:pPr>
            <w:r>
              <w:rPr>
                <w:rFonts w:ascii="Times New Roman"/>
                <w:b w:val="false"/>
                <w:i w:val="false"/>
                <w:color w:val="000000"/>
                <w:sz w:val="20"/>
              </w:rPr>
              <w:t>
   1.19. клиническое исследование (испытание)</w:t>
            </w:r>
            <w:r>
              <w:rPr>
                <w:rFonts w:ascii="Times New Roman"/>
                <w:b/>
                <w:i w:val="false"/>
                <w:color w:val="000000"/>
                <w:sz w:val="20"/>
              </w:rPr>
              <w:t xml:space="preserve"> -</w:t>
            </w:r>
            <w:r>
              <w:rPr>
                <w:rFonts w:ascii="Times New Roman"/>
                <w:b w:val="false"/>
                <w:i w:val="false"/>
                <w:color w:val="000000"/>
                <w:sz w:val="20"/>
              </w:rPr>
              <w:t xml:space="preserve"> любое исследование (испытание), проводимое с участием человека в качестве субъекта для выявления или подтверждения клинических и (или) фармакологических эффектов исследуемых препаратов и (или) выявления нежелательных реакций на исследуемые препараты, и (или) изучения их всасывания, распределения, метаболизма и выведения с целью выполнения оценки безопасности и (или) эффективности;</w:t>
            </w:r>
          </w:p>
          <w:p>
            <w:pPr>
              <w:spacing w:after="20"/>
              <w:ind w:left="20"/>
              <w:jc w:val="both"/>
            </w:pPr>
            <w:r>
              <w:rPr>
                <w:rFonts w:ascii="Times New Roman"/>
                <w:b w:val="false"/>
                <w:i w:val="false"/>
                <w:color w:val="000000"/>
                <w:sz w:val="20"/>
              </w:rPr>
              <w:t>
   1.20. комиссия по вопросам этики</w:t>
            </w:r>
            <w:r>
              <w:rPr>
                <w:rFonts w:ascii="Times New Roman"/>
                <w:b/>
                <w:i w:val="false"/>
                <w:color w:val="000000"/>
                <w:sz w:val="20"/>
              </w:rPr>
              <w:t>–</w:t>
            </w:r>
            <w:r>
              <w:rPr>
                <w:rFonts w:ascii="Times New Roman"/>
                <w:b w:val="false"/>
                <w:i w:val="false"/>
                <w:color w:val="000000"/>
                <w:sz w:val="20"/>
              </w:rPr>
              <w:t xml:space="preserve"> консультативно-совещательный орган, образуемый на республиканском уровне а также на уровне медицинской организации, в состав которого входят специалисты в области здравоохранения, науки, представители общественных организаций, осуществляющий защиту прав, безопасности и благополучия субъектов исследования и исследователей, а также этическую и нравственно-правовую оценку материалов клинического исследования;</w:t>
            </w:r>
          </w:p>
          <w:p>
            <w:pPr>
              <w:spacing w:after="20"/>
              <w:ind w:left="20"/>
              <w:jc w:val="both"/>
            </w:pPr>
            <w:r>
              <w:rPr>
                <w:rFonts w:ascii="Times New Roman"/>
                <w:b w:val="false"/>
                <w:i w:val="false"/>
                <w:color w:val="000000"/>
                <w:sz w:val="20"/>
              </w:rPr>
              <w:t>
   1.21. контрактная исследовательская организация</w:t>
            </w:r>
            <w:r>
              <w:rPr>
                <w:rFonts w:ascii="Times New Roman"/>
                <w:b/>
                <w:i w:val="false"/>
                <w:color w:val="000000"/>
                <w:sz w:val="20"/>
              </w:rPr>
              <w:t xml:space="preserve"> -</w:t>
            </w:r>
            <w:r>
              <w:rPr>
                <w:rFonts w:ascii="Times New Roman"/>
                <w:b w:val="false"/>
                <w:i w:val="false"/>
                <w:color w:val="000000"/>
                <w:sz w:val="20"/>
              </w:rPr>
              <w:t xml:space="preserve"> физическое лицо (организация), выполняющее в рамках договора со спонсором одну или более из его обязанностей и функций, связанных с проведением клинического исследования;</w:t>
            </w:r>
          </w:p>
          <w:p>
            <w:pPr>
              <w:spacing w:after="20"/>
              <w:ind w:left="20"/>
              <w:jc w:val="both"/>
            </w:pPr>
            <w:r>
              <w:rPr>
                <w:rFonts w:ascii="Times New Roman"/>
                <w:b w:val="false"/>
                <w:i w:val="false"/>
                <w:color w:val="000000"/>
                <w:sz w:val="20"/>
              </w:rPr>
              <w:t>
   1.22. контроль качества</w:t>
            </w:r>
            <w:r>
              <w:rPr>
                <w:rFonts w:ascii="Times New Roman"/>
                <w:b/>
                <w:i w:val="false"/>
                <w:color w:val="000000"/>
                <w:sz w:val="20"/>
              </w:rPr>
              <w:t xml:space="preserve"> -</w:t>
            </w:r>
            <w:r>
              <w:rPr>
                <w:rFonts w:ascii="Times New Roman"/>
                <w:b w:val="false"/>
                <w:i w:val="false"/>
                <w:color w:val="000000"/>
                <w:sz w:val="20"/>
              </w:rPr>
              <w:t xml:space="preserve"> методы и меры, являющиеся частью системы обеспечения качества и используемые для проверки соответствия выполняемых при проведении исследования процедур предъявляемым требованиям к их качеству;</w:t>
            </w:r>
          </w:p>
          <w:p>
            <w:pPr>
              <w:spacing w:after="20"/>
              <w:ind w:left="20"/>
              <w:jc w:val="both"/>
            </w:pPr>
            <w:r>
              <w:rPr>
                <w:rFonts w:ascii="Times New Roman"/>
                <w:b w:val="false"/>
                <w:i w:val="false"/>
                <w:color w:val="000000"/>
                <w:sz w:val="20"/>
              </w:rPr>
              <w:t>
   1.23.  координационная группа</w:t>
            </w:r>
            <w:r>
              <w:rPr>
                <w:rFonts w:ascii="Times New Roman"/>
                <w:b/>
                <w:i w:val="false"/>
                <w:color w:val="000000"/>
                <w:sz w:val="20"/>
              </w:rPr>
              <w:t xml:space="preserve"> - </w:t>
            </w:r>
            <w:r>
              <w:rPr>
                <w:rFonts w:ascii="Times New Roman"/>
                <w:b w:val="false"/>
                <w:i w:val="false"/>
                <w:color w:val="000000"/>
                <w:sz w:val="20"/>
              </w:rPr>
              <w:t>группа, организуемая спонсором, для координации проведения многоцентрового клинического исследования;</w:t>
            </w:r>
          </w:p>
          <w:p>
            <w:pPr>
              <w:spacing w:after="20"/>
              <w:ind w:left="20"/>
              <w:jc w:val="both"/>
            </w:pPr>
            <w:r>
              <w:rPr>
                <w:rFonts w:ascii="Times New Roman"/>
                <w:b w:val="false"/>
                <w:i w:val="false"/>
                <w:color w:val="000000"/>
                <w:sz w:val="20"/>
              </w:rPr>
              <w:t>
   1.24. конфиденциальность</w:t>
            </w:r>
            <w:r>
              <w:rPr>
                <w:rFonts w:ascii="Times New Roman"/>
                <w:b/>
                <w:i w:val="false"/>
                <w:color w:val="000000"/>
                <w:sz w:val="20"/>
              </w:rPr>
              <w:t xml:space="preserve"> -</w:t>
            </w:r>
            <w:r>
              <w:rPr>
                <w:rFonts w:ascii="Times New Roman"/>
                <w:b w:val="false"/>
                <w:i w:val="false"/>
                <w:color w:val="000000"/>
                <w:sz w:val="20"/>
              </w:rPr>
              <w:t xml:space="preserve"> сохранение втайне от неуполномоченных лиц информации, принадлежащей спонсору, или информации, позволяющей идентифицировать субъекта исследования;</w:t>
            </w:r>
          </w:p>
          <w:p>
            <w:pPr>
              <w:spacing w:after="20"/>
              <w:ind w:left="20"/>
              <w:jc w:val="both"/>
            </w:pPr>
            <w:r>
              <w:rPr>
                <w:rFonts w:ascii="Times New Roman"/>
                <w:b w:val="false"/>
                <w:i w:val="false"/>
                <w:color w:val="000000"/>
                <w:sz w:val="20"/>
              </w:rPr>
              <w:t>
   1.25. медицинская организация</w:t>
            </w:r>
            <w:r>
              <w:rPr>
                <w:rFonts w:ascii="Times New Roman"/>
                <w:b/>
                <w:i w:val="false"/>
                <w:color w:val="000000"/>
                <w:sz w:val="20"/>
              </w:rPr>
              <w:t xml:space="preserve"> -</w:t>
            </w:r>
            <w:r>
              <w:rPr>
                <w:rFonts w:ascii="Times New Roman"/>
                <w:b w:val="false"/>
                <w:i w:val="false"/>
                <w:color w:val="000000"/>
                <w:sz w:val="20"/>
              </w:rPr>
              <w:t xml:space="preserve"> медицинская организация вне зависимости от ее организационно-правовой формы, на базе которой разрешено проводить клиническое исследование; </w:t>
            </w:r>
          </w:p>
          <w:p>
            <w:pPr>
              <w:spacing w:after="20"/>
              <w:ind w:left="20"/>
              <w:jc w:val="both"/>
            </w:pPr>
            <w:r>
              <w:rPr>
                <w:rFonts w:ascii="Times New Roman"/>
                <w:b w:val="false"/>
                <w:i w:val="false"/>
                <w:color w:val="000000"/>
                <w:sz w:val="20"/>
              </w:rPr>
              <w:t>
   1.26. многоцентровое клиническое исследование</w:t>
            </w:r>
            <w:r>
              <w:rPr>
                <w:rFonts w:ascii="Times New Roman"/>
                <w:b/>
                <w:i w:val="false"/>
                <w:color w:val="000000"/>
                <w:sz w:val="20"/>
              </w:rPr>
              <w:t xml:space="preserve"> -</w:t>
            </w:r>
            <w:r>
              <w:rPr>
                <w:rFonts w:ascii="Times New Roman"/>
                <w:b w:val="false"/>
                <w:i w:val="false"/>
                <w:color w:val="000000"/>
                <w:sz w:val="20"/>
              </w:rPr>
              <w:t xml:space="preserve"> клиническое исследование, проводимое по единому протоколу более чем в одном исследовательском центре и более чем одним исследователем;</w:t>
            </w:r>
          </w:p>
          <w:p>
            <w:pPr>
              <w:spacing w:after="20"/>
              <w:ind w:left="20"/>
              <w:jc w:val="both"/>
            </w:pPr>
            <w:r>
              <w:rPr>
                <w:rFonts w:ascii="Times New Roman"/>
                <w:b w:val="false"/>
                <w:i w:val="false"/>
                <w:color w:val="000000"/>
                <w:sz w:val="20"/>
              </w:rPr>
              <w:t>
   1.27. мониторинг - деятельность, заключающаяся в контроле за ходом клинического исследования, обеспечении его проведения, сбора данных и представления результатов в соответствии с утвержденными документами: протоколом, стандартными операционными процедурами, настоящим Стандартом;</w:t>
            </w:r>
          </w:p>
          <w:p>
            <w:pPr>
              <w:spacing w:after="20"/>
              <w:ind w:left="20"/>
              <w:jc w:val="both"/>
            </w:pPr>
            <w:r>
              <w:rPr>
                <w:rFonts w:ascii="Times New Roman"/>
                <w:b w:val="false"/>
                <w:i w:val="false"/>
                <w:color w:val="000000"/>
                <w:sz w:val="20"/>
              </w:rPr>
              <w:t>
   1.28. надлежащая клиническая практика</w:t>
            </w:r>
            <w:r>
              <w:rPr>
                <w:rFonts w:ascii="Times New Roman"/>
                <w:b/>
                <w:i w:val="false"/>
                <w:color w:val="000000"/>
                <w:sz w:val="20"/>
              </w:rPr>
              <w:t xml:space="preserve"> -</w:t>
            </w:r>
            <w:r>
              <w:rPr>
                <w:rFonts w:ascii="Times New Roman"/>
                <w:b w:val="false"/>
                <w:i w:val="false"/>
                <w:color w:val="000000"/>
                <w:sz w:val="20"/>
              </w:rPr>
              <w:t xml:space="preserve"> стандарт планирования, организации, проведения, мониторинга, аудита, документирования клинических исследований, а также анализа и представления их результатов, служащий гарантией достоверности и точности полученных данных и представленных результатов, а также обеспечивающий защиту прав, здоровья и конфиденциальности субъектов исследования;</w:t>
            </w:r>
          </w:p>
          <w:p>
            <w:pPr>
              <w:spacing w:after="20"/>
              <w:ind w:left="20"/>
              <w:jc w:val="both"/>
            </w:pPr>
            <w:r>
              <w:rPr>
                <w:rFonts w:ascii="Times New Roman"/>
                <w:b w:val="false"/>
                <w:i w:val="false"/>
                <w:color w:val="000000"/>
                <w:sz w:val="20"/>
              </w:rPr>
              <w:t>
   1.29. нежелательная реакция</w:t>
            </w:r>
            <w:r>
              <w:rPr>
                <w:rFonts w:ascii="Times New Roman"/>
                <w:b/>
                <w:i w:val="false"/>
                <w:color w:val="000000"/>
                <w:sz w:val="20"/>
              </w:rPr>
              <w:t xml:space="preserve"> -</w:t>
            </w:r>
            <w:r>
              <w:rPr>
                <w:rFonts w:ascii="Times New Roman"/>
                <w:b w:val="false"/>
                <w:i w:val="false"/>
                <w:color w:val="000000"/>
                <w:sz w:val="20"/>
              </w:rPr>
              <w:t xml:space="preserve"> непреднамеренная неблагоприятная реакция организма, связанная с применением лекарственного средства (исследуемого препарата), предполагающая наличие, как минимум, возможной взаимосвязи с применением подозреваемого лекарственного препарата (исследуемого препарата);</w:t>
            </w:r>
          </w:p>
          <w:p>
            <w:pPr>
              <w:spacing w:after="20"/>
              <w:ind w:left="20"/>
              <w:jc w:val="both"/>
            </w:pPr>
            <w:r>
              <w:rPr>
                <w:rFonts w:ascii="Times New Roman"/>
                <w:b w:val="false"/>
                <w:i w:val="false"/>
                <w:color w:val="000000"/>
                <w:sz w:val="20"/>
              </w:rPr>
              <w:t xml:space="preserve">
   1.30. нежелательное явление </w:t>
            </w:r>
            <w:r>
              <w:rPr>
                <w:rFonts w:ascii="Times New Roman"/>
                <w:b/>
                <w:i w:val="false"/>
                <w:color w:val="000000"/>
                <w:sz w:val="20"/>
              </w:rPr>
              <w:t xml:space="preserve">- </w:t>
            </w:r>
            <w:r>
              <w:rPr>
                <w:rFonts w:ascii="Times New Roman"/>
                <w:b w:val="false"/>
                <w:i w:val="false"/>
                <w:color w:val="000000"/>
                <w:sz w:val="20"/>
              </w:rPr>
              <w:t>любое неблагоприятное и непреднамеренное изменение в состоянии здоровья пациента или субъекта клинического исследования (испытания), которому назначался лекарственный препарат, независимо от причинно-следственной связи с его применением.</w:t>
            </w:r>
          </w:p>
          <w:p>
            <w:pPr>
              <w:spacing w:after="20"/>
              <w:ind w:left="20"/>
              <w:jc w:val="both"/>
            </w:pPr>
            <w:r>
              <w:rPr>
                <w:rFonts w:ascii="Times New Roman"/>
                <w:b w:val="false"/>
                <w:i w:val="false"/>
                <w:color w:val="000000"/>
                <w:sz w:val="20"/>
              </w:rPr>
              <w:t xml:space="preserve">
   1.31. независимая группа по мониторингу данных </w:t>
            </w:r>
            <w:r>
              <w:rPr>
                <w:rFonts w:ascii="Times New Roman"/>
                <w:b/>
                <w:i w:val="false"/>
                <w:color w:val="000000"/>
                <w:sz w:val="20"/>
              </w:rPr>
              <w:t>–</w:t>
            </w:r>
            <w:r>
              <w:rPr>
                <w:rFonts w:ascii="Times New Roman"/>
                <w:b w:val="false"/>
                <w:i w:val="false"/>
                <w:color w:val="000000"/>
                <w:sz w:val="20"/>
              </w:rPr>
              <w:t xml:space="preserve"> группа специалистов, создаваемая спонсором, для периодического рассмотрения хода клинического исследования, данных по безопасности и (или) основных параметров эффективности, а также для выработки рекомендаций спонсору о целесообразности продолжения, прекращения исследования или внесения в него изменений;</w:t>
            </w:r>
          </w:p>
          <w:p>
            <w:pPr>
              <w:spacing w:after="20"/>
              <w:ind w:left="20"/>
              <w:jc w:val="both"/>
            </w:pPr>
            <w:r>
              <w:rPr>
                <w:rFonts w:ascii="Times New Roman"/>
                <w:b w:val="false"/>
                <w:i w:val="false"/>
                <w:color w:val="000000"/>
                <w:sz w:val="20"/>
              </w:rPr>
              <w:t>
   1.32. незаинтересованный свидетель</w:t>
            </w:r>
            <w:r>
              <w:rPr>
                <w:rFonts w:ascii="Times New Roman"/>
                <w:b/>
                <w:i w:val="false"/>
                <w:color w:val="000000"/>
                <w:sz w:val="20"/>
              </w:rPr>
              <w:t xml:space="preserve"> -</w:t>
            </w:r>
            <w:r>
              <w:rPr>
                <w:rFonts w:ascii="Times New Roman"/>
                <w:b w:val="false"/>
                <w:i w:val="false"/>
                <w:color w:val="000000"/>
                <w:sz w:val="20"/>
              </w:rPr>
              <w:t xml:space="preserve"> физическое лицо, не причастное к проведению клинического исследования, - оказывающее содействие субъекту исследования, в том числе в зачитывании предоставляемых ему письменных материалов; </w:t>
            </w:r>
          </w:p>
          <w:p>
            <w:pPr>
              <w:spacing w:after="20"/>
              <w:ind w:left="20"/>
              <w:jc w:val="both"/>
            </w:pPr>
            <w:r>
              <w:rPr>
                <w:rFonts w:ascii="Times New Roman"/>
                <w:b w:val="false"/>
                <w:i w:val="false"/>
                <w:color w:val="000000"/>
                <w:sz w:val="20"/>
              </w:rPr>
              <w:t>
   1.33. непредвиденная нежелательная реакция</w:t>
            </w:r>
            <w:r>
              <w:rPr>
                <w:rFonts w:ascii="Times New Roman"/>
                <w:b/>
                <w:i w:val="false"/>
                <w:color w:val="000000"/>
                <w:sz w:val="20"/>
              </w:rPr>
              <w:t xml:space="preserve"> -</w:t>
            </w:r>
            <w:r>
              <w:rPr>
                <w:rFonts w:ascii="Times New Roman"/>
                <w:b w:val="false"/>
                <w:i w:val="false"/>
                <w:color w:val="000000"/>
                <w:sz w:val="20"/>
              </w:rPr>
              <w:t xml:space="preserve"> нежелательная реакция, характер, степень тяжести или исход которой не соответствуют информации действующей инструкции по медицинскому применению лекарственного препарата либо брошюре исследователя для незарегистрированного лекарственного препарата;</w:t>
            </w:r>
          </w:p>
          <w:p>
            <w:pPr>
              <w:spacing w:after="20"/>
              <w:ind w:left="20"/>
              <w:jc w:val="both"/>
            </w:pPr>
            <w:r>
              <w:rPr>
                <w:rFonts w:ascii="Times New Roman"/>
                <w:b w:val="false"/>
                <w:i w:val="false"/>
                <w:color w:val="000000"/>
                <w:sz w:val="20"/>
              </w:rPr>
              <w:t>
   1.34. нормативные требования</w:t>
            </w:r>
            <w:r>
              <w:rPr>
                <w:rFonts w:ascii="Times New Roman"/>
                <w:b/>
                <w:i w:val="false"/>
                <w:color w:val="000000"/>
                <w:sz w:val="20"/>
              </w:rPr>
              <w:t xml:space="preserve"> –</w:t>
            </w:r>
            <w:r>
              <w:rPr>
                <w:rFonts w:ascii="Times New Roman"/>
                <w:b w:val="false"/>
                <w:i w:val="false"/>
                <w:color w:val="000000"/>
                <w:sz w:val="20"/>
              </w:rPr>
              <w:t xml:space="preserve"> нормы действующего законодательства, регулирующие проведения клинических исследований исследуемых препаратов;</w:t>
            </w:r>
          </w:p>
          <w:p>
            <w:pPr>
              <w:spacing w:after="20"/>
              <w:ind w:left="20"/>
              <w:jc w:val="both"/>
            </w:pPr>
            <w:r>
              <w:rPr>
                <w:rFonts w:ascii="Times New Roman"/>
                <w:b w:val="false"/>
                <w:i w:val="false"/>
                <w:color w:val="000000"/>
                <w:sz w:val="20"/>
              </w:rPr>
              <w:t>
   1.35. обеспечение качества</w:t>
            </w:r>
            <w:r>
              <w:rPr>
                <w:rFonts w:ascii="Times New Roman"/>
                <w:b/>
                <w:i w:val="false"/>
                <w:color w:val="000000"/>
                <w:sz w:val="20"/>
              </w:rPr>
              <w:t xml:space="preserve"> - </w:t>
            </w:r>
            <w:r>
              <w:rPr>
                <w:rFonts w:ascii="Times New Roman"/>
                <w:b w:val="false"/>
                <w:i w:val="false"/>
                <w:color w:val="000000"/>
                <w:sz w:val="20"/>
              </w:rPr>
              <w:t>совокупность систематических и планомерных действий, которые обеспечивают соответствие проведения исследования, сбора, регистрации и представление данных надлежащей клинической практике;</w:t>
            </w:r>
          </w:p>
          <w:p>
            <w:pPr>
              <w:spacing w:after="20"/>
              <w:ind w:left="20"/>
              <w:jc w:val="both"/>
            </w:pPr>
            <w:r>
              <w:rPr>
                <w:rFonts w:ascii="Times New Roman"/>
                <w:b w:val="false"/>
                <w:i w:val="false"/>
                <w:color w:val="000000"/>
                <w:sz w:val="20"/>
              </w:rPr>
              <w:t>
   1.36. оригинальные медицинские записи  - исходные документы, данные и записи, используемые в клиническом исследовании;</w:t>
            </w:r>
          </w:p>
          <w:p>
            <w:pPr>
              <w:spacing w:after="20"/>
              <w:ind w:left="20"/>
              <w:jc w:val="both"/>
            </w:pPr>
            <w:r>
              <w:rPr>
                <w:rFonts w:ascii="Times New Roman"/>
                <w:b w:val="false"/>
                <w:i w:val="false"/>
                <w:color w:val="000000"/>
                <w:sz w:val="20"/>
              </w:rPr>
              <w:t>
   1.37. основные документы</w:t>
            </w:r>
            <w:r>
              <w:rPr>
                <w:rFonts w:ascii="Times New Roman"/>
                <w:b/>
                <w:i w:val="false"/>
                <w:color w:val="000000"/>
                <w:sz w:val="20"/>
              </w:rPr>
              <w:t xml:space="preserve"> - </w:t>
            </w:r>
            <w:r>
              <w:rPr>
                <w:rFonts w:ascii="Times New Roman"/>
                <w:b w:val="false"/>
                <w:i w:val="false"/>
                <w:color w:val="000000"/>
                <w:sz w:val="20"/>
              </w:rPr>
              <w:t>документы, которые в совокупности или по отдельности позволяют оценить ход клинического исследования и качество полученных данных;</w:t>
            </w:r>
          </w:p>
          <w:p>
            <w:pPr>
              <w:spacing w:after="20"/>
              <w:ind w:left="20"/>
              <w:jc w:val="both"/>
            </w:pPr>
            <w:r>
              <w:rPr>
                <w:rFonts w:ascii="Times New Roman"/>
                <w:b w:val="false"/>
                <w:i w:val="false"/>
                <w:color w:val="000000"/>
                <w:sz w:val="20"/>
              </w:rPr>
              <w:t>
   1.38. отчет монитора</w:t>
            </w:r>
            <w:r>
              <w:rPr>
                <w:rFonts w:ascii="Times New Roman"/>
                <w:b/>
                <w:i w:val="false"/>
                <w:color w:val="000000"/>
                <w:sz w:val="20"/>
              </w:rPr>
              <w:t xml:space="preserve"> -</w:t>
            </w:r>
            <w:r>
              <w:rPr>
                <w:rFonts w:ascii="Times New Roman"/>
                <w:b w:val="false"/>
                <w:i w:val="false"/>
                <w:color w:val="000000"/>
                <w:sz w:val="20"/>
              </w:rPr>
              <w:t xml:space="preserve"> письменный отчет монитора спонсору после каждого визита клинической базы и (или) контакта с исследователями в соответствии со стандартными операционными процедурами спонсора;</w:t>
            </w:r>
          </w:p>
          <w:p>
            <w:pPr>
              <w:spacing w:after="20"/>
              <w:ind w:left="20"/>
              <w:jc w:val="both"/>
            </w:pPr>
            <w:r>
              <w:rPr>
                <w:rFonts w:ascii="Times New Roman"/>
                <w:b w:val="false"/>
                <w:i w:val="false"/>
                <w:color w:val="000000"/>
                <w:sz w:val="20"/>
              </w:rPr>
              <w:t>
   1.39. отчет об аудите</w:t>
            </w:r>
            <w:r>
              <w:rPr>
                <w:rFonts w:ascii="Times New Roman"/>
                <w:b/>
                <w:i w:val="false"/>
                <w:color w:val="000000"/>
                <w:sz w:val="20"/>
              </w:rPr>
              <w:t xml:space="preserve"> -</w:t>
            </w:r>
            <w:r>
              <w:rPr>
                <w:rFonts w:ascii="Times New Roman"/>
                <w:b w:val="false"/>
                <w:i w:val="false"/>
                <w:color w:val="000000"/>
                <w:sz w:val="20"/>
              </w:rPr>
              <w:t xml:space="preserve"> письменное заключение аудитора спонсора о результатах аудита;</w:t>
            </w:r>
          </w:p>
          <w:p>
            <w:pPr>
              <w:spacing w:after="20"/>
              <w:ind w:left="20"/>
              <w:jc w:val="both"/>
            </w:pPr>
            <w:r>
              <w:rPr>
                <w:rFonts w:ascii="Times New Roman"/>
                <w:b w:val="false"/>
                <w:i w:val="false"/>
                <w:color w:val="000000"/>
                <w:sz w:val="20"/>
              </w:rPr>
              <w:t>
   1.40.  отчет о клиническом исследовании (испытании)</w:t>
            </w:r>
            <w:r>
              <w:rPr>
                <w:rFonts w:ascii="Times New Roman"/>
                <w:b/>
                <w:i w:val="false"/>
                <w:color w:val="000000"/>
                <w:sz w:val="20"/>
              </w:rPr>
              <w:t xml:space="preserve"> -</w:t>
            </w:r>
            <w:r>
              <w:rPr>
                <w:rFonts w:ascii="Times New Roman"/>
                <w:b w:val="false"/>
                <w:i w:val="false"/>
                <w:color w:val="000000"/>
                <w:sz w:val="20"/>
              </w:rPr>
              <w:t xml:space="preserve"> описание в письменной форме клинического исследования терапевтического, профилактического или диагностического средства с участием человека в качестве субъекта, объединяющее клиническое и статистическое описания, представление данных и их анализ;</w:t>
            </w:r>
          </w:p>
          <w:p>
            <w:pPr>
              <w:spacing w:after="20"/>
              <w:ind w:left="20"/>
              <w:jc w:val="both"/>
            </w:pPr>
            <w:r>
              <w:rPr>
                <w:rFonts w:ascii="Times New Roman"/>
                <w:b w:val="false"/>
                <w:i w:val="false"/>
                <w:color w:val="000000"/>
                <w:sz w:val="20"/>
              </w:rPr>
              <w:t>
   1.41. первичная документация</w:t>
            </w:r>
            <w:r>
              <w:rPr>
                <w:rFonts w:ascii="Times New Roman"/>
                <w:b/>
                <w:i w:val="false"/>
                <w:color w:val="000000"/>
                <w:sz w:val="20"/>
              </w:rPr>
              <w:t xml:space="preserve"> - </w:t>
            </w:r>
            <w:r>
              <w:rPr>
                <w:rFonts w:ascii="Times New Roman"/>
                <w:b w:val="false"/>
                <w:i w:val="false"/>
                <w:color w:val="000000"/>
                <w:sz w:val="20"/>
              </w:rPr>
              <w:t>исходные документы, данные и записи, используемые в клиническом исследовании;</w:t>
            </w:r>
          </w:p>
          <w:p>
            <w:pPr>
              <w:spacing w:after="20"/>
              <w:ind w:left="20"/>
              <w:jc w:val="both"/>
            </w:pPr>
            <w:r>
              <w:rPr>
                <w:rFonts w:ascii="Times New Roman"/>
                <w:b w:val="false"/>
                <w:i w:val="false"/>
                <w:color w:val="000000"/>
                <w:sz w:val="20"/>
              </w:rPr>
              <w:t>
   1.42. первичные данные</w:t>
            </w:r>
            <w:r>
              <w:rPr>
                <w:rFonts w:ascii="Times New Roman"/>
                <w:b/>
                <w:i w:val="false"/>
                <w:color w:val="000000"/>
                <w:sz w:val="20"/>
              </w:rPr>
              <w:t xml:space="preserve"> -</w:t>
            </w:r>
            <w:r>
              <w:rPr>
                <w:rFonts w:ascii="Times New Roman"/>
                <w:b w:val="false"/>
                <w:i w:val="false"/>
                <w:color w:val="000000"/>
                <w:sz w:val="20"/>
              </w:rPr>
              <w:t xml:space="preserve"> информация, представленная в подлинниках или их заверенных копиях, описывающая результаты клинических наблюдений, обследований, позволяющая воссоздать и оценить ход клинического исследования. Первичные данные содержатся в первичной документации;</w:t>
            </w:r>
          </w:p>
          <w:p>
            <w:pPr>
              <w:spacing w:after="20"/>
              <w:ind w:left="20"/>
              <w:jc w:val="both"/>
            </w:pPr>
            <w:r>
              <w:rPr>
                <w:rFonts w:ascii="Times New Roman"/>
                <w:b w:val="false"/>
                <w:i w:val="false"/>
                <w:color w:val="000000"/>
                <w:sz w:val="20"/>
              </w:rPr>
              <w:t>
   1.43. поправка к протоколу - оформленные в письменном виде изменения, разъяснения протокола или сообщение о вносимых изменениях;</w:t>
            </w:r>
          </w:p>
          <w:p>
            <w:pPr>
              <w:spacing w:after="20"/>
              <w:ind w:left="20"/>
              <w:jc w:val="both"/>
            </w:pPr>
            <w:r>
              <w:rPr>
                <w:rFonts w:ascii="Times New Roman"/>
                <w:b w:val="false"/>
                <w:i w:val="false"/>
                <w:color w:val="000000"/>
                <w:sz w:val="20"/>
              </w:rPr>
              <w:t>
   1.44. препарат сравнения</w:t>
            </w:r>
            <w:r>
              <w:rPr>
                <w:rFonts w:ascii="Times New Roman"/>
                <w:b/>
                <w:i w:val="false"/>
                <w:color w:val="000000"/>
                <w:sz w:val="20"/>
              </w:rPr>
              <w:t xml:space="preserve"> - </w:t>
            </w:r>
            <w:r>
              <w:rPr>
                <w:rFonts w:ascii="Times New Roman"/>
                <w:b w:val="false"/>
                <w:i w:val="false"/>
                <w:color w:val="000000"/>
                <w:sz w:val="20"/>
              </w:rPr>
              <w:t>зарегистрированный лекарственный препарат либо плацебо, используемый как контроль в клиническом исследовании;</w:t>
            </w:r>
          </w:p>
          <w:p>
            <w:pPr>
              <w:spacing w:after="20"/>
              <w:ind w:left="20"/>
              <w:jc w:val="both"/>
            </w:pPr>
            <w:r>
              <w:rPr>
                <w:rFonts w:ascii="Times New Roman"/>
                <w:b w:val="false"/>
                <w:i w:val="false"/>
                <w:color w:val="000000"/>
                <w:sz w:val="20"/>
              </w:rPr>
              <w:t>
    1.45. промежуточный отчет о клиническом исследовании (испытании)</w:t>
            </w:r>
            <w:r>
              <w:rPr>
                <w:rFonts w:ascii="Times New Roman"/>
                <w:b/>
                <w:i w:val="false"/>
                <w:color w:val="000000"/>
                <w:sz w:val="20"/>
              </w:rPr>
              <w:t xml:space="preserve"> - </w:t>
            </w:r>
            <w:r>
              <w:rPr>
                <w:rFonts w:ascii="Times New Roman"/>
                <w:b w:val="false"/>
                <w:i w:val="false"/>
                <w:color w:val="000000"/>
                <w:sz w:val="20"/>
              </w:rPr>
              <w:t>отчет о промежуточных результатах и их оценке, основанный на проведенном в ходе клинического исследования анализе данных;</w:t>
            </w:r>
          </w:p>
          <w:p>
            <w:pPr>
              <w:spacing w:after="20"/>
              <w:ind w:left="20"/>
              <w:jc w:val="both"/>
            </w:pPr>
            <w:r>
              <w:rPr>
                <w:rFonts w:ascii="Times New Roman"/>
                <w:b w:val="false"/>
                <w:i w:val="false"/>
                <w:color w:val="000000"/>
                <w:sz w:val="20"/>
              </w:rPr>
              <w:t>
    1.46. протокол клинического исследования (далее – протокол)</w:t>
            </w:r>
            <w:r>
              <w:rPr>
                <w:rFonts w:ascii="Times New Roman"/>
                <w:b/>
                <w:i w:val="false"/>
                <w:color w:val="000000"/>
                <w:sz w:val="20"/>
              </w:rPr>
              <w:t xml:space="preserve"> - </w:t>
            </w:r>
            <w:r>
              <w:rPr>
                <w:rFonts w:ascii="Times New Roman"/>
                <w:b w:val="false"/>
                <w:i w:val="false"/>
                <w:color w:val="000000"/>
                <w:sz w:val="20"/>
              </w:rPr>
              <w:t>документ, описывающий цели, дизайн, методологию, статистические аспекты и организацию исследования;</w:t>
            </w:r>
          </w:p>
          <w:p>
            <w:pPr>
              <w:spacing w:after="20"/>
              <w:ind w:left="20"/>
              <w:jc w:val="both"/>
            </w:pPr>
            <w:r>
              <w:rPr>
                <w:rFonts w:ascii="Times New Roman"/>
                <w:b w:val="false"/>
                <w:i w:val="false"/>
                <w:color w:val="000000"/>
                <w:sz w:val="20"/>
              </w:rPr>
              <w:t>
    1.47. прямой доступ</w:t>
            </w:r>
            <w:r>
              <w:rPr>
                <w:rFonts w:ascii="Times New Roman"/>
                <w:b/>
                <w:i w:val="false"/>
                <w:color w:val="000000"/>
                <w:sz w:val="20"/>
              </w:rPr>
              <w:t xml:space="preserve"> - </w:t>
            </w:r>
            <w:r>
              <w:rPr>
                <w:rFonts w:ascii="Times New Roman"/>
                <w:b w:val="false"/>
                <w:i w:val="false"/>
                <w:color w:val="000000"/>
                <w:sz w:val="20"/>
              </w:rPr>
              <w:t xml:space="preserve">разрешение на изучение, анализ, проверку и копирование любых записей и отчетов, необходимых для оценки клинического исследования; </w:t>
            </w:r>
          </w:p>
          <w:p>
            <w:pPr>
              <w:spacing w:after="20"/>
              <w:ind w:left="20"/>
              <w:jc w:val="both"/>
            </w:pPr>
            <w:r>
              <w:rPr>
                <w:rFonts w:ascii="Times New Roman"/>
                <w:b w:val="false"/>
                <w:i w:val="false"/>
                <w:color w:val="000000"/>
                <w:sz w:val="20"/>
              </w:rPr>
              <w:t>
    1.48. рандомизация</w:t>
            </w:r>
            <w:r>
              <w:rPr>
                <w:rFonts w:ascii="Times New Roman"/>
                <w:b/>
                <w:i w:val="false"/>
                <w:color w:val="000000"/>
                <w:sz w:val="20"/>
              </w:rPr>
              <w:t xml:space="preserve"> - </w:t>
            </w:r>
            <w:r>
              <w:rPr>
                <w:rFonts w:ascii="Times New Roman"/>
                <w:b w:val="false"/>
                <w:i w:val="false"/>
                <w:color w:val="000000"/>
                <w:sz w:val="20"/>
              </w:rPr>
              <w:t>процесс распределения субъектов исследования по группам лечения или контроля случайным образом, позволяющий свести к минимуму субъективность;</w:t>
            </w:r>
          </w:p>
          <w:p>
            <w:pPr>
              <w:spacing w:after="20"/>
              <w:ind w:left="20"/>
              <w:jc w:val="both"/>
            </w:pPr>
            <w:r>
              <w:rPr>
                <w:rFonts w:ascii="Times New Roman"/>
                <w:b w:val="false"/>
                <w:i w:val="false"/>
                <w:color w:val="000000"/>
                <w:sz w:val="20"/>
              </w:rPr>
              <w:t>
    1.49. сертификат аудита</w:t>
            </w:r>
            <w:r>
              <w:rPr>
                <w:rFonts w:ascii="Times New Roman"/>
                <w:b/>
                <w:i w:val="false"/>
                <w:color w:val="000000"/>
                <w:sz w:val="20"/>
              </w:rPr>
              <w:t xml:space="preserve"> -</w:t>
            </w:r>
            <w:r>
              <w:rPr>
                <w:rFonts w:ascii="Times New Roman"/>
                <w:b w:val="false"/>
                <w:i w:val="false"/>
                <w:color w:val="000000"/>
                <w:sz w:val="20"/>
              </w:rPr>
              <w:t xml:space="preserve"> документ, составленный аудитором в подтверждение факта проведения аудита;</w:t>
            </w:r>
          </w:p>
          <w:p>
            <w:pPr>
              <w:spacing w:after="20"/>
              <w:ind w:left="20"/>
              <w:jc w:val="both"/>
            </w:pPr>
            <w:r>
              <w:rPr>
                <w:rFonts w:ascii="Times New Roman"/>
                <w:b w:val="false"/>
                <w:i w:val="false"/>
                <w:color w:val="000000"/>
                <w:sz w:val="20"/>
              </w:rPr>
              <w:t xml:space="preserve">
    1.50. серьезное нежелательное явление (далее – СНЯ) и (или) серьезная нежелательная реакция (далее - СНР) </w:t>
            </w:r>
            <w:r>
              <w:rPr>
                <w:rFonts w:ascii="Times New Roman"/>
                <w:b/>
                <w:i w:val="false"/>
                <w:color w:val="000000"/>
                <w:sz w:val="20"/>
              </w:rPr>
              <w:t xml:space="preserve">- </w:t>
            </w:r>
            <w:r>
              <w:rPr>
                <w:rFonts w:ascii="Times New Roman"/>
                <w:b w:val="false"/>
                <w:i w:val="false"/>
                <w:color w:val="000000"/>
                <w:sz w:val="20"/>
              </w:rPr>
              <w:t>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w:t>
            </w:r>
          </w:p>
          <w:p>
            <w:pPr>
              <w:spacing w:after="20"/>
              <w:ind w:left="20"/>
              <w:jc w:val="both"/>
            </w:pPr>
            <w:r>
              <w:rPr>
                <w:rFonts w:ascii="Times New Roman"/>
                <w:b w:val="false"/>
                <w:i w:val="false"/>
                <w:color w:val="000000"/>
                <w:sz w:val="20"/>
              </w:rPr>
              <w:t>
    1.51. слепой метод и (или) маскировка</w:t>
            </w:r>
            <w:r>
              <w:rPr>
                <w:rFonts w:ascii="Times New Roman"/>
                <w:b/>
                <w:i w:val="false"/>
                <w:color w:val="000000"/>
                <w:sz w:val="20"/>
              </w:rPr>
              <w:t xml:space="preserve"> - </w:t>
            </w:r>
            <w:r>
              <w:rPr>
                <w:rFonts w:ascii="Times New Roman"/>
                <w:b w:val="false"/>
                <w:i w:val="false"/>
                <w:color w:val="000000"/>
                <w:sz w:val="20"/>
              </w:rPr>
              <w:t>метод, при применении которого одной или нескольким участвующим в клиническом исследовании сторонам неизвестно, какое лечение назначено субъекту исследования;</w:t>
            </w:r>
          </w:p>
          <w:p>
            <w:pPr>
              <w:spacing w:after="20"/>
              <w:ind w:left="20"/>
              <w:jc w:val="both"/>
            </w:pPr>
            <w:r>
              <w:rPr>
                <w:rFonts w:ascii="Times New Roman"/>
                <w:b w:val="false"/>
                <w:i w:val="false"/>
                <w:color w:val="000000"/>
                <w:sz w:val="20"/>
              </w:rPr>
              <w:t xml:space="preserve">
    1.52. соблюдение требований применительно к клиническим исследованиям </w:t>
            </w:r>
            <w:r>
              <w:rPr>
                <w:rFonts w:ascii="Times New Roman"/>
                <w:b/>
                <w:i w:val="false"/>
                <w:color w:val="000000"/>
                <w:sz w:val="20"/>
              </w:rPr>
              <w:t xml:space="preserve">- </w:t>
            </w:r>
            <w:r>
              <w:rPr>
                <w:rFonts w:ascii="Times New Roman"/>
                <w:b w:val="false"/>
                <w:i w:val="false"/>
                <w:color w:val="000000"/>
                <w:sz w:val="20"/>
              </w:rPr>
              <w:t xml:space="preserve">следование требованиям настоящего Стандарта, протоколу клинического исследования; </w:t>
            </w:r>
          </w:p>
          <w:p>
            <w:pPr>
              <w:spacing w:after="20"/>
              <w:ind w:left="20"/>
              <w:jc w:val="both"/>
            </w:pPr>
            <w:r>
              <w:rPr>
                <w:rFonts w:ascii="Times New Roman"/>
                <w:b w:val="false"/>
                <w:i w:val="false"/>
                <w:color w:val="000000"/>
                <w:sz w:val="20"/>
              </w:rPr>
              <w:t>
    1.53.  соисследователь</w:t>
            </w:r>
            <w:r>
              <w:rPr>
                <w:rFonts w:ascii="Times New Roman"/>
                <w:b/>
                <w:i w:val="false"/>
                <w:color w:val="000000"/>
                <w:sz w:val="20"/>
              </w:rPr>
              <w:t xml:space="preserve"> -</w:t>
            </w:r>
            <w:r>
              <w:rPr>
                <w:rFonts w:ascii="Times New Roman"/>
                <w:b w:val="false"/>
                <w:i w:val="false"/>
                <w:color w:val="000000"/>
                <w:sz w:val="20"/>
              </w:rPr>
              <w:t xml:space="preserve"> любой член исследовательского коллектива, назначенный исследователем и осуществляющий под его контролем значимые процедуры клинического исследования на клинической базе;</w:t>
            </w:r>
          </w:p>
          <w:p>
            <w:pPr>
              <w:spacing w:after="20"/>
              <w:ind w:left="20"/>
              <w:jc w:val="both"/>
            </w:pPr>
            <w:r>
              <w:rPr>
                <w:rFonts w:ascii="Times New Roman"/>
                <w:b w:val="false"/>
                <w:i w:val="false"/>
                <w:color w:val="000000"/>
                <w:sz w:val="20"/>
              </w:rPr>
              <w:t>
    1.54. спонсор</w:t>
            </w:r>
            <w:r>
              <w:rPr>
                <w:rFonts w:ascii="Times New Roman"/>
                <w:b/>
                <w:i w:val="false"/>
                <w:color w:val="000000"/>
                <w:sz w:val="20"/>
              </w:rPr>
              <w:t xml:space="preserve"> - </w:t>
            </w:r>
            <w:r>
              <w:rPr>
                <w:rFonts w:ascii="Times New Roman"/>
                <w:b w:val="false"/>
                <w:i w:val="false"/>
                <w:color w:val="000000"/>
                <w:sz w:val="20"/>
              </w:rPr>
              <w:t>физическое или юридическое лицо, являющееся инициатором клинического исследования и несущее ответственность за его организацию и (или) финансирование;</w:t>
            </w:r>
          </w:p>
          <w:p>
            <w:pPr>
              <w:spacing w:after="20"/>
              <w:ind w:left="20"/>
              <w:jc w:val="both"/>
            </w:pPr>
            <w:r>
              <w:rPr>
                <w:rFonts w:ascii="Times New Roman"/>
                <w:b w:val="false"/>
                <w:i w:val="false"/>
                <w:color w:val="000000"/>
                <w:sz w:val="20"/>
              </w:rPr>
              <w:t>
    1.55. спонсор-исследователь</w:t>
            </w:r>
            <w:r>
              <w:rPr>
                <w:rFonts w:ascii="Times New Roman"/>
                <w:b/>
                <w:i w:val="false"/>
                <w:color w:val="000000"/>
                <w:sz w:val="20"/>
              </w:rPr>
              <w:t xml:space="preserve"> - </w:t>
            </w:r>
            <w:r>
              <w:rPr>
                <w:rFonts w:ascii="Times New Roman"/>
                <w:b w:val="false"/>
                <w:i w:val="false"/>
                <w:color w:val="000000"/>
                <w:sz w:val="20"/>
              </w:rPr>
              <w:t>лицо, которое самостоятельно или совместно с другими лицами, инициирует и проводит клиническое исследование и под непосредственным руководством которого исследуемый препарат либо назначают, либо выдают субъекту исследования, либо последний принимает его;</w:t>
            </w:r>
          </w:p>
          <w:p>
            <w:pPr>
              <w:spacing w:after="20"/>
              <w:ind w:left="20"/>
              <w:jc w:val="both"/>
            </w:pPr>
            <w:r>
              <w:rPr>
                <w:rFonts w:ascii="Times New Roman"/>
                <w:b w:val="false"/>
                <w:i w:val="false"/>
                <w:color w:val="000000"/>
                <w:sz w:val="20"/>
              </w:rPr>
              <w:t xml:space="preserve">
    1.56. стандартные операционные процедуры (далее – СОП) </w:t>
            </w:r>
            <w:r>
              <w:rPr>
                <w:rFonts w:ascii="Times New Roman"/>
                <w:b/>
                <w:i w:val="false"/>
                <w:color w:val="000000"/>
                <w:sz w:val="20"/>
              </w:rPr>
              <w:t>-</w:t>
            </w:r>
            <w:r>
              <w:rPr>
                <w:rFonts w:ascii="Times New Roman"/>
                <w:b w:val="false"/>
                <w:i w:val="false"/>
                <w:color w:val="000000"/>
                <w:sz w:val="20"/>
              </w:rPr>
              <w:t xml:space="preserve"> подробные письменные инструкции, предназначенные для достижения единообразия при осуществлении определенной деятельности;</w:t>
            </w:r>
          </w:p>
          <w:p>
            <w:pPr>
              <w:spacing w:after="20"/>
              <w:ind w:left="20"/>
              <w:jc w:val="both"/>
            </w:pPr>
            <w:r>
              <w:rPr>
                <w:rFonts w:ascii="Times New Roman"/>
                <w:b w:val="false"/>
                <w:i w:val="false"/>
                <w:color w:val="000000"/>
                <w:sz w:val="20"/>
              </w:rPr>
              <w:t>
    1.57. субъект (субъект исследования)</w:t>
            </w:r>
            <w:r>
              <w:rPr>
                <w:rFonts w:ascii="Times New Roman"/>
                <w:b/>
                <w:i w:val="false"/>
                <w:color w:val="000000"/>
                <w:sz w:val="20"/>
              </w:rPr>
              <w:t xml:space="preserve"> -</w:t>
            </w:r>
            <w:r>
              <w:rPr>
                <w:rFonts w:ascii="Times New Roman"/>
                <w:b w:val="false"/>
                <w:i w:val="false"/>
                <w:color w:val="000000"/>
                <w:sz w:val="20"/>
              </w:rPr>
              <w:t xml:space="preserve"> физическое лицо, участвующее в клиническом исследовании в составе группы, получающей исследуемый препарат, либо в составе контрольной группы;</w:t>
            </w:r>
          </w:p>
          <w:p>
            <w:pPr>
              <w:spacing w:after="20"/>
              <w:ind w:left="20"/>
              <w:jc w:val="both"/>
            </w:pPr>
            <w:r>
              <w:rPr>
                <w:rFonts w:ascii="Times New Roman"/>
                <w:b w:val="false"/>
                <w:i w:val="false"/>
                <w:color w:val="000000"/>
                <w:sz w:val="20"/>
              </w:rPr>
              <w:t>
    1.58. уполномоченный орган – государственный орган в сфере обращения лекарственных средств и медицинских изделий, выдающий разрешение на проведение клинического исследования на основании заключения государственной экспертной организации в сфере обращения лекарственных средств и медицинских изделий (далее – экспертная организация) и проводящий инспекции;</w:t>
            </w:r>
          </w:p>
          <w:p>
            <w:pPr>
              <w:spacing w:after="20"/>
              <w:ind w:left="20"/>
              <w:jc w:val="both"/>
            </w:pPr>
            <w:r>
              <w:rPr>
                <w:rFonts w:ascii="Times New Roman"/>
                <w:b w:val="false"/>
                <w:i w:val="false"/>
                <w:color w:val="000000"/>
                <w:sz w:val="20"/>
              </w:rPr>
              <w:t>
    1.59. уязвимые субъекты исследования</w:t>
            </w:r>
            <w:r>
              <w:rPr>
                <w:rFonts w:ascii="Times New Roman"/>
                <w:b/>
                <w:i w:val="false"/>
                <w:color w:val="000000"/>
                <w:sz w:val="20"/>
              </w:rPr>
              <w:t xml:space="preserve"> -</w:t>
            </w:r>
            <w:r>
              <w:rPr>
                <w:rFonts w:ascii="Times New Roman"/>
                <w:b w:val="false"/>
                <w:i w:val="false"/>
                <w:color w:val="000000"/>
                <w:sz w:val="20"/>
              </w:rPr>
              <w:t xml:space="preserve"> лица, на чье желание участвовать в клиническом исследовании оказывает чрезмерное влияние ожидание (обоснованное или необоснованное) тех или иных преимуществ, связанных с участием в исследовании, или санкции вышестоящих в иерархии лиц в случае отказа от участия.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Принципы надлежащей клинической практики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Клинические исследования проводятся в соответствии с этическими принципами, заложенными Хельсинкской декларацией Всемирной медицинской ассоциации 1964 года и отраженными в настоящем Стандарте и нормативных требованиях.</w:t>
            </w:r>
          </w:p>
          <w:p>
            <w:pPr>
              <w:spacing w:after="20"/>
              <w:ind w:left="20"/>
              <w:jc w:val="both"/>
            </w:pPr>
            <w:r>
              <w:rPr>
                <w:rFonts w:ascii="Times New Roman"/>
                <w:b w:val="false"/>
                <w:i w:val="false"/>
                <w:color w:val="000000"/>
                <w:sz w:val="20"/>
              </w:rPr>
              <w:t>
   2.2. До начала исследования экспертной организацией проводится оценка соотношения предвидимого (предсказуемого) риска и неудобств с ожидаемой пользой для субъекта исследования и общества. Исследование начинают и продолжают только в том случае, если ожидаемая польза оправдывает риск.</w:t>
            </w:r>
          </w:p>
          <w:p>
            <w:pPr>
              <w:spacing w:after="20"/>
              <w:ind w:left="20"/>
              <w:jc w:val="both"/>
            </w:pPr>
            <w:r>
              <w:rPr>
                <w:rFonts w:ascii="Times New Roman"/>
                <w:b w:val="false"/>
                <w:i w:val="false"/>
                <w:color w:val="000000"/>
                <w:sz w:val="20"/>
              </w:rPr>
              <w:t>
   2.3. Права, безопасность и благополучие субъектов исследования имеют первостепенное значение и превалируют над интересами науки и общества.</w:t>
            </w:r>
          </w:p>
          <w:p>
            <w:pPr>
              <w:spacing w:after="20"/>
              <w:ind w:left="20"/>
              <w:jc w:val="both"/>
            </w:pPr>
            <w:r>
              <w:rPr>
                <w:rFonts w:ascii="Times New Roman"/>
                <w:b w:val="false"/>
                <w:i w:val="false"/>
                <w:color w:val="000000"/>
                <w:sz w:val="20"/>
              </w:rPr>
              <w:t>
   2.4. Информация (доклиническая и клиническая) об исследуемом препарате предоставляется в достаточном объеме для обоснования предполагаемого клинического исследования.</w:t>
            </w:r>
          </w:p>
          <w:p>
            <w:pPr>
              <w:spacing w:after="20"/>
              <w:ind w:left="20"/>
              <w:jc w:val="both"/>
            </w:pPr>
            <w:r>
              <w:rPr>
                <w:rFonts w:ascii="Times New Roman"/>
                <w:b w:val="false"/>
                <w:i w:val="false"/>
                <w:color w:val="000000"/>
                <w:sz w:val="20"/>
              </w:rPr>
              <w:t>
   2.5. Клинические исследования отвечают научным требованиям и четко и подробно описываются в протоколе.</w:t>
            </w:r>
          </w:p>
          <w:p>
            <w:pPr>
              <w:spacing w:after="20"/>
              <w:ind w:left="20"/>
              <w:jc w:val="both"/>
            </w:pPr>
            <w:r>
              <w:rPr>
                <w:rFonts w:ascii="Times New Roman"/>
                <w:b w:val="false"/>
                <w:i w:val="false"/>
                <w:color w:val="000000"/>
                <w:sz w:val="20"/>
              </w:rPr>
              <w:t>
   2.6. Клиническое исследование проводится в соответствии с протоколом, одобренным комиссией по вопросам этики.</w:t>
            </w:r>
          </w:p>
          <w:p>
            <w:pPr>
              <w:spacing w:after="20"/>
              <w:ind w:left="20"/>
              <w:jc w:val="both"/>
            </w:pPr>
            <w:r>
              <w:rPr>
                <w:rFonts w:ascii="Times New Roman"/>
                <w:b w:val="false"/>
                <w:i w:val="false"/>
                <w:color w:val="000000"/>
                <w:sz w:val="20"/>
              </w:rPr>
              <w:t>
   2.7. Ответственность за оказываемую субъекту медицинскую помощь и принятие решений медицинского характера несет врач.</w:t>
            </w:r>
          </w:p>
          <w:p>
            <w:pPr>
              <w:spacing w:after="20"/>
              <w:ind w:left="20"/>
              <w:jc w:val="both"/>
            </w:pPr>
            <w:r>
              <w:rPr>
                <w:rFonts w:ascii="Times New Roman"/>
                <w:b w:val="false"/>
                <w:i w:val="false"/>
                <w:color w:val="000000"/>
                <w:sz w:val="20"/>
              </w:rPr>
              <w:t>
   2.8. Все привлекаемые к проведению исследования лица имеют соответствующие образование, подготовку и опыт для выполнения возложенных на них задач.</w:t>
            </w:r>
          </w:p>
          <w:p>
            <w:pPr>
              <w:spacing w:after="20"/>
              <w:ind w:left="20"/>
              <w:jc w:val="both"/>
            </w:pPr>
            <w:r>
              <w:rPr>
                <w:rFonts w:ascii="Times New Roman"/>
                <w:b w:val="false"/>
                <w:i w:val="false"/>
                <w:color w:val="000000"/>
                <w:sz w:val="20"/>
              </w:rPr>
              <w:t>
   2.9. Добровольное информированное согласие получают у каждого субъекта до его включения в исследование.</w:t>
            </w:r>
          </w:p>
          <w:p>
            <w:pPr>
              <w:spacing w:after="20"/>
              <w:ind w:left="20"/>
              <w:jc w:val="both"/>
            </w:pPr>
            <w:r>
              <w:rPr>
                <w:rFonts w:ascii="Times New Roman"/>
                <w:b w:val="false"/>
                <w:i w:val="false"/>
                <w:color w:val="000000"/>
                <w:sz w:val="20"/>
              </w:rPr>
              <w:t>
   2.10. Полученную в клиническом исследовании информацию регистрируют, передают и хранят с обеспечением точности и правильности ее представления, интерпретации и верификации.</w:t>
            </w:r>
          </w:p>
          <w:p>
            <w:pPr>
              <w:spacing w:after="20"/>
              <w:ind w:left="20"/>
              <w:jc w:val="both"/>
            </w:pPr>
            <w:r>
              <w:rPr>
                <w:rFonts w:ascii="Times New Roman"/>
                <w:b w:val="false"/>
                <w:i w:val="false"/>
                <w:color w:val="000000"/>
                <w:sz w:val="20"/>
              </w:rPr>
              <w:t>
   2.11. Конфиденциальность записей, позволяющих идентифицировать субъектов исследования, обеспечивается с соблюдением права на частную жизнь и защиту конфиденциальности.</w:t>
            </w:r>
          </w:p>
          <w:p>
            <w:pPr>
              <w:spacing w:after="20"/>
              <w:ind w:left="20"/>
              <w:jc w:val="both"/>
            </w:pPr>
            <w:r>
              <w:rPr>
                <w:rFonts w:ascii="Times New Roman"/>
                <w:b w:val="false"/>
                <w:i w:val="false"/>
                <w:color w:val="000000"/>
                <w:sz w:val="20"/>
              </w:rPr>
              <w:t>
   2.12. Производство и хранение исследуемых препаратов, а также обращение с ними осуществляется в соответствии с требованиями законодательства Республики Казахстан. Исследуемые препараты применяются в соответствии с утвержденным протоколом клинического исследования.</w:t>
            </w:r>
          </w:p>
          <w:p>
            <w:pPr>
              <w:spacing w:after="20"/>
              <w:ind w:left="20"/>
              <w:jc w:val="both"/>
            </w:pPr>
            <w:r>
              <w:rPr>
                <w:rFonts w:ascii="Times New Roman"/>
                <w:b w:val="false"/>
                <w:i w:val="false"/>
                <w:color w:val="000000"/>
                <w:sz w:val="20"/>
              </w:rPr>
              <w:t>
   2.13. Для обеспечения качества каждого аспекта исследования внедряются соответствующие системы и операционные процедуры.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по вопросам этики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Обязанности</w:t>
            </w:r>
          </w:p>
          <w:p>
            <w:pPr>
              <w:spacing w:after="20"/>
              <w:ind w:left="20"/>
              <w:jc w:val="both"/>
            </w:pPr>
            <w:r>
              <w:rPr>
                <w:rFonts w:ascii="Times New Roman"/>
                <w:b w:val="false"/>
                <w:i w:val="false"/>
                <w:color w:val="000000"/>
                <w:sz w:val="20"/>
              </w:rPr>
              <w:t>
   3.1.1. Комиссия по вопросам этики защищает права, безопасность и благополучие всех субъектов исследования. Исследованиям с участием уязвимых субъектов уделяется особое внимание.</w:t>
            </w:r>
          </w:p>
          <w:p>
            <w:pPr>
              <w:spacing w:after="20"/>
              <w:ind w:left="20"/>
              <w:jc w:val="both"/>
            </w:pPr>
            <w:r>
              <w:rPr>
                <w:rFonts w:ascii="Times New Roman"/>
                <w:b w:val="false"/>
                <w:i w:val="false"/>
                <w:color w:val="000000"/>
                <w:sz w:val="20"/>
              </w:rPr>
              <w:t>
   3.1.2. Комиссия по вопросам этики получает на рассмотрение следующие документы:</w:t>
            </w:r>
          </w:p>
          <w:p>
            <w:pPr>
              <w:spacing w:after="20"/>
              <w:ind w:left="20"/>
              <w:jc w:val="both"/>
            </w:pPr>
            <w:r>
              <w:rPr>
                <w:rFonts w:ascii="Times New Roman"/>
                <w:b w:val="false"/>
                <w:i w:val="false"/>
                <w:color w:val="000000"/>
                <w:sz w:val="20"/>
              </w:rPr>
              <w:t>
   протокол исследования (поправки) к протоколу;</w:t>
            </w:r>
          </w:p>
          <w:p>
            <w:pPr>
              <w:spacing w:after="20"/>
              <w:ind w:left="20"/>
              <w:jc w:val="both"/>
            </w:pPr>
            <w:r>
              <w:rPr>
                <w:rFonts w:ascii="Times New Roman"/>
                <w:b w:val="false"/>
                <w:i w:val="false"/>
                <w:color w:val="000000"/>
                <w:sz w:val="20"/>
              </w:rPr>
              <w:t>
   письменную форму информированного согласия и ее последующие редакции, предлагаемые исследователем для использования в исследовании;</w:t>
            </w:r>
          </w:p>
          <w:p>
            <w:pPr>
              <w:spacing w:after="20"/>
              <w:ind w:left="20"/>
              <w:jc w:val="both"/>
            </w:pPr>
            <w:r>
              <w:rPr>
                <w:rFonts w:ascii="Times New Roman"/>
                <w:b w:val="false"/>
                <w:i w:val="false"/>
                <w:color w:val="000000"/>
                <w:sz w:val="20"/>
              </w:rPr>
              <w:t>
   описание действий, направленных на привлечение субъектов к участию в исследовании, в том числе через рекламные объявления;</w:t>
            </w:r>
          </w:p>
          <w:p>
            <w:pPr>
              <w:spacing w:after="20"/>
              <w:ind w:left="20"/>
              <w:jc w:val="both"/>
            </w:pPr>
            <w:r>
              <w:rPr>
                <w:rFonts w:ascii="Times New Roman"/>
                <w:b w:val="false"/>
                <w:i w:val="false"/>
                <w:color w:val="000000"/>
                <w:sz w:val="20"/>
              </w:rPr>
              <w:t>
   письменные материалы, которые будут предоставлены субъектам;</w:t>
            </w:r>
          </w:p>
          <w:p>
            <w:pPr>
              <w:spacing w:after="20"/>
              <w:ind w:left="20"/>
              <w:jc w:val="both"/>
            </w:pPr>
            <w:r>
              <w:rPr>
                <w:rFonts w:ascii="Times New Roman"/>
                <w:b w:val="false"/>
                <w:i w:val="false"/>
                <w:color w:val="000000"/>
                <w:sz w:val="20"/>
              </w:rPr>
              <w:t>
   брошюру исследователя;</w:t>
            </w:r>
          </w:p>
          <w:p>
            <w:pPr>
              <w:spacing w:after="20"/>
              <w:ind w:left="20"/>
              <w:jc w:val="both"/>
            </w:pPr>
            <w:r>
              <w:rPr>
                <w:rFonts w:ascii="Times New Roman"/>
                <w:b w:val="false"/>
                <w:i w:val="false"/>
                <w:color w:val="000000"/>
                <w:sz w:val="20"/>
              </w:rPr>
              <w:t>
   известную информацию, касающуюся безопасности;</w:t>
            </w:r>
          </w:p>
          <w:p>
            <w:pPr>
              <w:spacing w:after="20"/>
              <w:ind w:left="20"/>
              <w:jc w:val="both"/>
            </w:pPr>
            <w:r>
              <w:rPr>
                <w:rFonts w:ascii="Times New Roman"/>
                <w:b w:val="false"/>
                <w:i w:val="false"/>
                <w:color w:val="000000"/>
                <w:sz w:val="20"/>
              </w:rPr>
              <w:t>
   информацию о выплатах и компенсациях субъектам исследования;</w:t>
            </w:r>
          </w:p>
          <w:p>
            <w:pPr>
              <w:spacing w:after="20"/>
              <w:ind w:left="20"/>
              <w:jc w:val="both"/>
            </w:pPr>
            <w:r>
              <w:rPr>
                <w:rFonts w:ascii="Times New Roman"/>
                <w:b w:val="false"/>
                <w:i w:val="false"/>
                <w:color w:val="000000"/>
                <w:sz w:val="20"/>
              </w:rPr>
              <w:t>
   текущую редакцию резюме исследователя и (или) другие материалы, подтверждающие его квалификацию;</w:t>
            </w:r>
          </w:p>
          <w:p>
            <w:pPr>
              <w:spacing w:after="20"/>
              <w:ind w:left="20"/>
              <w:jc w:val="both"/>
            </w:pPr>
            <w:r>
              <w:rPr>
                <w:rFonts w:ascii="Times New Roman"/>
                <w:b w:val="false"/>
                <w:i w:val="false"/>
                <w:color w:val="000000"/>
                <w:sz w:val="20"/>
              </w:rPr>
              <w:t>
   дополнительные документы для проведения этической и нравственно-правовой оценки материалов.</w:t>
            </w:r>
          </w:p>
          <w:p>
            <w:pPr>
              <w:spacing w:after="20"/>
              <w:ind w:left="20"/>
              <w:jc w:val="both"/>
            </w:pPr>
            <w:r>
              <w:rPr>
                <w:rFonts w:ascii="Times New Roman"/>
                <w:b w:val="false"/>
                <w:i w:val="false"/>
                <w:color w:val="000000"/>
                <w:sz w:val="20"/>
              </w:rPr>
              <w:t>
   Комиссия по вопросам этики рассматривает вопрос о проведении предлагаемого клинического исследования в соответствующие сроки и дает заключение в письменном виде, четко идентифицируя исследование, рассмотренные документы и даты при вынесении следующих возможных решений:</w:t>
            </w:r>
          </w:p>
          <w:p>
            <w:pPr>
              <w:spacing w:after="20"/>
              <w:ind w:left="20"/>
              <w:jc w:val="both"/>
            </w:pPr>
            <w:r>
              <w:rPr>
                <w:rFonts w:ascii="Times New Roman"/>
                <w:b w:val="false"/>
                <w:i w:val="false"/>
                <w:color w:val="000000"/>
                <w:sz w:val="20"/>
              </w:rPr>
              <w:t>
   одобрения или выдачи заключения на проведение исследования;</w:t>
            </w:r>
          </w:p>
          <w:p>
            <w:pPr>
              <w:spacing w:after="20"/>
              <w:ind w:left="20"/>
              <w:jc w:val="both"/>
            </w:pPr>
            <w:r>
              <w:rPr>
                <w:rFonts w:ascii="Times New Roman"/>
                <w:b w:val="false"/>
                <w:i w:val="false"/>
                <w:color w:val="000000"/>
                <w:sz w:val="20"/>
              </w:rPr>
              <w:t>
   требования о внесении изменений, в представленную документацию, до получения одобрения или выдачи заключения на проведение исследования;</w:t>
            </w:r>
          </w:p>
          <w:p>
            <w:pPr>
              <w:spacing w:after="20"/>
              <w:ind w:left="20"/>
              <w:jc w:val="both"/>
            </w:pPr>
            <w:r>
              <w:rPr>
                <w:rFonts w:ascii="Times New Roman"/>
                <w:b w:val="false"/>
                <w:i w:val="false"/>
                <w:color w:val="000000"/>
                <w:sz w:val="20"/>
              </w:rPr>
              <w:t>
   отказа в одобрении или выдаче заключения на проведение исследования;</w:t>
            </w:r>
          </w:p>
          <w:p>
            <w:pPr>
              <w:spacing w:after="20"/>
              <w:ind w:left="20"/>
              <w:jc w:val="both"/>
            </w:pPr>
            <w:r>
              <w:rPr>
                <w:rFonts w:ascii="Times New Roman"/>
                <w:b w:val="false"/>
                <w:i w:val="false"/>
                <w:color w:val="000000"/>
                <w:sz w:val="20"/>
              </w:rPr>
              <w:t>
   отмены (приостановки) сделанного ранее одобрения или выданного заключения на проведение исследования.</w:t>
            </w:r>
          </w:p>
          <w:p>
            <w:pPr>
              <w:spacing w:after="20"/>
              <w:ind w:left="20"/>
              <w:jc w:val="both"/>
            </w:pPr>
            <w:r>
              <w:rPr>
                <w:rFonts w:ascii="Times New Roman"/>
                <w:b w:val="false"/>
                <w:i w:val="false"/>
                <w:color w:val="000000"/>
                <w:sz w:val="20"/>
              </w:rPr>
              <w:t>
   3.1.3. Комиссия по вопросам этики оценивает соответствие квалификации исследователя предлагаемому исследованию на основании текущей редакции резюме исследователя и (или) другой соответствующей документации, запрошенной Комиссией по вопросам этики.</w:t>
            </w:r>
          </w:p>
          <w:p>
            <w:pPr>
              <w:spacing w:after="20"/>
              <w:ind w:left="20"/>
              <w:jc w:val="both"/>
            </w:pPr>
            <w:r>
              <w:rPr>
                <w:rFonts w:ascii="Times New Roman"/>
                <w:b w:val="false"/>
                <w:i w:val="false"/>
                <w:color w:val="000000"/>
                <w:sz w:val="20"/>
              </w:rPr>
              <w:t>
   3.1.4. Комиссия по вопросам этики периодически рассматривает документацию каждого текущего исследования с частотой, зависящей от степени риска, которому подвергаются субъекты исследования, но не реже одного раза в год.</w:t>
            </w:r>
          </w:p>
          <w:p>
            <w:pPr>
              <w:spacing w:after="20"/>
              <w:ind w:left="20"/>
              <w:jc w:val="both"/>
            </w:pPr>
            <w:r>
              <w:rPr>
                <w:rFonts w:ascii="Times New Roman"/>
                <w:b w:val="false"/>
                <w:i w:val="false"/>
                <w:color w:val="000000"/>
                <w:sz w:val="20"/>
              </w:rPr>
              <w:t>
   3.1.5. Комиссия по вопросам этики при определенных обстоятельствах запрашивает дополнительную информацию для ее предоставления субъектам исследования для защиты их прав и здоровья, а также для гарантии безопасности субъектов.</w:t>
            </w:r>
          </w:p>
          <w:p>
            <w:pPr>
              <w:spacing w:after="20"/>
              <w:ind w:left="20"/>
              <w:jc w:val="both"/>
            </w:pPr>
            <w:r>
              <w:rPr>
                <w:rFonts w:ascii="Times New Roman"/>
                <w:b w:val="false"/>
                <w:i w:val="false"/>
                <w:color w:val="000000"/>
                <w:sz w:val="20"/>
              </w:rPr>
              <w:t>
   3.1.6. В случае, когда согласие на участие субъекта в исследовании, не связанным с лечением, предоставлено его законным представителем, Комиссия по вопросам этики оценивает предоставленный протокол и (или) другую документацию на предмет полноты отражения клинических вопросов и соблюдения соответствующих этических и действующих нормативных требований к подобным клиническим исследованиям.</w:t>
            </w:r>
          </w:p>
          <w:p>
            <w:pPr>
              <w:spacing w:after="20"/>
              <w:ind w:left="20"/>
              <w:jc w:val="both"/>
            </w:pPr>
            <w:r>
              <w:rPr>
                <w:rFonts w:ascii="Times New Roman"/>
                <w:b w:val="false"/>
                <w:i w:val="false"/>
                <w:color w:val="000000"/>
                <w:sz w:val="20"/>
              </w:rPr>
              <w:t>
   3.1.7. В случае, если протокол указывает на невозможность получения согласия на участие в исследовании у субъекта исследования или законного представителя субъекта до момента включения субъекта в исследование, Комиссия по вопросам этики убеждается в том, что предоставленный протокол и (или) другая документация полностью отражает клинические вопросы и удовлетворяет - этическим и действующим нормативным требованиям к подобным клиническим исследованиям.</w:t>
            </w:r>
          </w:p>
          <w:p>
            <w:pPr>
              <w:spacing w:after="20"/>
              <w:ind w:left="20"/>
              <w:jc w:val="both"/>
            </w:pPr>
            <w:r>
              <w:rPr>
                <w:rFonts w:ascii="Times New Roman"/>
                <w:b w:val="false"/>
                <w:i w:val="false"/>
                <w:color w:val="000000"/>
                <w:sz w:val="20"/>
              </w:rPr>
              <w:t>
   3.1.8. Комиссия по вопросам этики рассматривает размер и порядок выплат субъекту исследования, чтобы убедиться в отсутствии необоснованной заинтересованности или принуждения субъектов исследования. Размер выплат субъектам пропорционален их участию в испытании, и не зависит исключительно от того, завершил субъект исследование полностью или нет.</w:t>
            </w:r>
          </w:p>
          <w:p>
            <w:pPr>
              <w:spacing w:after="20"/>
              <w:ind w:left="20"/>
              <w:jc w:val="both"/>
            </w:pPr>
            <w:r>
              <w:rPr>
                <w:rFonts w:ascii="Times New Roman"/>
                <w:b w:val="false"/>
                <w:i w:val="false"/>
                <w:color w:val="000000"/>
                <w:sz w:val="20"/>
              </w:rPr>
              <w:t>
   3.1.9. Комиссия по вопросам этики убеждается в том, что информация, касающаяся выплат субъектам исследования, включая способы, размер и порядок проведения выплат, отражена в письменной форме информированного согласия и в любых других предоставляемых субъектам материалах. Указывается, каким образом будет определен размер выплат.</w:t>
            </w:r>
          </w:p>
          <w:p>
            <w:pPr>
              <w:spacing w:after="20"/>
              <w:ind w:left="20"/>
              <w:jc w:val="both"/>
            </w:pPr>
            <w:r>
              <w:rPr>
                <w:rFonts w:ascii="Times New Roman"/>
                <w:b w:val="false"/>
                <w:i w:val="false"/>
                <w:color w:val="000000"/>
                <w:sz w:val="20"/>
              </w:rPr>
              <w:t>
   3.2. Состав, функции и порядок работы</w:t>
            </w:r>
          </w:p>
          <w:p>
            <w:pPr>
              <w:spacing w:after="20"/>
              <w:ind w:left="20"/>
              <w:jc w:val="both"/>
            </w:pPr>
            <w:r>
              <w:rPr>
                <w:rFonts w:ascii="Times New Roman"/>
                <w:b w:val="false"/>
                <w:i w:val="false"/>
                <w:color w:val="000000"/>
                <w:sz w:val="20"/>
              </w:rPr>
              <w:t>
   3.2.1. В состав Комиссии по вопросам этики входит достаточное число лиц, обладающих в совокупности квалификацией и опытом для рассмотрения и экспертной оценки научных, медицинских и этических аспектов планируемого исследования. Рекомендуется включение в состав Комиссии по вопросам этики:</w:t>
            </w:r>
          </w:p>
          <w:p>
            <w:pPr>
              <w:spacing w:after="20"/>
              <w:ind w:left="20"/>
              <w:jc w:val="both"/>
            </w:pPr>
            <w:r>
              <w:rPr>
                <w:rFonts w:ascii="Times New Roman"/>
                <w:b w:val="false"/>
                <w:i w:val="false"/>
                <w:color w:val="000000"/>
                <w:sz w:val="20"/>
              </w:rPr>
              <w:t>
   1) не менее пяти человек;</w:t>
            </w:r>
          </w:p>
          <w:p>
            <w:pPr>
              <w:spacing w:after="20"/>
              <w:ind w:left="20"/>
              <w:jc w:val="both"/>
            </w:pPr>
            <w:r>
              <w:rPr>
                <w:rFonts w:ascii="Times New Roman"/>
                <w:b w:val="false"/>
                <w:i w:val="false"/>
                <w:color w:val="000000"/>
                <w:sz w:val="20"/>
              </w:rPr>
              <w:t>
   2) не менее одного человека, не специализирующегося в области научных исследований (деятельности);</w:t>
            </w:r>
          </w:p>
          <w:p>
            <w:pPr>
              <w:spacing w:after="20"/>
              <w:ind w:left="20"/>
              <w:jc w:val="both"/>
            </w:pPr>
            <w:r>
              <w:rPr>
                <w:rFonts w:ascii="Times New Roman"/>
                <w:b w:val="false"/>
                <w:i w:val="false"/>
                <w:color w:val="000000"/>
                <w:sz w:val="20"/>
              </w:rPr>
              <w:t>
   3) не менее одного человека, не являющегося сотрудником медицинской организации или клинической базы, в котором проводится исследование.</w:t>
            </w:r>
          </w:p>
          <w:p>
            <w:pPr>
              <w:spacing w:after="20"/>
              <w:ind w:left="20"/>
              <w:jc w:val="both"/>
            </w:pPr>
            <w:r>
              <w:rPr>
                <w:rFonts w:ascii="Times New Roman"/>
                <w:b w:val="false"/>
                <w:i w:val="false"/>
                <w:color w:val="000000"/>
                <w:sz w:val="20"/>
              </w:rPr>
              <w:t>
   Только члены Комиссии по вопросам этики, не являющиеся сотрудниками исследователя или спонсора исследования, участвуют в голосовании (обсуждении) вопросов, связанных с проведением клинического исследования. Комиссия по вопросам этики составляет список своих членов с указанием их квалификации.</w:t>
            </w:r>
          </w:p>
          <w:p>
            <w:pPr>
              <w:spacing w:after="20"/>
              <w:ind w:left="20"/>
              <w:jc w:val="both"/>
            </w:pPr>
            <w:r>
              <w:rPr>
                <w:rFonts w:ascii="Times New Roman"/>
                <w:b w:val="false"/>
                <w:i w:val="false"/>
                <w:color w:val="000000"/>
                <w:sz w:val="20"/>
              </w:rPr>
              <w:t xml:space="preserve">
   3.2.2. Комиссия по вопросам этики осуществляет деятельность в соответствии с операционными процедурами, документирует свою работу и ведет протоколы заседаний. </w:t>
            </w:r>
          </w:p>
          <w:p>
            <w:pPr>
              <w:spacing w:after="20"/>
              <w:ind w:left="20"/>
              <w:jc w:val="both"/>
            </w:pPr>
            <w:r>
              <w:rPr>
                <w:rFonts w:ascii="Times New Roman"/>
                <w:b w:val="false"/>
                <w:i w:val="false"/>
                <w:color w:val="000000"/>
                <w:sz w:val="20"/>
              </w:rPr>
              <w:t>
   3.2.3. Комиссия по вопросам этики принимает решения на официальных заседаниях при наличии кворума, определенного рабочими процедурами.</w:t>
            </w:r>
          </w:p>
          <w:p>
            <w:pPr>
              <w:spacing w:after="20"/>
              <w:ind w:left="20"/>
              <w:jc w:val="both"/>
            </w:pPr>
            <w:r>
              <w:rPr>
                <w:rFonts w:ascii="Times New Roman"/>
                <w:b w:val="false"/>
                <w:i w:val="false"/>
                <w:color w:val="000000"/>
                <w:sz w:val="20"/>
              </w:rPr>
              <w:t>
   3.2.4. Только члены Комиссии по вопросам этики, принимающие непосредственное участие в рассмотрении и обсуждении документации по исследованию, участвуют в голосовании и (или) высказывают свое мнение и/или рекомендацию.</w:t>
            </w:r>
          </w:p>
          <w:p>
            <w:pPr>
              <w:spacing w:after="20"/>
              <w:ind w:left="20"/>
              <w:jc w:val="both"/>
            </w:pPr>
            <w:r>
              <w:rPr>
                <w:rFonts w:ascii="Times New Roman"/>
                <w:b w:val="false"/>
                <w:i w:val="false"/>
                <w:color w:val="000000"/>
                <w:sz w:val="20"/>
              </w:rPr>
              <w:t>
   3.2.5. Исследователь предоставляет информацию по любым аспектам исследования, но не участвует в прениях или в голосовании/выработке мнения Комиссии по вопросам этики.</w:t>
            </w:r>
          </w:p>
          <w:p>
            <w:pPr>
              <w:spacing w:after="20"/>
              <w:ind w:left="20"/>
              <w:jc w:val="both"/>
            </w:pPr>
            <w:r>
              <w:rPr>
                <w:rFonts w:ascii="Times New Roman"/>
                <w:b w:val="false"/>
                <w:i w:val="false"/>
                <w:color w:val="000000"/>
                <w:sz w:val="20"/>
              </w:rPr>
              <w:t>
   3.2.6. Комиссия по вопросам этики имеет право привлекать независимых экспертов по специальным вопросам.</w:t>
            </w:r>
          </w:p>
          <w:p>
            <w:pPr>
              <w:spacing w:after="20"/>
              <w:ind w:left="20"/>
              <w:jc w:val="both"/>
            </w:pPr>
            <w:r>
              <w:rPr>
                <w:rFonts w:ascii="Times New Roman"/>
                <w:b w:val="false"/>
                <w:i w:val="false"/>
                <w:color w:val="000000"/>
                <w:sz w:val="20"/>
              </w:rPr>
              <w:t>
   3.3. Процедуры</w:t>
            </w:r>
          </w:p>
          <w:p>
            <w:pPr>
              <w:spacing w:after="20"/>
              <w:ind w:left="20"/>
              <w:jc w:val="both"/>
            </w:pPr>
            <w:r>
              <w:rPr>
                <w:rFonts w:ascii="Times New Roman"/>
                <w:b w:val="false"/>
                <w:i w:val="false"/>
                <w:color w:val="000000"/>
                <w:sz w:val="20"/>
              </w:rPr>
              <w:t>
   Комиссия по вопросам этики разрабатывает, документально оформляет и соблюдает стандартные рабочие процедуры, регламентирующие:</w:t>
            </w:r>
          </w:p>
          <w:p>
            <w:pPr>
              <w:spacing w:after="20"/>
              <w:ind w:left="20"/>
              <w:jc w:val="both"/>
            </w:pPr>
            <w:r>
              <w:rPr>
                <w:rFonts w:ascii="Times New Roman"/>
                <w:b w:val="false"/>
                <w:i w:val="false"/>
                <w:color w:val="000000"/>
                <w:sz w:val="20"/>
              </w:rPr>
              <w:t>
   3.3.1. состав (фамилии и квалификацию членов) и учредивший его орган;</w:t>
            </w:r>
          </w:p>
          <w:p>
            <w:pPr>
              <w:spacing w:after="20"/>
              <w:ind w:left="20"/>
              <w:jc w:val="both"/>
            </w:pPr>
            <w:r>
              <w:rPr>
                <w:rFonts w:ascii="Times New Roman"/>
                <w:b w:val="false"/>
                <w:i w:val="false"/>
                <w:color w:val="000000"/>
                <w:sz w:val="20"/>
              </w:rPr>
              <w:t>
   3.3.2.порядок назначения заседаний, оповещения его членов о предстоящих заседаниях, а также организация заседаний;</w:t>
            </w:r>
          </w:p>
          <w:p>
            <w:pPr>
              <w:spacing w:after="20"/>
              <w:ind w:left="20"/>
              <w:jc w:val="both"/>
            </w:pPr>
            <w:r>
              <w:rPr>
                <w:rFonts w:ascii="Times New Roman"/>
                <w:b w:val="false"/>
                <w:i w:val="false"/>
                <w:color w:val="000000"/>
                <w:sz w:val="20"/>
              </w:rPr>
              <w:t>
   3.3.3. порядок первичного и последующего рассмотрения документации по исследованию;</w:t>
            </w:r>
          </w:p>
          <w:p>
            <w:pPr>
              <w:spacing w:after="20"/>
              <w:ind w:left="20"/>
              <w:jc w:val="both"/>
            </w:pPr>
            <w:r>
              <w:rPr>
                <w:rFonts w:ascii="Times New Roman"/>
                <w:b w:val="false"/>
                <w:i w:val="false"/>
                <w:color w:val="000000"/>
                <w:sz w:val="20"/>
              </w:rPr>
              <w:t>
   3.3.4. периодичность последующего рассмотрения документации по исследованию;</w:t>
            </w:r>
          </w:p>
          <w:p>
            <w:pPr>
              <w:spacing w:after="20"/>
              <w:ind w:left="20"/>
              <w:jc w:val="both"/>
            </w:pPr>
            <w:r>
              <w:rPr>
                <w:rFonts w:ascii="Times New Roman"/>
                <w:b w:val="false"/>
                <w:i w:val="false"/>
                <w:color w:val="000000"/>
                <w:sz w:val="20"/>
              </w:rPr>
              <w:t>
   3.3.5. порядок ускоренного рассмотрения документации, в соответствии с нормативными требованиями, для одобрения/выдачи заключения при незначительном изменении в текущих исследованиях, уже получивших одобрение (заключение) Комиссии по вопросам этики;</w:t>
            </w:r>
          </w:p>
          <w:p>
            <w:pPr>
              <w:spacing w:after="20"/>
              <w:ind w:left="20"/>
              <w:jc w:val="both"/>
            </w:pPr>
            <w:r>
              <w:rPr>
                <w:rFonts w:ascii="Times New Roman"/>
                <w:b w:val="false"/>
                <w:i w:val="false"/>
                <w:color w:val="000000"/>
                <w:sz w:val="20"/>
              </w:rPr>
              <w:t>
   3.3.6. недопустимость включения субъектов в исследование до того, как Комиссия по вопросам этики выдаст письменное одобрение (заключение) на проведение исследования;</w:t>
            </w:r>
          </w:p>
          <w:p>
            <w:pPr>
              <w:spacing w:after="20"/>
              <w:ind w:left="20"/>
              <w:jc w:val="both"/>
            </w:pPr>
            <w:r>
              <w:rPr>
                <w:rFonts w:ascii="Times New Roman"/>
                <w:b w:val="false"/>
                <w:i w:val="false"/>
                <w:color w:val="000000"/>
                <w:sz w:val="20"/>
              </w:rPr>
              <w:t>
   3.3.7. недопустимость отклонений от протокола или его изменения без предварительного письменного одобрения (заключения) поправок Комиссией по вопросам этики, за исключением тех случаев, когда изменения направлены на устранение непосредственной угрозы субъектам исследования или когда изменения касаются только административных и материально-технических аспектов исследования.</w:t>
            </w:r>
          </w:p>
          <w:p>
            <w:pPr>
              <w:spacing w:after="20"/>
              <w:ind w:left="20"/>
              <w:jc w:val="both"/>
            </w:pPr>
            <w:r>
              <w:rPr>
                <w:rFonts w:ascii="Times New Roman"/>
                <w:b w:val="false"/>
                <w:i w:val="false"/>
                <w:color w:val="000000"/>
                <w:sz w:val="20"/>
              </w:rPr>
              <w:t>
   3.3.8. Обязанность исследователя незамедлительно сообщать в Комиссию по вопросам этики:</w:t>
            </w:r>
          </w:p>
          <w:p>
            <w:pPr>
              <w:spacing w:after="20"/>
              <w:ind w:left="20"/>
              <w:jc w:val="both"/>
            </w:pPr>
            <w:r>
              <w:rPr>
                <w:rFonts w:ascii="Times New Roman"/>
                <w:b w:val="false"/>
                <w:i w:val="false"/>
                <w:color w:val="000000"/>
                <w:sz w:val="20"/>
              </w:rPr>
              <w:t>
   1) об отклонениях от протокола или изменениях протокола, произведенных для устранения непосредственной угрозы субъектам исследования;</w:t>
            </w:r>
          </w:p>
          <w:p>
            <w:pPr>
              <w:spacing w:after="20"/>
              <w:ind w:left="20"/>
              <w:jc w:val="both"/>
            </w:pPr>
            <w:r>
              <w:rPr>
                <w:rFonts w:ascii="Times New Roman"/>
                <w:b w:val="false"/>
                <w:i w:val="false"/>
                <w:color w:val="000000"/>
                <w:sz w:val="20"/>
              </w:rPr>
              <w:t>
   2) об изменениях, увеличивающих риск для субъектов и (или) существенно влияющих на проведение исследования;</w:t>
            </w:r>
          </w:p>
          <w:p>
            <w:pPr>
              <w:spacing w:after="20"/>
              <w:ind w:left="20"/>
              <w:jc w:val="both"/>
            </w:pPr>
            <w:r>
              <w:rPr>
                <w:rFonts w:ascii="Times New Roman"/>
                <w:b w:val="false"/>
                <w:i w:val="false"/>
                <w:color w:val="000000"/>
                <w:sz w:val="20"/>
              </w:rPr>
              <w:t>
   3) обо всех непредвиденных серьезных нежелательных лекарственных реакциях;</w:t>
            </w:r>
          </w:p>
          <w:p>
            <w:pPr>
              <w:spacing w:after="20"/>
              <w:ind w:left="20"/>
              <w:jc w:val="both"/>
            </w:pPr>
            <w:r>
              <w:rPr>
                <w:rFonts w:ascii="Times New Roman"/>
                <w:b w:val="false"/>
                <w:i w:val="false"/>
                <w:color w:val="000000"/>
                <w:sz w:val="20"/>
              </w:rPr>
              <w:t>
   4) о новых данных, свидетельствующих о возрастании риска для субъектов или неблагоприятно влияющих на ход исследования.</w:t>
            </w:r>
          </w:p>
          <w:p>
            <w:pPr>
              <w:spacing w:after="20"/>
              <w:ind w:left="20"/>
              <w:jc w:val="both"/>
            </w:pPr>
            <w:r>
              <w:rPr>
                <w:rFonts w:ascii="Times New Roman"/>
                <w:b w:val="false"/>
                <w:i w:val="false"/>
                <w:color w:val="000000"/>
                <w:sz w:val="20"/>
              </w:rPr>
              <w:t>
   3.3.9. Обязанность Комиссии по вопросам этики незамедлительно в письменном виде сообщать исследователю (медицинской организации):</w:t>
            </w:r>
          </w:p>
          <w:p>
            <w:pPr>
              <w:spacing w:after="20"/>
              <w:ind w:left="20"/>
              <w:jc w:val="both"/>
            </w:pPr>
            <w:r>
              <w:rPr>
                <w:rFonts w:ascii="Times New Roman"/>
                <w:b w:val="false"/>
                <w:i w:val="false"/>
                <w:color w:val="000000"/>
                <w:sz w:val="20"/>
              </w:rPr>
              <w:t>
   1) о своих решениях (заключениях), касающихся исследования;</w:t>
            </w:r>
          </w:p>
          <w:p>
            <w:pPr>
              <w:spacing w:after="20"/>
              <w:ind w:left="20"/>
              <w:jc w:val="both"/>
            </w:pPr>
            <w:r>
              <w:rPr>
                <w:rFonts w:ascii="Times New Roman"/>
                <w:b w:val="false"/>
                <w:i w:val="false"/>
                <w:color w:val="000000"/>
                <w:sz w:val="20"/>
              </w:rPr>
              <w:t>
   2) о причинах принятия решений (заключений);</w:t>
            </w:r>
          </w:p>
          <w:p>
            <w:pPr>
              <w:spacing w:after="20"/>
              <w:ind w:left="20"/>
              <w:jc w:val="both"/>
            </w:pPr>
            <w:r>
              <w:rPr>
                <w:rFonts w:ascii="Times New Roman"/>
                <w:b w:val="false"/>
                <w:i w:val="false"/>
                <w:color w:val="000000"/>
                <w:sz w:val="20"/>
              </w:rPr>
              <w:t>
   3) о порядке (процедурах) обжалования решений (заключений).</w:t>
            </w:r>
          </w:p>
          <w:p>
            <w:pPr>
              <w:spacing w:after="20"/>
              <w:ind w:left="20"/>
              <w:jc w:val="both"/>
            </w:pPr>
            <w:r>
              <w:rPr>
                <w:rFonts w:ascii="Times New Roman"/>
                <w:b w:val="false"/>
                <w:i w:val="false"/>
                <w:color w:val="000000"/>
                <w:sz w:val="20"/>
              </w:rPr>
              <w:t xml:space="preserve">
   3.4. Комиссия по вопросам этики хранит относящуюся к исследованию документацию не менее 3 лет после завершения исследования и предоставляет ее по требованию уполномоченного органа.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 Исследователь</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Квалификация и обязательства исследователя</w:t>
            </w:r>
          </w:p>
          <w:p>
            <w:pPr>
              <w:spacing w:after="20"/>
              <w:ind w:left="20"/>
              <w:jc w:val="both"/>
            </w:pPr>
            <w:r>
              <w:rPr>
                <w:rFonts w:ascii="Times New Roman"/>
                <w:b w:val="false"/>
                <w:i w:val="false"/>
                <w:color w:val="000000"/>
                <w:sz w:val="20"/>
              </w:rPr>
              <w:t>
   4.1.1. исследователь имеет соответствующую квалификацию, образование, профессиональную подготовку и опыт, позволяющие ему принять на себя ответственность за надлежащее проведение клинического исследования. Квалификация исследователя соответствует действующим нормативным требованиям и подтверждается текущим резюме и(или) другими документами, которые запрашиваются спонсором, Комиссией по вопросам этики и (или) экспертной организаций.</w:t>
            </w:r>
          </w:p>
          <w:p>
            <w:pPr>
              <w:spacing w:after="20"/>
              <w:ind w:left="20"/>
              <w:jc w:val="both"/>
            </w:pPr>
            <w:r>
              <w:rPr>
                <w:rFonts w:ascii="Times New Roman"/>
                <w:b w:val="false"/>
                <w:i w:val="false"/>
                <w:color w:val="000000"/>
                <w:sz w:val="20"/>
              </w:rPr>
              <w:t>
   4.1.2. Исследователь внимательно знакомится с протоколом, текущей редакцией брошюры исследователя, инструкцией по применению препарата и другой информацией, предоставленной спонсором.</w:t>
            </w:r>
          </w:p>
          <w:p>
            <w:pPr>
              <w:spacing w:after="20"/>
              <w:ind w:left="20"/>
              <w:jc w:val="both"/>
            </w:pPr>
            <w:r>
              <w:rPr>
                <w:rFonts w:ascii="Times New Roman"/>
                <w:b w:val="false"/>
                <w:i w:val="false"/>
                <w:color w:val="000000"/>
                <w:sz w:val="20"/>
              </w:rPr>
              <w:t>
   4.1.3. Исследователь знает и соблюдает настоящий Стандарт.</w:t>
            </w:r>
          </w:p>
          <w:p>
            <w:pPr>
              <w:spacing w:after="20"/>
              <w:ind w:left="20"/>
              <w:jc w:val="both"/>
            </w:pPr>
            <w:r>
              <w:rPr>
                <w:rFonts w:ascii="Times New Roman"/>
                <w:b w:val="false"/>
                <w:i w:val="false"/>
                <w:color w:val="000000"/>
                <w:sz w:val="20"/>
              </w:rPr>
              <w:t>
   4.1.4. Исследователь (медицинская организация) содействует проведению мониторинга и аудита спонсором, а также инспекциям уполномоченного органа.</w:t>
            </w:r>
          </w:p>
          <w:p>
            <w:pPr>
              <w:spacing w:after="20"/>
              <w:ind w:left="20"/>
              <w:jc w:val="both"/>
            </w:pPr>
            <w:r>
              <w:rPr>
                <w:rFonts w:ascii="Times New Roman"/>
                <w:b w:val="false"/>
                <w:i w:val="false"/>
                <w:color w:val="000000"/>
                <w:sz w:val="20"/>
              </w:rPr>
              <w:t>
   4.1.5.Исследователь ведет список обладающих квалификацией лиц, которые по его поручению осуществляют определенную деятельность в рамках исследования.</w:t>
            </w:r>
          </w:p>
          <w:p>
            <w:pPr>
              <w:spacing w:after="20"/>
              <w:ind w:left="20"/>
              <w:jc w:val="both"/>
            </w:pPr>
            <w:r>
              <w:rPr>
                <w:rFonts w:ascii="Times New Roman"/>
                <w:b w:val="false"/>
                <w:i w:val="false"/>
                <w:color w:val="000000"/>
                <w:sz w:val="20"/>
              </w:rPr>
              <w:t>
   4.2. Соответствующие ресурсы исследовательского центра</w:t>
            </w:r>
          </w:p>
          <w:p>
            <w:pPr>
              <w:spacing w:after="20"/>
              <w:ind w:left="20"/>
              <w:jc w:val="both"/>
            </w:pPr>
            <w:r>
              <w:rPr>
                <w:rFonts w:ascii="Times New Roman"/>
                <w:b w:val="false"/>
                <w:i w:val="false"/>
                <w:color w:val="000000"/>
                <w:sz w:val="20"/>
              </w:rPr>
              <w:t>
   4.2.1. Исследователь демонстрирует возможность набора в установленные сроки требуемого количества подходящих субъектов исследования, соответствующих критериям отбора.</w:t>
            </w:r>
          </w:p>
          <w:p>
            <w:pPr>
              <w:spacing w:after="20"/>
              <w:ind w:left="20"/>
              <w:jc w:val="both"/>
            </w:pPr>
            <w:r>
              <w:rPr>
                <w:rFonts w:ascii="Times New Roman"/>
                <w:b w:val="false"/>
                <w:i w:val="false"/>
                <w:color w:val="000000"/>
                <w:sz w:val="20"/>
              </w:rPr>
              <w:t>
   4.2.2. Исследователь имеет достаточное количество времени, чтобы надлежащим образом провести и завершить исследование в течение оговоренного периода.</w:t>
            </w:r>
          </w:p>
          <w:p>
            <w:pPr>
              <w:spacing w:after="20"/>
              <w:ind w:left="20"/>
              <w:jc w:val="both"/>
            </w:pPr>
            <w:r>
              <w:rPr>
                <w:rFonts w:ascii="Times New Roman"/>
                <w:b w:val="false"/>
                <w:i w:val="false"/>
                <w:color w:val="000000"/>
                <w:sz w:val="20"/>
              </w:rPr>
              <w:t>
   4.2.3. Исследователь располагает достаточным количеством квалифицированных сотрудников и материальных ресурсов (помещения, оборудование) в период исследования для того, чтобы провести это исследование надлежащим и безопасным образом.</w:t>
            </w:r>
          </w:p>
          <w:p>
            <w:pPr>
              <w:spacing w:after="20"/>
              <w:ind w:left="20"/>
              <w:jc w:val="both"/>
            </w:pPr>
            <w:r>
              <w:rPr>
                <w:rFonts w:ascii="Times New Roman"/>
                <w:b w:val="false"/>
                <w:i w:val="false"/>
                <w:color w:val="000000"/>
                <w:sz w:val="20"/>
              </w:rPr>
              <w:t>
   4.2.4. Исследователь отвечает за то, чтобы все занятые в клиническом исследовании сотрудники ознакомились с протоколом и информацией об исследуемом препарате, а также со своими функциями и обязанностями.</w:t>
            </w:r>
          </w:p>
          <w:p>
            <w:pPr>
              <w:spacing w:after="20"/>
              <w:ind w:left="20"/>
              <w:jc w:val="both"/>
            </w:pPr>
            <w:r>
              <w:rPr>
                <w:rFonts w:ascii="Times New Roman"/>
                <w:b w:val="false"/>
                <w:i w:val="false"/>
                <w:color w:val="000000"/>
                <w:sz w:val="20"/>
              </w:rPr>
              <w:t>
   4.3. Оказание медицинской помощи субъектам исследования</w:t>
            </w:r>
          </w:p>
          <w:p>
            <w:pPr>
              <w:spacing w:after="20"/>
              <w:ind w:left="20"/>
              <w:jc w:val="both"/>
            </w:pPr>
            <w:r>
              <w:rPr>
                <w:rFonts w:ascii="Times New Roman"/>
                <w:b w:val="false"/>
                <w:i w:val="false"/>
                <w:color w:val="000000"/>
                <w:sz w:val="20"/>
              </w:rPr>
              <w:t>
   4.3.1. Квалифицированный врач, являющийся исследователем или соисследователем, несет ответственность за все принимаемые в рамках исследования решения медицинского характера.</w:t>
            </w:r>
          </w:p>
          <w:p>
            <w:pPr>
              <w:spacing w:after="20"/>
              <w:ind w:left="20"/>
              <w:jc w:val="both"/>
            </w:pPr>
            <w:r>
              <w:rPr>
                <w:rFonts w:ascii="Times New Roman"/>
                <w:b w:val="false"/>
                <w:i w:val="false"/>
                <w:color w:val="000000"/>
                <w:sz w:val="20"/>
              </w:rPr>
              <w:t>
   4.3.2. Во время и по завершении участия субъекта в исследовании исследователь (медицинская организация) обеспечивает оказание субъекту необходимой медицинской помощи в случае любых связанных с исследованием нежелательных явлений, включая клинически значимые изменения лабораторных показателей. Исследователь (медицинская организация) информирует субъекта о ставших известными исследователю интеркуррентных заболеваниях, требующих медицинской помощи.</w:t>
            </w:r>
          </w:p>
          <w:p>
            <w:pPr>
              <w:spacing w:after="20"/>
              <w:ind w:left="20"/>
              <w:jc w:val="both"/>
            </w:pPr>
            <w:r>
              <w:rPr>
                <w:rFonts w:ascii="Times New Roman"/>
                <w:b w:val="false"/>
                <w:i w:val="false"/>
                <w:color w:val="000000"/>
                <w:sz w:val="20"/>
              </w:rPr>
              <w:t>
   4.3.3. Исследователь сообщает лечащему врачу, об участии субъекта в исследовании при условии, что субъект не возражает против информирования лечащего врача.</w:t>
            </w:r>
          </w:p>
          <w:p>
            <w:pPr>
              <w:spacing w:after="20"/>
              <w:ind w:left="20"/>
              <w:jc w:val="both"/>
            </w:pPr>
            <w:r>
              <w:rPr>
                <w:rFonts w:ascii="Times New Roman"/>
                <w:b w:val="false"/>
                <w:i w:val="false"/>
                <w:color w:val="000000"/>
                <w:sz w:val="20"/>
              </w:rPr>
              <w:t>
   4.3.4. Хотя субъект не сообщает о причинах, побудивших его досрочно прекратить участие в исследовании, исследователь пытается установить эти причины, проявляя при этом уважение к правам субъекта.</w:t>
            </w:r>
          </w:p>
          <w:p>
            <w:pPr>
              <w:spacing w:after="20"/>
              <w:ind w:left="20"/>
              <w:jc w:val="both"/>
            </w:pPr>
            <w:r>
              <w:rPr>
                <w:rFonts w:ascii="Times New Roman"/>
                <w:b w:val="false"/>
                <w:i w:val="false"/>
                <w:color w:val="000000"/>
                <w:sz w:val="20"/>
              </w:rPr>
              <w:t>
   4.4. Контакты с Комиссией по вопросам этики</w:t>
            </w:r>
          </w:p>
          <w:p>
            <w:pPr>
              <w:spacing w:after="20"/>
              <w:ind w:left="20"/>
              <w:jc w:val="both"/>
            </w:pPr>
            <w:r>
              <w:rPr>
                <w:rFonts w:ascii="Times New Roman"/>
                <w:b w:val="false"/>
                <w:i w:val="false"/>
                <w:color w:val="000000"/>
                <w:sz w:val="20"/>
              </w:rPr>
              <w:t>
   4.4.1. Перед началом исследования, исследователь (медицинская организация) получает письменное и датированное одобрение (заключение) Комиссии по вопросам этики протокола исследования, письменную форму информированного согласия и ее последующих редакций, описание мер, направленных на привлечение субъектов к участию в исследовании, и любые другие письменные материалы, которые предполагается предоставить субъектам.</w:t>
            </w:r>
          </w:p>
          <w:p>
            <w:pPr>
              <w:spacing w:after="20"/>
              <w:ind w:left="20"/>
              <w:jc w:val="both"/>
            </w:pPr>
            <w:r>
              <w:rPr>
                <w:rFonts w:ascii="Times New Roman"/>
                <w:b w:val="false"/>
                <w:i w:val="false"/>
                <w:color w:val="000000"/>
                <w:sz w:val="20"/>
              </w:rPr>
              <w:t>
   4.4.2. Вместе с другими документами исследователь (медицинская организация) предоставляет Комиссии по вопросам этики последнюю редакцию БИ. Если БИ дополняют в ходе исследования, исследователь (медицинская организация) предоставляет Комиссии по вопросам этики новую редакцию БИ.</w:t>
            </w:r>
          </w:p>
          <w:p>
            <w:pPr>
              <w:spacing w:after="20"/>
              <w:ind w:left="20"/>
              <w:jc w:val="both"/>
            </w:pPr>
            <w:r>
              <w:rPr>
                <w:rFonts w:ascii="Times New Roman"/>
                <w:b w:val="false"/>
                <w:i w:val="false"/>
                <w:color w:val="000000"/>
                <w:sz w:val="20"/>
              </w:rPr>
              <w:t>
   4.4.3. В течение исследования исследователь (медицинская организация) предоставляет Комиссии по вопросам этики все подлежащие рассмотрению документы.</w:t>
            </w:r>
          </w:p>
          <w:p>
            <w:pPr>
              <w:spacing w:after="20"/>
              <w:ind w:left="20"/>
              <w:jc w:val="both"/>
            </w:pPr>
            <w:r>
              <w:rPr>
                <w:rFonts w:ascii="Times New Roman"/>
                <w:b w:val="false"/>
                <w:i w:val="false"/>
                <w:color w:val="000000"/>
                <w:sz w:val="20"/>
              </w:rPr>
              <w:t>
   4.5. Соблюдение протокола исследования</w:t>
            </w:r>
          </w:p>
          <w:p>
            <w:pPr>
              <w:spacing w:after="20"/>
              <w:ind w:left="20"/>
              <w:jc w:val="both"/>
            </w:pPr>
            <w:r>
              <w:rPr>
                <w:rFonts w:ascii="Times New Roman"/>
                <w:b w:val="false"/>
                <w:i w:val="false"/>
                <w:color w:val="000000"/>
                <w:sz w:val="20"/>
              </w:rPr>
              <w:t>
   4.5.1. Исследователь (медицинская организация) проводит исследование в соответствии с протоколом, согласованным со спонсором и разрешенным (одобренным) Комиссией по вопросам этики. В подтверждение договоренности исследователь (медицинская организация) и спонсор подписывают протокол или отдельный договор.</w:t>
            </w:r>
          </w:p>
          <w:p>
            <w:pPr>
              <w:spacing w:after="20"/>
              <w:ind w:left="20"/>
              <w:jc w:val="both"/>
            </w:pPr>
            <w:r>
              <w:rPr>
                <w:rFonts w:ascii="Times New Roman"/>
                <w:b w:val="false"/>
                <w:i w:val="false"/>
                <w:color w:val="000000"/>
                <w:sz w:val="20"/>
              </w:rPr>
              <w:t>
   4.5.2. Исследователь не отклоняется от протокола или не вносит изменения без согласия спонсора, предварительного рассмотрения и документально оформленного одобрения (заключения) Комиссии по вопросам этики, относительно поправки к протоколу, кроме тех случаев, когда устраняется непосредственная угроза субъектам исследования или когда изменения касаются только административных или технических аспектов исследования.</w:t>
            </w:r>
          </w:p>
          <w:p>
            <w:pPr>
              <w:spacing w:after="20"/>
              <w:ind w:left="20"/>
              <w:jc w:val="both"/>
            </w:pPr>
            <w:r>
              <w:rPr>
                <w:rFonts w:ascii="Times New Roman"/>
                <w:b w:val="false"/>
                <w:i w:val="false"/>
                <w:color w:val="000000"/>
                <w:sz w:val="20"/>
              </w:rPr>
              <w:t>
   4.5.3. Исследователь или назначенное им лицо объясняет и документально оформляет любые отклонения от утвержденного протокола;</w:t>
            </w:r>
          </w:p>
          <w:p>
            <w:pPr>
              <w:spacing w:after="20"/>
              <w:ind w:left="20"/>
              <w:jc w:val="both"/>
            </w:pPr>
            <w:r>
              <w:rPr>
                <w:rFonts w:ascii="Times New Roman"/>
                <w:b w:val="false"/>
                <w:i w:val="false"/>
                <w:color w:val="000000"/>
                <w:sz w:val="20"/>
              </w:rPr>
              <w:t>
   4.5.4. Исследователь отклоняется от протокола или вносит в него изменения для устранения непосредственной угрозы субъектам исследования без предварительного одобрения (заключения) Комиссии по вопросам этики. В срочном порядке описание отклонений или изменений с указанием их причин и предлагаемые поправки к протоколу направляются в:</w:t>
            </w:r>
          </w:p>
          <w:p>
            <w:pPr>
              <w:spacing w:after="20"/>
              <w:ind w:left="20"/>
              <w:jc w:val="both"/>
            </w:pPr>
            <w:r>
              <w:rPr>
                <w:rFonts w:ascii="Times New Roman"/>
                <w:b w:val="false"/>
                <w:i w:val="false"/>
                <w:color w:val="000000"/>
                <w:sz w:val="20"/>
              </w:rPr>
              <w:t>
   1) Комиссию по вопросам этики для рассмотрения и одобрения (выдачи заключения);</w:t>
            </w:r>
          </w:p>
          <w:p>
            <w:pPr>
              <w:spacing w:after="20"/>
              <w:ind w:left="20"/>
              <w:jc w:val="both"/>
            </w:pPr>
            <w:r>
              <w:rPr>
                <w:rFonts w:ascii="Times New Roman"/>
                <w:b w:val="false"/>
                <w:i w:val="false"/>
                <w:color w:val="000000"/>
                <w:sz w:val="20"/>
              </w:rPr>
              <w:t>
   2) спонсору для согласования с ним;</w:t>
            </w:r>
          </w:p>
          <w:p>
            <w:pPr>
              <w:spacing w:after="20"/>
              <w:ind w:left="20"/>
              <w:jc w:val="both"/>
            </w:pPr>
            <w:r>
              <w:rPr>
                <w:rFonts w:ascii="Times New Roman"/>
                <w:b w:val="false"/>
                <w:i w:val="false"/>
                <w:color w:val="000000"/>
                <w:sz w:val="20"/>
              </w:rPr>
              <w:t>
   3) экспертной организации.</w:t>
            </w:r>
          </w:p>
          <w:p>
            <w:pPr>
              <w:spacing w:after="20"/>
              <w:ind w:left="20"/>
              <w:jc w:val="both"/>
            </w:pPr>
            <w:r>
              <w:rPr>
                <w:rFonts w:ascii="Times New Roman"/>
                <w:b w:val="false"/>
                <w:i w:val="false"/>
                <w:color w:val="000000"/>
                <w:sz w:val="20"/>
              </w:rPr>
              <w:t>
   4.6. Исследуемые препараты</w:t>
            </w:r>
          </w:p>
          <w:p>
            <w:pPr>
              <w:spacing w:after="20"/>
              <w:ind w:left="20"/>
              <w:jc w:val="both"/>
            </w:pPr>
            <w:r>
              <w:rPr>
                <w:rFonts w:ascii="Times New Roman"/>
                <w:b w:val="false"/>
                <w:i w:val="false"/>
                <w:color w:val="000000"/>
                <w:sz w:val="20"/>
              </w:rPr>
              <w:t>
   4.6.1. Исследователь или медицинская организация обеспечивает учет исследуемых препаратов на клинической базе.</w:t>
            </w:r>
          </w:p>
          <w:p>
            <w:pPr>
              <w:spacing w:after="20"/>
              <w:ind w:left="20"/>
              <w:jc w:val="both"/>
            </w:pPr>
            <w:r>
              <w:rPr>
                <w:rFonts w:ascii="Times New Roman"/>
                <w:b w:val="false"/>
                <w:i w:val="false"/>
                <w:color w:val="000000"/>
                <w:sz w:val="20"/>
              </w:rPr>
              <w:t>
   4.6.2. Исследователь или медицинская организация передает некоторые или все обязанности исследователя и медицинской организации по учету исследуемых препаратов на клинической базе аптечному работнику (провизору) или иному лицу, подконтрольному исследователю или медицинской организации.</w:t>
            </w:r>
          </w:p>
          <w:p>
            <w:pPr>
              <w:spacing w:after="20"/>
              <w:ind w:left="20"/>
              <w:jc w:val="both"/>
            </w:pPr>
            <w:r>
              <w:rPr>
                <w:rFonts w:ascii="Times New Roman"/>
                <w:b w:val="false"/>
                <w:i w:val="false"/>
                <w:color w:val="000000"/>
                <w:sz w:val="20"/>
              </w:rPr>
              <w:t>
   4.6.3. Исследователь или медицинская организация и (или) аптечный работник (провизор) или иное уполномоченное исследователем и организацией лицо ведут учет поставок препаратов в клиническую базу, их фактического количества, использования - субъектом, а также возврата спонсору либо иного распоряжения по неиспользованным препаратам. Записи по учету включают в себя даты, количество, номера партий или серий, сроки годности и уникальные коды исследуемых препаратов и субъектов исследования. Исследователь ведет записи, подтверждающие, что субъекты получали исследуемые препараты в дозах, предусмотренных протоколом, в количествах, согласующихся с общим количеством исследуемых препаратов, полученным от спонсора.</w:t>
            </w:r>
          </w:p>
          <w:p>
            <w:pPr>
              <w:spacing w:after="20"/>
              <w:ind w:left="20"/>
              <w:jc w:val="both"/>
            </w:pPr>
            <w:r>
              <w:rPr>
                <w:rFonts w:ascii="Times New Roman"/>
                <w:b w:val="false"/>
                <w:i w:val="false"/>
                <w:color w:val="000000"/>
                <w:sz w:val="20"/>
              </w:rPr>
              <w:t>
   4.6.4. Исследуемые препараты следует хранить в соответствии с инструкциями спонсора.</w:t>
            </w:r>
          </w:p>
          <w:p>
            <w:pPr>
              <w:spacing w:after="20"/>
              <w:ind w:left="20"/>
              <w:jc w:val="both"/>
            </w:pPr>
            <w:r>
              <w:rPr>
                <w:rFonts w:ascii="Times New Roman"/>
                <w:b w:val="false"/>
                <w:i w:val="false"/>
                <w:color w:val="000000"/>
                <w:sz w:val="20"/>
              </w:rPr>
              <w:t>
   4.6.5. Исследователь обеспечивает использование исследуемых препаратов в соответствии с утвержденным протоколом.</w:t>
            </w:r>
          </w:p>
          <w:p>
            <w:pPr>
              <w:spacing w:after="20"/>
              <w:ind w:left="20"/>
              <w:jc w:val="both"/>
            </w:pPr>
            <w:r>
              <w:rPr>
                <w:rFonts w:ascii="Times New Roman"/>
                <w:b w:val="false"/>
                <w:i w:val="false"/>
                <w:color w:val="000000"/>
                <w:sz w:val="20"/>
              </w:rPr>
              <w:t>
   4.6.6. Исследователь или уполномоченное исследователем или медицинской организацией лицо информирует субъекта о правилах применения исследуемых препаратов и через приемлемые интервалы времени (в зависимости от исследования) проверяет соблюдение этих инструкций субъектом.</w:t>
            </w:r>
          </w:p>
          <w:p>
            <w:pPr>
              <w:spacing w:after="20"/>
              <w:ind w:left="20"/>
              <w:jc w:val="both"/>
            </w:pPr>
            <w:r>
              <w:rPr>
                <w:rFonts w:ascii="Times New Roman"/>
                <w:b w:val="false"/>
                <w:i w:val="false"/>
                <w:color w:val="000000"/>
                <w:sz w:val="20"/>
              </w:rPr>
              <w:t>
   4.7. Рандомизация и раскрытие кода</w:t>
            </w:r>
          </w:p>
          <w:p>
            <w:pPr>
              <w:spacing w:after="20"/>
              <w:ind w:left="20"/>
              <w:jc w:val="both"/>
            </w:pPr>
            <w:r>
              <w:rPr>
                <w:rFonts w:ascii="Times New Roman"/>
                <w:b w:val="false"/>
                <w:i w:val="false"/>
                <w:color w:val="000000"/>
                <w:sz w:val="20"/>
              </w:rPr>
              <w:t>
   Исследователь соблюдает предусмотренную в исследовании методику рандомизациии обеспечивает раскрытие кода только в соответствии с протоколом. Если исследование проводится слепым методом, исследователь незамедлительно документально оформляет и объясняет спонсору любое преждевременное раскрытие кода исследуемых препаратов.</w:t>
            </w:r>
          </w:p>
          <w:p>
            <w:pPr>
              <w:spacing w:after="20"/>
              <w:ind w:left="20"/>
              <w:jc w:val="both"/>
            </w:pPr>
            <w:r>
              <w:rPr>
                <w:rFonts w:ascii="Times New Roman"/>
                <w:b w:val="false"/>
                <w:i w:val="false"/>
                <w:color w:val="000000"/>
                <w:sz w:val="20"/>
              </w:rPr>
              <w:t>
   4.8. Информированное согласие субъектов исследования</w:t>
            </w:r>
          </w:p>
          <w:p>
            <w:pPr>
              <w:spacing w:after="20"/>
              <w:ind w:left="20"/>
              <w:jc w:val="both"/>
            </w:pPr>
            <w:r>
              <w:rPr>
                <w:rFonts w:ascii="Times New Roman"/>
                <w:b w:val="false"/>
                <w:i w:val="false"/>
                <w:color w:val="000000"/>
                <w:sz w:val="20"/>
              </w:rPr>
              <w:t>
   4.8.1. При получении и документальном оформлении информированного согласия, исследователь придерживается настоящего Стандарта и этических принципов, заложенных в Хельсинкской декларации Всемирной медицинской ассоциации 1964 года. До начала исследования исследователь получает письменное одобрение или заключение Комиссии по вопросам этики письменной формы информированного согласия и любых других письменных материалов, предоставляемых субъектам.</w:t>
            </w:r>
          </w:p>
          <w:p>
            <w:pPr>
              <w:spacing w:after="20"/>
              <w:ind w:left="20"/>
              <w:jc w:val="both"/>
            </w:pPr>
            <w:r>
              <w:rPr>
                <w:rFonts w:ascii="Times New Roman"/>
                <w:b w:val="false"/>
                <w:i w:val="false"/>
                <w:color w:val="000000"/>
                <w:sz w:val="20"/>
              </w:rPr>
              <w:t>
   4.8.2. Письменная форма информированного согласия и любые другие письменные материалы, предоставляемые субъектам, следует дополнять или исправлять по мере появления новой важной информации, которая может оказаться существенной для согласия субъекта. Любая дополненная или исправленная письменная форма информированного согласия и любые другие дополненные или исправленные письменные материалы, предоставляемые субъектам, одобряются Комиссией по вопросам этики до их использования в исследовании, после чего они доводятся до сведения субъекта или его законного представителя и влияют на принятие решения субъекта о дальнейшем продолжении участия в исследовании. Факт передачи этой информации документально оформляется.</w:t>
            </w:r>
          </w:p>
          <w:p>
            <w:pPr>
              <w:spacing w:after="20"/>
              <w:ind w:left="20"/>
              <w:jc w:val="both"/>
            </w:pPr>
            <w:r>
              <w:rPr>
                <w:rFonts w:ascii="Times New Roman"/>
                <w:b w:val="false"/>
                <w:i w:val="false"/>
                <w:color w:val="000000"/>
                <w:sz w:val="20"/>
              </w:rPr>
              <w:t>
   4.8.3. Ни исследователь, ни другие занятые в исследовании лица не принуждают субъекта, не используют иные, некорректные методы воздействия с целью склонить его к участию либо продолжению участия в исследовании.</w:t>
            </w:r>
          </w:p>
          <w:p>
            <w:pPr>
              <w:spacing w:after="20"/>
              <w:ind w:left="20"/>
              <w:jc w:val="both"/>
            </w:pPr>
            <w:r>
              <w:rPr>
                <w:rFonts w:ascii="Times New Roman"/>
                <w:b w:val="false"/>
                <w:i w:val="false"/>
                <w:color w:val="000000"/>
                <w:sz w:val="20"/>
              </w:rPr>
              <w:t>
   4.8.4. Ни в устной информации, ни в письменных материалах исследования, включая письменную форму информированного согласия или информационного листка пациента, не используются формулировки, прямо или косвенно склоняющие субъекта или его законного представителя отказаться от законных прав, а также формулировки, прямо или косвенно освобождающие исследователя, медицинскую организацию, спонсора или их представителей от ответственности за халатность.</w:t>
            </w:r>
          </w:p>
          <w:p>
            <w:pPr>
              <w:spacing w:after="20"/>
              <w:ind w:left="20"/>
              <w:jc w:val="both"/>
            </w:pPr>
            <w:r>
              <w:rPr>
                <w:rFonts w:ascii="Times New Roman"/>
                <w:b w:val="false"/>
                <w:i w:val="false"/>
                <w:color w:val="000000"/>
                <w:sz w:val="20"/>
              </w:rPr>
              <w:t>
   4.8.5. Исследователь или назначенное им лицо обеспечивает в полной мере информирование субъекта или его законного представителя обо всех значимых аспектах исследования, в том числе знакомит с письменной информацией об исследовании и одобрением или положительным заключением Комиссии по вопросам этики.</w:t>
            </w:r>
          </w:p>
          <w:p>
            <w:pPr>
              <w:spacing w:after="20"/>
              <w:ind w:left="20"/>
              <w:jc w:val="both"/>
            </w:pPr>
            <w:r>
              <w:rPr>
                <w:rFonts w:ascii="Times New Roman"/>
                <w:b w:val="false"/>
                <w:i w:val="false"/>
                <w:color w:val="000000"/>
                <w:sz w:val="20"/>
              </w:rPr>
              <w:t>
   4.8.6. Обеспечивается предоставление устной и письменной информации об исследовании, включая письменную форму информированного согласия, понятной субъекту, не использующей специальных терминов или, в соответствующих случаях, его законному представителю и незаинтересованному свидетелю.</w:t>
            </w:r>
          </w:p>
          <w:p>
            <w:pPr>
              <w:spacing w:after="20"/>
              <w:ind w:left="20"/>
              <w:jc w:val="both"/>
            </w:pPr>
            <w:r>
              <w:rPr>
                <w:rFonts w:ascii="Times New Roman"/>
                <w:b w:val="false"/>
                <w:i w:val="false"/>
                <w:color w:val="000000"/>
                <w:sz w:val="20"/>
              </w:rPr>
              <w:t>
   4.8.7. Перед получением информированного согласия исследователь или назначенное им лицо предоставляет субъекту или его законному представителю достаточное количество времени и возможность для получения более подробной информации об исследовании и принятия решения об участии или отказе. Субъект или его законный представитель получает исчерпывающие ответы на все вопросы об исследовании.</w:t>
            </w:r>
          </w:p>
          <w:p>
            <w:pPr>
              <w:spacing w:after="20"/>
              <w:ind w:left="20"/>
              <w:jc w:val="both"/>
            </w:pPr>
            <w:r>
              <w:rPr>
                <w:rFonts w:ascii="Times New Roman"/>
                <w:b w:val="false"/>
                <w:i w:val="false"/>
                <w:color w:val="000000"/>
                <w:sz w:val="20"/>
              </w:rPr>
              <w:t>
   4.8.8. До начала участия в исследовании субъект или его законный представитель, а также лицо, проводившее разъяснительную беседу, подписывают и собственноручно датируют письменную форму информированного согласия.</w:t>
            </w:r>
          </w:p>
          <w:p>
            <w:pPr>
              <w:spacing w:after="20"/>
              <w:ind w:left="20"/>
              <w:jc w:val="both"/>
            </w:pPr>
            <w:r>
              <w:rPr>
                <w:rFonts w:ascii="Times New Roman"/>
                <w:b w:val="false"/>
                <w:i w:val="false"/>
                <w:color w:val="000000"/>
                <w:sz w:val="20"/>
              </w:rPr>
              <w:t>
   4.8.9. Если субъект или его законный представитель неспособны читать, то в течение всей разъяснительной беседы присутствует незаинтересованный свидетель. После того, как субъекту или его законному представителю прочитали и разъяснили письменную форму информированного согласия и другие предоставляемые субъекту письменные материалы и после того, как субъект или его законный представитель дал устное согласие на участие субъекта в исследовании и, если способен, подписал и собственноручно датировал письменную форму информированного согласия, свидетель ее подписывает и собственноручно датирует. Подписывая форму согласия, свидетель подтверждает, что информация, содержащаяся в форме согласия или информационном листке пациента и всех других письменных материалах, была точно разъяснена и понята субъектом или его законным представителем и, что согласие на участие в исследовании, дано субъектом или его законным представителем добровольно.</w:t>
            </w:r>
          </w:p>
          <w:p>
            <w:pPr>
              <w:spacing w:after="20"/>
              <w:ind w:left="20"/>
              <w:jc w:val="both"/>
            </w:pPr>
            <w:r>
              <w:rPr>
                <w:rFonts w:ascii="Times New Roman"/>
                <w:b w:val="false"/>
                <w:i w:val="false"/>
                <w:color w:val="000000"/>
                <w:sz w:val="20"/>
              </w:rPr>
              <w:t>
   4.8.10. Как в ходе разъяснительной беседы, так и в письменной форме информированного согласия или информационном листке пациента, а также любых других письменных материалах, предоставляемых субъектам, разъясняется следующее:</w:t>
            </w:r>
          </w:p>
          <w:p>
            <w:pPr>
              <w:spacing w:after="20"/>
              <w:ind w:left="20"/>
              <w:jc w:val="both"/>
            </w:pPr>
            <w:r>
              <w:rPr>
                <w:rFonts w:ascii="Times New Roman"/>
                <w:b w:val="false"/>
                <w:i w:val="false"/>
                <w:color w:val="000000"/>
                <w:sz w:val="20"/>
              </w:rPr>
              <w:t>
   1) исследование носит экспериментальный характер;</w:t>
            </w:r>
          </w:p>
          <w:p>
            <w:pPr>
              <w:spacing w:after="20"/>
              <w:ind w:left="20"/>
              <w:jc w:val="both"/>
            </w:pPr>
            <w:r>
              <w:rPr>
                <w:rFonts w:ascii="Times New Roman"/>
                <w:b w:val="false"/>
                <w:i w:val="false"/>
                <w:color w:val="000000"/>
                <w:sz w:val="20"/>
              </w:rPr>
              <w:t>
   2) цель исследования;</w:t>
            </w:r>
          </w:p>
          <w:p>
            <w:pPr>
              <w:spacing w:after="20"/>
              <w:ind w:left="20"/>
              <w:jc w:val="both"/>
            </w:pPr>
            <w:r>
              <w:rPr>
                <w:rFonts w:ascii="Times New Roman"/>
                <w:b w:val="false"/>
                <w:i w:val="false"/>
                <w:color w:val="000000"/>
                <w:sz w:val="20"/>
              </w:rPr>
              <w:t>
   3) исследуемый способ лечения в процессе исследования и вероятность случайного распределения в одну из групп лечения;</w:t>
            </w:r>
          </w:p>
          <w:p>
            <w:pPr>
              <w:spacing w:after="20"/>
              <w:ind w:left="20"/>
              <w:jc w:val="both"/>
            </w:pPr>
            <w:r>
              <w:rPr>
                <w:rFonts w:ascii="Times New Roman"/>
                <w:b w:val="false"/>
                <w:i w:val="false"/>
                <w:color w:val="000000"/>
                <w:sz w:val="20"/>
              </w:rPr>
              <w:t>
   4) процедуры исследования, включая все инвазивные процедуры;</w:t>
            </w:r>
          </w:p>
          <w:p>
            <w:pPr>
              <w:spacing w:after="20"/>
              <w:ind w:left="20"/>
              <w:jc w:val="both"/>
            </w:pPr>
            <w:r>
              <w:rPr>
                <w:rFonts w:ascii="Times New Roman"/>
                <w:b w:val="false"/>
                <w:i w:val="false"/>
                <w:color w:val="000000"/>
                <w:sz w:val="20"/>
              </w:rPr>
              <w:t>
   5) обязанности субъекта;</w:t>
            </w:r>
          </w:p>
          <w:p>
            <w:pPr>
              <w:spacing w:after="20"/>
              <w:ind w:left="20"/>
              <w:jc w:val="both"/>
            </w:pPr>
            <w:r>
              <w:rPr>
                <w:rFonts w:ascii="Times New Roman"/>
                <w:b w:val="false"/>
                <w:i w:val="false"/>
                <w:color w:val="000000"/>
                <w:sz w:val="20"/>
              </w:rPr>
              <w:t>
   6) экспериментальные аспекты исследования;</w:t>
            </w:r>
          </w:p>
          <w:p>
            <w:pPr>
              <w:spacing w:after="20"/>
              <w:ind w:left="20"/>
              <w:jc w:val="both"/>
            </w:pPr>
            <w:r>
              <w:rPr>
                <w:rFonts w:ascii="Times New Roman"/>
                <w:b w:val="false"/>
                <w:i w:val="false"/>
                <w:color w:val="000000"/>
                <w:sz w:val="20"/>
              </w:rPr>
              <w:t>
   7) ожидаемый риск или неудобства для субъекта, а также, в соответствующих случаях, для эмбриона, плода или грудного ребенка;</w:t>
            </w:r>
          </w:p>
          <w:p>
            <w:pPr>
              <w:spacing w:after="20"/>
              <w:ind w:left="20"/>
              <w:jc w:val="both"/>
            </w:pPr>
            <w:r>
              <w:rPr>
                <w:rFonts w:ascii="Times New Roman"/>
                <w:b w:val="false"/>
                <w:i w:val="false"/>
                <w:color w:val="000000"/>
                <w:sz w:val="20"/>
              </w:rPr>
              <w:t>
   8) ожидаемые выгода и (или) польза, если пользы с медицинской точки зрения не предполагается, то субъекту об этом сообщается;</w:t>
            </w:r>
          </w:p>
          <w:p>
            <w:pPr>
              <w:spacing w:after="20"/>
              <w:ind w:left="20"/>
              <w:jc w:val="both"/>
            </w:pPr>
            <w:r>
              <w:rPr>
                <w:rFonts w:ascii="Times New Roman"/>
                <w:b w:val="false"/>
                <w:i w:val="false"/>
                <w:color w:val="000000"/>
                <w:sz w:val="20"/>
              </w:rPr>
              <w:t>
   9) иные, помимо предусмотренных в исследовании, процедуры или методы лечения, которые доступны субъекту, а также их значимые потенциальные выгода и (или) польза, а также риск;</w:t>
            </w:r>
          </w:p>
          <w:p>
            <w:pPr>
              <w:spacing w:after="20"/>
              <w:ind w:left="20"/>
              <w:jc w:val="both"/>
            </w:pPr>
            <w:r>
              <w:rPr>
                <w:rFonts w:ascii="Times New Roman"/>
                <w:b w:val="false"/>
                <w:i w:val="false"/>
                <w:color w:val="000000"/>
                <w:sz w:val="20"/>
              </w:rPr>
              <w:t>
   10) компенсация и (или) лечение, доступные субъекту в случае причинения вреда его здоровью в результате участия в исследовании;</w:t>
            </w:r>
          </w:p>
          <w:p>
            <w:pPr>
              <w:spacing w:after="20"/>
              <w:ind w:left="20"/>
              <w:jc w:val="both"/>
            </w:pPr>
            <w:r>
              <w:rPr>
                <w:rFonts w:ascii="Times New Roman"/>
                <w:b w:val="false"/>
                <w:i w:val="false"/>
                <w:color w:val="000000"/>
                <w:sz w:val="20"/>
              </w:rPr>
              <w:t>
   11) планируемый размер выплат субъекту за его участие в исследовании, если таковые предусмотрены;</w:t>
            </w:r>
          </w:p>
          <w:p>
            <w:pPr>
              <w:spacing w:after="20"/>
              <w:ind w:left="20"/>
              <w:jc w:val="both"/>
            </w:pPr>
            <w:r>
              <w:rPr>
                <w:rFonts w:ascii="Times New Roman"/>
                <w:b w:val="false"/>
                <w:i w:val="false"/>
                <w:color w:val="000000"/>
                <w:sz w:val="20"/>
              </w:rPr>
              <w:t>
   12) планируемые расходы субъекта, если таковые ожидаются, связанные с его участием в исследовании;</w:t>
            </w:r>
          </w:p>
          <w:p>
            <w:pPr>
              <w:spacing w:after="20"/>
              <w:ind w:left="20"/>
              <w:jc w:val="both"/>
            </w:pPr>
            <w:r>
              <w:rPr>
                <w:rFonts w:ascii="Times New Roman"/>
                <w:b w:val="false"/>
                <w:i w:val="false"/>
                <w:color w:val="000000"/>
                <w:sz w:val="20"/>
              </w:rPr>
              <w:t>
   13) участие субъекта в исследовании является добровольным, в связи с чем решение об отказе от участия или выход из исследования принимается им в любой момент без каких-либо санкций для себя или потери положенных выгод;</w:t>
            </w:r>
          </w:p>
          <w:p>
            <w:pPr>
              <w:spacing w:after="20"/>
              <w:ind w:left="20"/>
              <w:jc w:val="both"/>
            </w:pPr>
            <w:r>
              <w:rPr>
                <w:rFonts w:ascii="Times New Roman"/>
                <w:b w:val="false"/>
                <w:i w:val="false"/>
                <w:color w:val="000000"/>
                <w:sz w:val="20"/>
              </w:rPr>
              <w:t>
   14) мониторы, аудиторы, Комиссии по вопросам этики и экспертная организация в той мере, в какой это допускается настоящим Стандартом, имеют прямой доступ к оригинальным медицинским записям субъекта для проверки процедур и (или) данных клинического исследования, не нарушая при этом конфиденциальности данных субъекта. Субъект или его законный представитель, подписывая письменную форму информированного согласия, разрешает такой доступ;</w:t>
            </w:r>
          </w:p>
          <w:p>
            <w:pPr>
              <w:spacing w:after="20"/>
              <w:ind w:left="20"/>
              <w:jc w:val="both"/>
            </w:pPr>
            <w:r>
              <w:rPr>
                <w:rFonts w:ascii="Times New Roman"/>
                <w:b w:val="false"/>
                <w:i w:val="false"/>
                <w:color w:val="000000"/>
                <w:sz w:val="20"/>
              </w:rPr>
              <w:t>
   15) записи, идентифицирующие субъекта, сохраняются в тайне и раскрываются только в той мере, в какой это допускается настоящим Стандартом. При публикации результатов исследования конфиденциальность данных субъекта сохраняется;</w:t>
            </w:r>
          </w:p>
          <w:p>
            <w:pPr>
              <w:spacing w:after="20"/>
              <w:ind w:left="20"/>
              <w:jc w:val="both"/>
            </w:pPr>
            <w:r>
              <w:rPr>
                <w:rFonts w:ascii="Times New Roman"/>
                <w:b w:val="false"/>
                <w:i w:val="false"/>
                <w:color w:val="000000"/>
                <w:sz w:val="20"/>
              </w:rPr>
              <w:t>
   16) информация, способная повлиять на желание субъекта продолжать участие в исследовании, доводится до сведения субъекта или его законного представителя;</w:t>
            </w:r>
          </w:p>
          <w:p>
            <w:pPr>
              <w:spacing w:after="20"/>
              <w:ind w:left="20"/>
              <w:jc w:val="both"/>
            </w:pPr>
            <w:r>
              <w:rPr>
                <w:rFonts w:ascii="Times New Roman"/>
                <w:b w:val="false"/>
                <w:i w:val="false"/>
                <w:color w:val="000000"/>
                <w:sz w:val="20"/>
              </w:rPr>
              <w:t>
   17) лица, к которым обращаются для получения дополнительной информации об исследовании и правах субъектов исследования, а также в случае причинения вреда здоровью субъекта в результате его участия в исследовании;</w:t>
            </w:r>
          </w:p>
          <w:p>
            <w:pPr>
              <w:spacing w:after="20"/>
              <w:ind w:left="20"/>
              <w:jc w:val="both"/>
            </w:pPr>
            <w:r>
              <w:rPr>
                <w:rFonts w:ascii="Times New Roman"/>
                <w:b w:val="false"/>
                <w:i w:val="false"/>
                <w:color w:val="000000"/>
                <w:sz w:val="20"/>
              </w:rPr>
              <w:t>
   18) возможные обстоятельства и (или) причины, по которым участие субъекта в исследовании прекращается;</w:t>
            </w:r>
          </w:p>
          <w:p>
            <w:pPr>
              <w:spacing w:after="20"/>
              <w:ind w:left="20"/>
              <w:jc w:val="both"/>
            </w:pPr>
            <w:r>
              <w:rPr>
                <w:rFonts w:ascii="Times New Roman"/>
                <w:b w:val="false"/>
                <w:i w:val="false"/>
                <w:color w:val="000000"/>
                <w:sz w:val="20"/>
              </w:rPr>
              <w:t>
   19) предполагаемая продолжительность участия субъекта в исследовании;</w:t>
            </w:r>
          </w:p>
          <w:p>
            <w:pPr>
              <w:spacing w:after="20"/>
              <w:ind w:left="20"/>
              <w:jc w:val="both"/>
            </w:pPr>
            <w:r>
              <w:rPr>
                <w:rFonts w:ascii="Times New Roman"/>
                <w:b w:val="false"/>
                <w:i w:val="false"/>
                <w:color w:val="000000"/>
                <w:sz w:val="20"/>
              </w:rPr>
              <w:t>
   20) приблизительное количество субъектов, которое предполагается включить в исследование.</w:t>
            </w:r>
          </w:p>
          <w:p>
            <w:pPr>
              <w:spacing w:after="20"/>
              <w:ind w:left="20"/>
              <w:jc w:val="both"/>
            </w:pPr>
            <w:r>
              <w:rPr>
                <w:rFonts w:ascii="Times New Roman"/>
                <w:b w:val="false"/>
                <w:i w:val="false"/>
                <w:color w:val="000000"/>
                <w:sz w:val="20"/>
              </w:rPr>
              <w:t>
   4.8.11. Перед включением в исследование субъект или его законный представитель получает подписанный и датированный экземпляр письменной формы информированного согласия и другие предоставляемые субъектам письменные материалы. Во время участия субъекта в исследовании субъект или его законный представитель получает подписанные и датированные экземпляры всех последующих редакций формы информированного согласия и копии поправок к другим письменным материалам, предоставляемым субъекту.</w:t>
            </w:r>
          </w:p>
          <w:p>
            <w:pPr>
              <w:spacing w:after="20"/>
              <w:ind w:left="20"/>
              <w:jc w:val="both"/>
            </w:pPr>
            <w:r>
              <w:rPr>
                <w:rFonts w:ascii="Times New Roman"/>
                <w:b w:val="false"/>
                <w:i w:val="false"/>
                <w:color w:val="000000"/>
                <w:sz w:val="20"/>
              </w:rPr>
              <w:t>
   4.8.12. Если в клиническом исследовании участвуют субъекты, которые включаются в исследование только на основании согласия их законных представителей (несовершеннолетние, пациенты с выраженным слабоумием) субъект информируется об исследовании в соответствии с его способностью понять эту информацию и, если субъект в состоянии, подписывает и собственноручно датирует письменную форму информированного согласия.</w:t>
            </w:r>
          </w:p>
          <w:p>
            <w:pPr>
              <w:spacing w:after="20"/>
              <w:ind w:left="20"/>
              <w:jc w:val="both"/>
            </w:pPr>
            <w:r>
              <w:rPr>
                <w:rFonts w:ascii="Times New Roman"/>
                <w:b w:val="false"/>
                <w:i w:val="false"/>
                <w:color w:val="000000"/>
                <w:sz w:val="20"/>
              </w:rPr>
              <w:t>
   4.8.13. В исследование, не связанное с лечением, включаются субъекты, которые собственноручно подписывают и датируют письменную форму информированного согласия и (или) подтверждают свое согласие с помощью их законных представителей.</w:t>
            </w:r>
          </w:p>
          <w:p>
            <w:pPr>
              <w:spacing w:after="20"/>
              <w:ind w:left="20"/>
              <w:jc w:val="both"/>
            </w:pPr>
            <w:r>
              <w:rPr>
                <w:rFonts w:ascii="Times New Roman"/>
                <w:b w:val="false"/>
                <w:i w:val="false"/>
                <w:color w:val="000000"/>
                <w:sz w:val="20"/>
              </w:rPr>
              <w:t>
   4.8.14. В исследования, не связанные с лечением, субъекты включаются с согласия их законных представителей при соблюдении следующих условий:</w:t>
            </w:r>
          </w:p>
          <w:p>
            <w:pPr>
              <w:spacing w:after="20"/>
              <w:ind w:left="20"/>
              <w:jc w:val="both"/>
            </w:pPr>
            <w:r>
              <w:rPr>
                <w:rFonts w:ascii="Times New Roman"/>
                <w:b w:val="false"/>
                <w:i w:val="false"/>
                <w:color w:val="000000"/>
                <w:sz w:val="20"/>
              </w:rPr>
              <w:t>
   цели исследования не достигаются посредством исследования с участием субъектов, которые могут дать свое согласие лично;</w:t>
            </w:r>
          </w:p>
          <w:p>
            <w:pPr>
              <w:spacing w:after="20"/>
              <w:ind w:left="20"/>
              <w:jc w:val="both"/>
            </w:pPr>
            <w:r>
              <w:rPr>
                <w:rFonts w:ascii="Times New Roman"/>
                <w:b w:val="false"/>
                <w:i w:val="false"/>
                <w:color w:val="000000"/>
                <w:sz w:val="20"/>
              </w:rPr>
              <w:t>
   ожидаемый риск для субъектов незначителен;</w:t>
            </w:r>
          </w:p>
          <w:p>
            <w:pPr>
              <w:spacing w:after="20"/>
              <w:ind w:left="20"/>
              <w:jc w:val="both"/>
            </w:pPr>
            <w:r>
              <w:rPr>
                <w:rFonts w:ascii="Times New Roman"/>
                <w:b w:val="false"/>
                <w:i w:val="false"/>
                <w:color w:val="000000"/>
                <w:sz w:val="20"/>
              </w:rPr>
              <w:t>
   отрицательное воздействие на здоровье субъекта сведено к минимуму и незначительно;</w:t>
            </w:r>
          </w:p>
          <w:p>
            <w:pPr>
              <w:spacing w:after="20"/>
              <w:ind w:left="20"/>
              <w:jc w:val="both"/>
            </w:pPr>
            <w:r>
              <w:rPr>
                <w:rFonts w:ascii="Times New Roman"/>
                <w:b w:val="false"/>
                <w:i w:val="false"/>
                <w:color w:val="000000"/>
                <w:sz w:val="20"/>
              </w:rPr>
              <w:t>
   исследование не запрещено законодательством;</w:t>
            </w:r>
          </w:p>
          <w:p>
            <w:pPr>
              <w:spacing w:after="20"/>
              <w:ind w:left="20"/>
              <w:jc w:val="both"/>
            </w:pPr>
            <w:r>
              <w:rPr>
                <w:rFonts w:ascii="Times New Roman"/>
                <w:b w:val="false"/>
                <w:i w:val="false"/>
                <w:color w:val="000000"/>
                <w:sz w:val="20"/>
              </w:rPr>
              <w:t>
   для включения таких субъектов запрашивается специальное одобрение или заключение Комиссии по вопросам этики, учитывающее данный аспект.</w:t>
            </w:r>
          </w:p>
          <w:p>
            <w:pPr>
              <w:spacing w:after="20"/>
              <w:ind w:left="20"/>
              <w:jc w:val="both"/>
            </w:pPr>
            <w:r>
              <w:rPr>
                <w:rFonts w:ascii="Times New Roman"/>
                <w:b w:val="false"/>
                <w:i w:val="false"/>
                <w:color w:val="000000"/>
                <w:sz w:val="20"/>
              </w:rPr>
              <w:t>
   Подобные исследования проводятся с участием пациентов, имеющих заболевание, для лечения которого предназначен исследуемый препарат. Субъекты в таких исследованиях находятся под особо тщательным наблюдением, и их участие прекращается, если есть основания полагать, что они испытывают чрезмерный дискомфорт;</w:t>
            </w:r>
          </w:p>
          <w:p>
            <w:pPr>
              <w:spacing w:after="20"/>
              <w:ind w:left="20"/>
              <w:jc w:val="both"/>
            </w:pPr>
            <w:r>
              <w:rPr>
                <w:rFonts w:ascii="Times New Roman"/>
                <w:b w:val="false"/>
                <w:i w:val="false"/>
                <w:color w:val="000000"/>
                <w:sz w:val="20"/>
              </w:rPr>
              <w:t xml:space="preserve">
   4.8.15. При неотложных состояниях, когда до включения в исследование невозможно получить согласие самого субъекта, оно запрашивается у его законного представителя. Если предварительное согласие субъекта невозможно получить и отсутствует его законный представитель, то для включения субъекта в исследование предпринимаются предусмотренные протоколом и (или) другими документами и разрешенные или одобренные Комиссии по вопросам этики меры, направленные на защиту прав, безопасности и благополучия субъекта. Субъект или его законный представитель в кратчайшие сроки ставится в известность об исследовании и запрашивается согласие, а также другое согласие в соответствии с пунктом 4.8.10 на продолжение участия субъекта в исследовании. </w:t>
            </w:r>
          </w:p>
          <w:p>
            <w:pPr>
              <w:spacing w:after="20"/>
              <w:ind w:left="20"/>
              <w:jc w:val="both"/>
            </w:pPr>
            <w:r>
              <w:rPr>
                <w:rFonts w:ascii="Times New Roman"/>
                <w:b w:val="false"/>
                <w:i w:val="false"/>
                <w:color w:val="000000"/>
                <w:sz w:val="20"/>
              </w:rPr>
              <w:t>
   4.9. Документация и отчетность</w:t>
            </w:r>
          </w:p>
          <w:p>
            <w:pPr>
              <w:spacing w:after="20"/>
              <w:ind w:left="20"/>
              <w:jc w:val="both"/>
            </w:pPr>
            <w:r>
              <w:rPr>
                <w:rFonts w:ascii="Times New Roman"/>
                <w:b w:val="false"/>
                <w:i w:val="false"/>
                <w:color w:val="000000"/>
                <w:sz w:val="20"/>
              </w:rPr>
              <w:t>
   4.9.1. Исследователь обеспечивает правильность, полноту, разборчивость и своевременность предоставления спонсору данных, содержащихся в ИРК и во всех требуемых отчетах.</w:t>
            </w:r>
          </w:p>
          <w:p>
            <w:pPr>
              <w:spacing w:after="20"/>
              <w:ind w:left="20"/>
              <w:jc w:val="both"/>
            </w:pPr>
            <w:r>
              <w:rPr>
                <w:rFonts w:ascii="Times New Roman"/>
                <w:b w:val="false"/>
                <w:i w:val="false"/>
                <w:color w:val="000000"/>
                <w:sz w:val="20"/>
              </w:rPr>
              <w:t>
   4.9.2. Данные в ИРК соответствуют первичной документации, из которой они перенесены, имеющиеся расхождения объясняются.</w:t>
            </w:r>
          </w:p>
          <w:p>
            <w:pPr>
              <w:spacing w:after="20"/>
              <w:ind w:left="20"/>
              <w:jc w:val="both"/>
            </w:pPr>
            <w:r>
              <w:rPr>
                <w:rFonts w:ascii="Times New Roman"/>
                <w:b w:val="false"/>
                <w:i w:val="false"/>
                <w:color w:val="000000"/>
                <w:sz w:val="20"/>
              </w:rPr>
              <w:t>
   4.9.3. Любые изменения или исправления в ИРК подписываются, датируются, объясняются и показывают первоначальную запись; применяется как к письменным, так и к электронным изменениям или исправлениям. Спонсор предоставляет исследователям и (или) их уполномоченным представителям инструкцию о порядке оформления таких исправлений. Спонсор имеет письменные процедуры, предусматривающие, что изменения или исправления в ИРК, вносимые его уполномоченными представителями, документально оформляются, являются необходимыми и одобряются исследователем. Исследователь хранит записи об изменениях и исправлениях.</w:t>
            </w:r>
          </w:p>
          <w:p>
            <w:pPr>
              <w:spacing w:after="20"/>
              <w:ind w:left="20"/>
              <w:jc w:val="both"/>
            </w:pPr>
            <w:r>
              <w:rPr>
                <w:rFonts w:ascii="Times New Roman"/>
                <w:b w:val="false"/>
                <w:i w:val="false"/>
                <w:color w:val="000000"/>
                <w:sz w:val="20"/>
              </w:rPr>
              <w:t>
   4.9.4. Исследователь или медицинская организация ведет документацию по исследованию согласно разделу 8 настоящего Стандарта. Исследователь или медицинская организация принимает необходимые меры, предотвращающие случайное или преждевременное уничтожение данных документов.</w:t>
            </w:r>
          </w:p>
          <w:p>
            <w:pPr>
              <w:spacing w:after="20"/>
              <w:ind w:left="20"/>
              <w:jc w:val="both"/>
            </w:pPr>
            <w:r>
              <w:rPr>
                <w:rFonts w:ascii="Times New Roman"/>
                <w:b w:val="false"/>
                <w:i w:val="false"/>
                <w:color w:val="000000"/>
                <w:sz w:val="20"/>
              </w:rPr>
              <w:t>
   4.9.5. Основные документы хранятся не менее двух лет по утверждению последней заявки на регистрацию препарата в Республике Казахстан или при наличии одной заявки на рассмотрении, или при планировании новых заявок, или не менее двух лет после официального прекращения клинической разработки исследуемого препарата. Данные документы имеют более длительный срок хранения, если предусмотрено нормативными требованиями и договором со спонсором. Ответственностью спонсора является информирование исследователя или медицинской организации об истечении срока хранения документации.</w:t>
            </w:r>
          </w:p>
          <w:p>
            <w:pPr>
              <w:spacing w:after="20"/>
              <w:ind w:left="20"/>
              <w:jc w:val="both"/>
            </w:pPr>
            <w:r>
              <w:rPr>
                <w:rFonts w:ascii="Times New Roman"/>
                <w:b w:val="false"/>
                <w:i w:val="false"/>
                <w:color w:val="000000"/>
                <w:sz w:val="20"/>
              </w:rPr>
              <w:t>
   4.9.6. Финансовые аспекты исследования отражаются в договоре между спонсором и исследователем или организацией.</w:t>
            </w:r>
          </w:p>
          <w:p>
            <w:pPr>
              <w:spacing w:after="20"/>
              <w:ind w:left="20"/>
              <w:jc w:val="both"/>
            </w:pPr>
            <w:r>
              <w:rPr>
                <w:rFonts w:ascii="Times New Roman"/>
                <w:b w:val="false"/>
                <w:i w:val="false"/>
                <w:color w:val="000000"/>
                <w:sz w:val="20"/>
              </w:rPr>
              <w:t>
   4.9.7. По запросу монитора, аудитора, Комиссии по вопросам этики или уполномоченного органа исследователь или медицинская организация обеспечивает прямой доступ ко всем записям, относящимся к исследованию.</w:t>
            </w:r>
          </w:p>
          <w:p>
            <w:pPr>
              <w:spacing w:after="20"/>
              <w:ind w:left="20"/>
              <w:jc w:val="both"/>
            </w:pPr>
            <w:r>
              <w:rPr>
                <w:rFonts w:ascii="Times New Roman"/>
                <w:b w:val="false"/>
                <w:i w:val="false"/>
                <w:color w:val="000000"/>
                <w:sz w:val="20"/>
              </w:rPr>
              <w:t>
   4.10. Отчеты о ходе исследования</w:t>
            </w:r>
          </w:p>
          <w:p>
            <w:pPr>
              <w:spacing w:after="20"/>
              <w:ind w:left="20"/>
              <w:jc w:val="both"/>
            </w:pPr>
            <w:r>
              <w:rPr>
                <w:rFonts w:ascii="Times New Roman"/>
                <w:b w:val="false"/>
                <w:i w:val="false"/>
                <w:color w:val="000000"/>
                <w:sz w:val="20"/>
              </w:rPr>
              <w:t xml:space="preserve">
   4.10.1. Исследователь предоставляет краткие письменные отчеты о ходе исследования ежегодно или чаще по запросу Комиссии по вопросам этики. </w:t>
            </w:r>
          </w:p>
          <w:p>
            <w:pPr>
              <w:spacing w:after="20"/>
              <w:ind w:left="20"/>
              <w:jc w:val="both"/>
            </w:pPr>
            <w:r>
              <w:rPr>
                <w:rFonts w:ascii="Times New Roman"/>
                <w:b w:val="false"/>
                <w:i w:val="false"/>
                <w:color w:val="000000"/>
                <w:sz w:val="20"/>
              </w:rPr>
              <w:t>
   4.10.2. Исследователь незамедлительно предоставляет письменные отчеты спонсору, Комиссии по вопросам этики и, в соответствующих случаях, организации о любых изменениях, существенно влияющих на проведение исследования и (или) увеличивающих риск для субъектов.</w:t>
            </w:r>
          </w:p>
          <w:p>
            <w:pPr>
              <w:spacing w:after="20"/>
              <w:ind w:left="20"/>
              <w:jc w:val="both"/>
            </w:pPr>
            <w:r>
              <w:rPr>
                <w:rFonts w:ascii="Times New Roman"/>
                <w:b w:val="false"/>
                <w:i w:val="false"/>
                <w:color w:val="000000"/>
                <w:sz w:val="20"/>
              </w:rPr>
              <w:t>
   4.11. Представление информации по безопасности</w:t>
            </w:r>
          </w:p>
          <w:p>
            <w:pPr>
              <w:spacing w:after="20"/>
              <w:ind w:left="20"/>
              <w:jc w:val="both"/>
            </w:pPr>
            <w:r>
              <w:rPr>
                <w:rFonts w:ascii="Times New Roman"/>
                <w:b w:val="false"/>
                <w:i w:val="false"/>
                <w:color w:val="000000"/>
                <w:sz w:val="20"/>
              </w:rPr>
              <w:t xml:space="preserve">
   4.11.1. Обо всех СНЯ немедленно сообщают спонсору, за исключением тех СНЯ, которые в протоколе или в другом документе определены как не требующие срочного сообщения. После первичного срочного сообщения в кратчайшие сроки представляют подробное письменное сообщение. Первичный и последующие отчеты идентифицируют субъектов исследования по присвоенным им уникальным кодам, а не по именам субъектов, персональным идентификационным номерам и (или) адресам. Исследователь также соблюдает требования </w:t>
            </w:r>
            <w:r>
              <w:rPr>
                <w:rFonts w:ascii="Times New Roman"/>
                <w:b w:val="false"/>
                <w:i w:val="false"/>
                <w:color w:val="000000"/>
                <w:sz w:val="20"/>
              </w:rPr>
              <w:t>приложения 1</w:t>
            </w:r>
            <w:r>
              <w:rPr>
                <w:rFonts w:ascii="Times New Roman"/>
                <w:b w:val="false"/>
                <w:i w:val="false"/>
                <w:color w:val="000000"/>
                <w:sz w:val="20"/>
              </w:rPr>
              <w:t xml:space="preserve"> к настоящему Стандарту “Порядок представления информации по безопасности в ходе клинического исследования” определяющие порядок представления сообщений о непредвиденных серьезных нежелательных реакциях уполномоченному органу и Комиссии по вопросам этики.</w:t>
            </w:r>
          </w:p>
          <w:p>
            <w:pPr>
              <w:spacing w:after="20"/>
              <w:ind w:left="20"/>
              <w:jc w:val="both"/>
            </w:pPr>
            <w:r>
              <w:rPr>
                <w:rFonts w:ascii="Times New Roman"/>
                <w:b w:val="false"/>
                <w:i w:val="false"/>
                <w:color w:val="000000"/>
                <w:sz w:val="20"/>
              </w:rPr>
              <w:t>
   4.11.2. Обо всех нежелательных явлениях и (или) отклонениях лабораторных показателей от нормы, определенных протоколом как критические для оценки безопасности, сообщают спонсору в соответствии с требованиями к представлению сообщений о нежелательных явлениях и в сроки, определенные спонсором в протоколе.</w:t>
            </w:r>
          </w:p>
          <w:p>
            <w:pPr>
              <w:spacing w:after="20"/>
              <w:ind w:left="20"/>
              <w:jc w:val="both"/>
            </w:pPr>
            <w:r>
              <w:rPr>
                <w:rFonts w:ascii="Times New Roman"/>
                <w:b w:val="false"/>
                <w:i w:val="false"/>
                <w:color w:val="000000"/>
                <w:sz w:val="20"/>
              </w:rPr>
              <w:t>
   4.11.3. При сообщениях о смерти исследователь предоставляет любую дополнительную информацию - протокол вскрытия и посмертный эпикриз - по запросу спонсора, уполномоченного органа, экспертной организации и Комиссии по вопросам этики.</w:t>
            </w:r>
          </w:p>
          <w:p>
            <w:pPr>
              <w:spacing w:after="20"/>
              <w:ind w:left="20"/>
              <w:jc w:val="both"/>
            </w:pPr>
            <w:r>
              <w:rPr>
                <w:rFonts w:ascii="Times New Roman"/>
                <w:b w:val="false"/>
                <w:i w:val="false"/>
                <w:color w:val="000000"/>
                <w:sz w:val="20"/>
              </w:rPr>
              <w:t>
   4.12. Преждевременное прекращение или приостановка исследования</w:t>
            </w:r>
          </w:p>
          <w:p>
            <w:pPr>
              <w:spacing w:after="20"/>
              <w:ind w:left="20"/>
              <w:jc w:val="both"/>
            </w:pPr>
            <w:r>
              <w:rPr>
                <w:rFonts w:ascii="Times New Roman"/>
                <w:b w:val="false"/>
                <w:i w:val="false"/>
                <w:color w:val="000000"/>
                <w:sz w:val="20"/>
              </w:rPr>
              <w:t>
   Если по какой-либо причине исследование преждевременно прекращено или приостановлено, исследователь (медицинская организация) незамедлительно информирует субъектов исследования, обеспечивают им соответствующее лечение и наблюдение и информируют экспертную организацию.</w:t>
            </w:r>
          </w:p>
          <w:p>
            <w:pPr>
              <w:spacing w:after="20"/>
              <w:ind w:left="20"/>
              <w:jc w:val="both"/>
            </w:pPr>
            <w:r>
              <w:rPr>
                <w:rFonts w:ascii="Times New Roman"/>
                <w:b w:val="false"/>
                <w:i w:val="false"/>
                <w:color w:val="000000"/>
                <w:sz w:val="20"/>
              </w:rPr>
              <w:t>
   4.12.1. Если исследователь преждевременно прекращает или приостанавливает исследование без предварительного согласия спонсора, исследователь сообщает об этом в медицинскую организацию, и исследователь или медицинская организация незамедлительно информирует об этом спонсора и Комиссию по вопросам этики и предоставляет спонсору и Комиссии по вопросам этики подробное письменное объяснение причины приостановки или прекращения исследования.</w:t>
            </w:r>
          </w:p>
          <w:p>
            <w:pPr>
              <w:spacing w:after="20"/>
              <w:ind w:left="20"/>
              <w:jc w:val="both"/>
            </w:pPr>
            <w:r>
              <w:rPr>
                <w:rFonts w:ascii="Times New Roman"/>
                <w:b w:val="false"/>
                <w:i w:val="false"/>
                <w:color w:val="000000"/>
                <w:sz w:val="20"/>
              </w:rPr>
              <w:t>
   4.12.2. Если спонсор прекращает или приостанавливает исследование, исследователь незамедлительно сообщает об этом в медицинскую организацию, и исследователь или медицинская организация незамедлительно информируют об этом Комиссию по вопросам этики и предоставляет Комиссии по вопросам этики подробное письменное объяснение причины приостановки или прекращения исследования.</w:t>
            </w:r>
          </w:p>
          <w:p>
            <w:pPr>
              <w:spacing w:after="20"/>
              <w:ind w:left="20"/>
              <w:jc w:val="both"/>
            </w:pPr>
            <w:r>
              <w:rPr>
                <w:rFonts w:ascii="Times New Roman"/>
                <w:b w:val="false"/>
                <w:i w:val="false"/>
                <w:color w:val="000000"/>
                <w:sz w:val="20"/>
              </w:rPr>
              <w:t>
   4.12.3. Если Комиссия по вопросам этики окончательно или временно отзывает одобрение (заключение) на проведение исследования, исследователь сообщает об этом в медицинскую организацию и исследователь (медицинская организация) незамедлительно информирует об этом спонсора и предоставляет спонсору подробное письменное объяснение причины приостановки или прекращения исследования.</w:t>
            </w:r>
          </w:p>
          <w:p>
            <w:pPr>
              <w:spacing w:after="20"/>
              <w:ind w:left="20"/>
              <w:jc w:val="both"/>
            </w:pPr>
            <w:r>
              <w:rPr>
                <w:rFonts w:ascii="Times New Roman"/>
                <w:b w:val="false"/>
                <w:i w:val="false"/>
                <w:color w:val="000000"/>
                <w:sz w:val="20"/>
              </w:rPr>
              <w:t>
   4.13. Итоговый отчет исследователя</w:t>
            </w:r>
          </w:p>
          <w:p>
            <w:pPr>
              <w:spacing w:after="20"/>
              <w:ind w:left="20"/>
              <w:jc w:val="both"/>
            </w:pPr>
            <w:r>
              <w:rPr>
                <w:rFonts w:ascii="Times New Roman"/>
                <w:b w:val="false"/>
                <w:i w:val="false"/>
                <w:color w:val="000000"/>
                <w:sz w:val="20"/>
              </w:rPr>
              <w:t>
   По завершении исследования исследователь сообщает об этом организации; исследователь (медицинская организация) предоставляет Комиссии по вопросам этики краткий отчет об итогах исследования, а также требуемые отчеты экспертной организации.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Спонсор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Обеспечение качества и контроль качества</w:t>
            </w:r>
          </w:p>
          <w:p>
            <w:pPr>
              <w:spacing w:after="20"/>
              <w:ind w:left="20"/>
              <w:jc w:val="both"/>
            </w:pPr>
            <w:r>
              <w:rPr>
                <w:rFonts w:ascii="Times New Roman"/>
                <w:b w:val="false"/>
                <w:i w:val="false"/>
                <w:color w:val="000000"/>
                <w:sz w:val="20"/>
              </w:rPr>
              <w:t>
   5.1.1. Спонсор внедряет и поддерживает системы обеспечения и контроля качества с письменными стандартными операционными процедурами (далее – СОП), которые обеспечивают проведение исследования, сбор, регистрацию и представление данных в соответствии с протоколом, настоящим Стандартом.</w:t>
            </w:r>
          </w:p>
          <w:p>
            <w:pPr>
              <w:spacing w:after="20"/>
              <w:ind w:left="20"/>
              <w:jc w:val="both"/>
            </w:pPr>
            <w:r>
              <w:rPr>
                <w:rFonts w:ascii="Times New Roman"/>
                <w:b w:val="false"/>
                <w:i w:val="false"/>
                <w:color w:val="000000"/>
                <w:sz w:val="20"/>
              </w:rPr>
              <w:t>
   5.1.2. Спонсор обеспечивает получение согласия всех вовлеченных сторон на предоставление прямого доступа во все участвующие в исследовании клинические базы, ко всем первичным данным (документам) и отчетам в целях их мониторинга и аудита спонсором, а также инспекции уполномоченным органом.</w:t>
            </w:r>
          </w:p>
          <w:p>
            <w:pPr>
              <w:spacing w:after="20"/>
              <w:ind w:left="20"/>
              <w:jc w:val="both"/>
            </w:pPr>
            <w:r>
              <w:rPr>
                <w:rFonts w:ascii="Times New Roman"/>
                <w:b w:val="false"/>
                <w:i w:val="false"/>
                <w:color w:val="000000"/>
                <w:sz w:val="20"/>
              </w:rPr>
              <w:t>
   5.1.3. Контроль качества осуществляется на всех этапах работы с данными, чтобы обеспечить их достоверность и правильность обработки.</w:t>
            </w:r>
          </w:p>
          <w:p>
            <w:pPr>
              <w:spacing w:after="20"/>
              <w:ind w:left="20"/>
              <w:jc w:val="both"/>
            </w:pPr>
            <w:r>
              <w:rPr>
                <w:rFonts w:ascii="Times New Roman"/>
                <w:b w:val="false"/>
                <w:i w:val="false"/>
                <w:color w:val="000000"/>
                <w:sz w:val="20"/>
              </w:rPr>
              <w:t>
   5.1.4. Договоры между спонсором и исследователем (медицинской организацией) или любой другой участвующей в исследовании стороной составляются в письменной форме, как часть протокола или в качестве самостоятельных документов.</w:t>
            </w:r>
          </w:p>
          <w:p>
            <w:pPr>
              <w:spacing w:after="20"/>
              <w:ind w:left="20"/>
              <w:jc w:val="both"/>
            </w:pPr>
            <w:r>
              <w:rPr>
                <w:rFonts w:ascii="Times New Roman"/>
                <w:b w:val="false"/>
                <w:i w:val="false"/>
                <w:color w:val="000000"/>
                <w:sz w:val="20"/>
              </w:rPr>
              <w:t>
   5.2. Контрактная исследовательская организация</w:t>
            </w:r>
          </w:p>
          <w:p>
            <w:pPr>
              <w:spacing w:after="20"/>
              <w:ind w:left="20"/>
              <w:jc w:val="both"/>
            </w:pPr>
            <w:r>
              <w:rPr>
                <w:rFonts w:ascii="Times New Roman"/>
                <w:b w:val="false"/>
                <w:i w:val="false"/>
                <w:color w:val="000000"/>
                <w:sz w:val="20"/>
              </w:rPr>
              <w:t>
   5.2.1. При полной или частичной передаче спонсором обязанностей и функций, связанных с проведением исследования, контрактной исследовательской организации, спонсор обеспечивает выполнение контрактно-исследовательской организацией мер по обеспечению и контролю качества клинического исследования.</w:t>
            </w:r>
          </w:p>
          <w:p>
            <w:pPr>
              <w:spacing w:after="20"/>
              <w:ind w:left="20"/>
              <w:jc w:val="both"/>
            </w:pPr>
            <w:r>
              <w:rPr>
                <w:rFonts w:ascii="Times New Roman"/>
                <w:b w:val="false"/>
                <w:i w:val="false"/>
                <w:color w:val="000000"/>
                <w:sz w:val="20"/>
              </w:rPr>
              <w:t>
   5.2.2. Передача контрактной исследовательской организации связанных с исследованием обязанностей и функций документально оформляется.</w:t>
            </w:r>
          </w:p>
          <w:p>
            <w:pPr>
              <w:spacing w:after="20"/>
              <w:ind w:left="20"/>
              <w:jc w:val="both"/>
            </w:pPr>
            <w:r>
              <w:rPr>
                <w:rFonts w:ascii="Times New Roman"/>
                <w:b w:val="false"/>
                <w:i w:val="false"/>
                <w:color w:val="000000"/>
                <w:sz w:val="20"/>
              </w:rPr>
              <w:t>
   5.2.3. Все связанные с исследованием обязанности и функции, не переданные контрактной исследовательской организации, остаются в компетенции спонсора.</w:t>
            </w:r>
          </w:p>
          <w:p>
            <w:pPr>
              <w:spacing w:after="20"/>
              <w:ind w:left="20"/>
              <w:jc w:val="both"/>
            </w:pPr>
            <w:r>
              <w:rPr>
                <w:rFonts w:ascii="Times New Roman"/>
                <w:b w:val="false"/>
                <w:i w:val="false"/>
                <w:color w:val="000000"/>
                <w:sz w:val="20"/>
              </w:rPr>
              <w:t>
   5.2.4. Все требования к спонсору применимы к контрактной исследовательской организации в той мере, в которой контрактная исследовательская организация принимает на себя обязанности и функции спонсора по проведению исследования.</w:t>
            </w:r>
          </w:p>
          <w:p>
            <w:pPr>
              <w:spacing w:after="20"/>
              <w:ind w:left="20"/>
              <w:jc w:val="both"/>
            </w:pPr>
            <w:r>
              <w:rPr>
                <w:rFonts w:ascii="Times New Roman"/>
                <w:b w:val="false"/>
                <w:i w:val="false"/>
                <w:color w:val="000000"/>
                <w:sz w:val="20"/>
              </w:rPr>
              <w:t>
   5.3. Медицинская экспертиза</w:t>
            </w:r>
          </w:p>
          <w:p>
            <w:pPr>
              <w:spacing w:after="20"/>
              <w:ind w:left="20"/>
              <w:jc w:val="both"/>
            </w:pPr>
            <w:r>
              <w:rPr>
                <w:rFonts w:ascii="Times New Roman"/>
                <w:b w:val="false"/>
                <w:i w:val="false"/>
                <w:color w:val="000000"/>
                <w:sz w:val="20"/>
              </w:rPr>
              <w:t>
   Спонсор назначает обладающий соответствующей медицинской квалификацией персонал, который доступен для решения связанных с исследованием вопросов медицинского характера. При необходимости для этой цели привлекаются внешние консультанты.</w:t>
            </w:r>
          </w:p>
          <w:p>
            <w:pPr>
              <w:spacing w:after="20"/>
              <w:ind w:left="20"/>
              <w:jc w:val="both"/>
            </w:pPr>
            <w:r>
              <w:rPr>
                <w:rFonts w:ascii="Times New Roman"/>
                <w:b w:val="false"/>
                <w:i w:val="false"/>
                <w:color w:val="000000"/>
                <w:sz w:val="20"/>
              </w:rPr>
              <w:t>
   5.4. Дизайн исследования</w:t>
            </w:r>
          </w:p>
          <w:p>
            <w:pPr>
              <w:spacing w:after="20"/>
              <w:ind w:left="20"/>
              <w:jc w:val="both"/>
            </w:pPr>
            <w:r>
              <w:rPr>
                <w:rFonts w:ascii="Times New Roman"/>
                <w:b w:val="false"/>
                <w:i w:val="false"/>
                <w:color w:val="000000"/>
                <w:sz w:val="20"/>
              </w:rPr>
              <w:t xml:space="preserve">
   5.4.1. На всех этапах исследования - от разработки протокола, ИРК и плана статистического анализа до подготовки промежуточного и финального отчетов - спонсор привлекает квалифицированных специалистов, в том числе биостатистиков, клинических фармакологов, врачей. </w:t>
            </w:r>
          </w:p>
          <w:p>
            <w:pPr>
              <w:spacing w:after="20"/>
              <w:ind w:left="20"/>
              <w:jc w:val="both"/>
            </w:pPr>
            <w:r>
              <w:rPr>
                <w:rFonts w:ascii="Times New Roman"/>
                <w:b w:val="false"/>
                <w:i w:val="false"/>
                <w:color w:val="000000"/>
                <w:sz w:val="20"/>
              </w:rPr>
              <w:t>
   5.5. Менеджмент исследования, работа с данными и ведение документации</w:t>
            </w:r>
          </w:p>
          <w:p>
            <w:pPr>
              <w:spacing w:after="20"/>
              <w:ind w:left="20"/>
              <w:jc w:val="both"/>
            </w:pPr>
            <w:r>
              <w:rPr>
                <w:rFonts w:ascii="Times New Roman"/>
                <w:b w:val="false"/>
                <w:i w:val="false"/>
                <w:color w:val="000000"/>
                <w:sz w:val="20"/>
              </w:rPr>
              <w:t>
   5.5.1. Спонсор привлекает обладающих соответствующей квалификацией лиц для общего руководства исследованием, работы с данными, верификации данных, проведения статистического анализа и подготовки отчетов об исследовании.</w:t>
            </w:r>
          </w:p>
          <w:p>
            <w:pPr>
              <w:spacing w:after="20"/>
              <w:ind w:left="20"/>
              <w:jc w:val="both"/>
            </w:pPr>
            <w:r>
              <w:rPr>
                <w:rFonts w:ascii="Times New Roman"/>
                <w:b w:val="false"/>
                <w:i w:val="false"/>
                <w:color w:val="000000"/>
                <w:sz w:val="20"/>
              </w:rPr>
              <w:t>
   5.5.2. Спонсор принимает решение об образовании независимой группы по мониторингу данных для рассмотрения хода клинического исследования, включая рассмотрение данных по безопасности и основных параметров эффективности, а также для выработки рекомендаций спонсору о целесообразности продолжения, прекращения исследования или внесения в него изменений. Независимая группа по мониторингу данных имеет письменные операционные процедуры и ведет письменные записи своих заседаний.</w:t>
            </w:r>
          </w:p>
          <w:p>
            <w:pPr>
              <w:spacing w:after="20"/>
              <w:ind w:left="20"/>
              <w:jc w:val="both"/>
            </w:pPr>
            <w:r>
              <w:rPr>
                <w:rFonts w:ascii="Times New Roman"/>
                <w:b w:val="false"/>
                <w:i w:val="false"/>
                <w:color w:val="000000"/>
                <w:sz w:val="20"/>
              </w:rPr>
              <w:t>
   5.5.3. При использовании электронных систем для работы с данными исследования и (или) электронных систем удаленного доступа к данным спонсор:</w:t>
            </w:r>
          </w:p>
          <w:p>
            <w:pPr>
              <w:spacing w:after="20"/>
              <w:ind w:left="20"/>
              <w:jc w:val="both"/>
            </w:pPr>
            <w:r>
              <w:rPr>
                <w:rFonts w:ascii="Times New Roman"/>
                <w:b w:val="false"/>
                <w:i w:val="false"/>
                <w:color w:val="000000"/>
                <w:sz w:val="20"/>
              </w:rPr>
              <w:t>
   1) обеспечивает и документально оформляет соответствие систем электронной обработки данных установленным спонсором требованиям к полноте, точности и надежности данных, а также стабильность достижения требуемого результата – их валидацию;</w:t>
            </w:r>
          </w:p>
          <w:p>
            <w:pPr>
              <w:spacing w:after="20"/>
              <w:ind w:left="20"/>
              <w:jc w:val="both"/>
            </w:pPr>
            <w:r>
              <w:rPr>
                <w:rFonts w:ascii="Times New Roman"/>
                <w:b w:val="false"/>
                <w:i w:val="false"/>
                <w:color w:val="000000"/>
                <w:sz w:val="20"/>
              </w:rPr>
              <w:t>
   2) имеет СОП по использованию этих систем;</w:t>
            </w:r>
          </w:p>
          <w:p>
            <w:pPr>
              <w:spacing w:after="20"/>
              <w:ind w:left="20"/>
              <w:jc w:val="both"/>
            </w:pPr>
            <w:r>
              <w:rPr>
                <w:rFonts w:ascii="Times New Roman"/>
                <w:b w:val="false"/>
                <w:i w:val="false"/>
                <w:color w:val="000000"/>
                <w:sz w:val="20"/>
              </w:rPr>
              <w:t>
   3) обеспечивает работу систем таким образом, чтобы сохранялся документальный след: при изменении данных вносимые изменения документируются, а ранее введенные данные не удаляются;</w:t>
            </w:r>
          </w:p>
          <w:p>
            <w:pPr>
              <w:spacing w:after="20"/>
              <w:ind w:left="20"/>
              <w:jc w:val="both"/>
            </w:pPr>
            <w:r>
              <w:rPr>
                <w:rFonts w:ascii="Times New Roman"/>
                <w:b w:val="false"/>
                <w:i w:val="false"/>
                <w:color w:val="000000"/>
                <w:sz w:val="20"/>
              </w:rPr>
              <w:t>
   4) обеспечивает систему защиты, предотвращающую несанкционированный доступ к данным;</w:t>
            </w:r>
          </w:p>
          <w:p>
            <w:pPr>
              <w:spacing w:after="20"/>
              <w:ind w:left="20"/>
              <w:jc w:val="both"/>
            </w:pPr>
            <w:r>
              <w:rPr>
                <w:rFonts w:ascii="Times New Roman"/>
                <w:b w:val="false"/>
                <w:i w:val="false"/>
                <w:color w:val="000000"/>
                <w:sz w:val="20"/>
              </w:rPr>
              <w:t>
   5) имеет список лиц, наделенных правом вносить изменения в данные;</w:t>
            </w:r>
          </w:p>
          <w:p>
            <w:pPr>
              <w:spacing w:after="20"/>
              <w:ind w:left="20"/>
              <w:jc w:val="both"/>
            </w:pPr>
            <w:r>
              <w:rPr>
                <w:rFonts w:ascii="Times New Roman"/>
                <w:b w:val="false"/>
                <w:i w:val="false"/>
                <w:color w:val="000000"/>
                <w:sz w:val="20"/>
              </w:rPr>
              <w:t>
   6) обеспечивает адекватное резервное копирование данных;</w:t>
            </w:r>
          </w:p>
          <w:p>
            <w:pPr>
              <w:spacing w:after="20"/>
              <w:ind w:left="20"/>
              <w:jc w:val="both"/>
            </w:pPr>
            <w:r>
              <w:rPr>
                <w:rFonts w:ascii="Times New Roman"/>
                <w:b w:val="false"/>
                <w:i w:val="false"/>
                <w:color w:val="000000"/>
                <w:sz w:val="20"/>
              </w:rPr>
              <w:t>
   7) сохраняет маскировку в исследованиях, проводимых слепым методом при вводе и обработке данных.</w:t>
            </w:r>
          </w:p>
          <w:p>
            <w:pPr>
              <w:spacing w:after="20"/>
              <w:ind w:left="20"/>
              <w:jc w:val="both"/>
            </w:pPr>
            <w:r>
              <w:rPr>
                <w:rFonts w:ascii="Times New Roman"/>
                <w:b w:val="false"/>
                <w:i w:val="false"/>
                <w:color w:val="000000"/>
                <w:sz w:val="20"/>
              </w:rPr>
              <w:t>
   5.5.4. Если в процессе обработки данные трансформируются, всегда обеспечивается возможность сравнения исходных данных с обработанными.</w:t>
            </w:r>
          </w:p>
          <w:p>
            <w:pPr>
              <w:spacing w:after="20"/>
              <w:ind w:left="20"/>
              <w:jc w:val="both"/>
            </w:pPr>
            <w:r>
              <w:rPr>
                <w:rFonts w:ascii="Times New Roman"/>
                <w:b w:val="false"/>
                <w:i w:val="false"/>
                <w:color w:val="000000"/>
                <w:sz w:val="20"/>
              </w:rPr>
              <w:t>
   5.5.5. Спонсор использует уникальный идентификационный код субъекта, позволяющий идентифицировать все данные по каждому субъекту.</w:t>
            </w:r>
          </w:p>
          <w:p>
            <w:pPr>
              <w:spacing w:after="20"/>
              <w:ind w:left="20"/>
              <w:jc w:val="both"/>
            </w:pPr>
            <w:r>
              <w:rPr>
                <w:rFonts w:ascii="Times New Roman"/>
                <w:b w:val="false"/>
                <w:i w:val="false"/>
                <w:color w:val="000000"/>
                <w:sz w:val="20"/>
              </w:rPr>
              <w:t xml:space="preserve">
   5.5.6. Спонсор или другие владельцы данных обеспечивают хранение всех относящихся к спонсору основных документов по исследованию. </w:t>
            </w:r>
          </w:p>
          <w:p>
            <w:pPr>
              <w:spacing w:after="20"/>
              <w:ind w:left="20"/>
              <w:jc w:val="both"/>
            </w:pPr>
            <w:r>
              <w:rPr>
                <w:rFonts w:ascii="Times New Roman"/>
                <w:b w:val="false"/>
                <w:i w:val="false"/>
                <w:color w:val="000000"/>
                <w:sz w:val="20"/>
              </w:rPr>
              <w:t>
   5.5.7. Спонсор хранит все относящиеся к нему основные документы по исследованию в соответствии с нормативными требованиями Республики Казахстан и тех стран, в которых препарат зарегистрирован и (или) в которые спонсор собирается подавать заявление на регистрацию.</w:t>
            </w:r>
          </w:p>
          <w:p>
            <w:pPr>
              <w:spacing w:after="20"/>
              <w:ind w:left="20"/>
              <w:jc w:val="both"/>
            </w:pPr>
            <w:r>
              <w:rPr>
                <w:rFonts w:ascii="Times New Roman"/>
                <w:b w:val="false"/>
                <w:i w:val="false"/>
                <w:color w:val="000000"/>
                <w:sz w:val="20"/>
              </w:rPr>
              <w:t>
   5.5.8. Если спонсор прекращает клиническую разработку исследуемого препарата по одному или всем показаниям, путям введения, лекарственным формам, относящиеся к спонсору основные документы по исследованию подлежат хранению не менее двух лет с момента официального прекращения разработки.</w:t>
            </w:r>
          </w:p>
          <w:p>
            <w:pPr>
              <w:spacing w:after="20"/>
              <w:ind w:left="20"/>
              <w:jc w:val="both"/>
            </w:pPr>
            <w:r>
              <w:rPr>
                <w:rFonts w:ascii="Times New Roman"/>
                <w:b w:val="false"/>
                <w:i w:val="false"/>
                <w:color w:val="000000"/>
                <w:sz w:val="20"/>
              </w:rPr>
              <w:t>
   5.5.9. Если спонсор прекращает клиническую разработку исследуемого препарата, он сообщает об этом участвующим в исследовании исследователям (медицинским организациям) и экспертной организации.</w:t>
            </w:r>
          </w:p>
          <w:p>
            <w:pPr>
              <w:spacing w:after="20"/>
              <w:ind w:left="20"/>
              <w:jc w:val="both"/>
            </w:pPr>
            <w:r>
              <w:rPr>
                <w:rFonts w:ascii="Times New Roman"/>
                <w:b w:val="false"/>
                <w:i w:val="false"/>
                <w:color w:val="000000"/>
                <w:sz w:val="20"/>
              </w:rPr>
              <w:t>
   5.5.10. Любая передача прав собственности на данные доводится до сведения экспертной организации.</w:t>
            </w:r>
          </w:p>
          <w:p>
            <w:pPr>
              <w:spacing w:after="20"/>
              <w:ind w:left="20"/>
              <w:jc w:val="both"/>
            </w:pPr>
            <w:r>
              <w:rPr>
                <w:rFonts w:ascii="Times New Roman"/>
                <w:b w:val="false"/>
                <w:i w:val="false"/>
                <w:color w:val="000000"/>
                <w:sz w:val="20"/>
              </w:rPr>
              <w:t>
   5.5.11. Основные документы, относящиеся к спонсору, хранятся не менее двух лет после утверждения последней заявки на регистрацию препарата в Республике Казахстан и (или) другой стране, и до тех пор, пока есть ожидающие решения или рассматриваемые заявки на регистрацию, или по истечении двухлетнего периода после официального прекращения клинической разработки исследуемого препарата. Данные документы хранятся более длительный срок по запросу спонсора.</w:t>
            </w:r>
          </w:p>
          <w:p>
            <w:pPr>
              <w:spacing w:after="20"/>
              <w:ind w:left="20"/>
              <w:jc w:val="both"/>
            </w:pPr>
            <w:r>
              <w:rPr>
                <w:rFonts w:ascii="Times New Roman"/>
                <w:b w:val="false"/>
                <w:i w:val="false"/>
                <w:color w:val="000000"/>
                <w:sz w:val="20"/>
              </w:rPr>
              <w:t>
   5.5.12. Спонсор в письменной форме информирует исследователей (медицинские организации) о необходимости хранения связанных с исследованием записей, а также письменно извещает их о прекращении их хранения.</w:t>
            </w:r>
          </w:p>
          <w:p>
            <w:pPr>
              <w:spacing w:after="20"/>
              <w:ind w:left="20"/>
              <w:jc w:val="both"/>
            </w:pPr>
            <w:r>
              <w:rPr>
                <w:rFonts w:ascii="Times New Roman"/>
                <w:b w:val="false"/>
                <w:i w:val="false"/>
                <w:color w:val="000000"/>
                <w:sz w:val="20"/>
              </w:rPr>
              <w:t>
   5.6. Выбор исследователя</w:t>
            </w:r>
          </w:p>
          <w:p>
            <w:pPr>
              <w:spacing w:after="20"/>
              <w:ind w:left="20"/>
              <w:jc w:val="both"/>
            </w:pPr>
            <w:r>
              <w:rPr>
                <w:rFonts w:ascii="Times New Roman"/>
                <w:b w:val="false"/>
                <w:i w:val="false"/>
                <w:color w:val="000000"/>
                <w:sz w:val="20"/>
              </w:rPr>
              <w:t>
   5.6.1. Спонсор обеспечивает выбор исследователей (медицинских организаций). Каждому исследователю следует иметь квалификацию, опыт и ресурсы, необходимые для проведения исследования, для которого он выбран. Если в многоцентровых исследованиях возникает необходимость в организации координационной группы и (или) выборе координаторов из числа исследователей, то это обеспечивается спонсором.</w:t>
            </w:r>
          </w:p>
          <w:p>
            <w:pPr>
              <w:spacing w:after="20"/>
              <w:ind w:left="20"/>
              <w:jc w:val="both"/>
            </w:pPr>
            <w:r>
              <w:rPr>
                <w:rFonts w:ascii="Times New Roman"/>
                <w:b w:val="false"/>
                <w:i w:val="false"/>
                <w:color w:val="000000"/>
                <w:sz w:val="20"/>
              </w:rPr>
              <w:t>
   5.6.2. До подписания договора с исследователем (медицинской организацией) на проведение исследования спонсор предоставляет исследователю (медицинской организации) протокол и БИ в текущей редакции и дает исследователю (медицинской организации) достаточное время для ознакомления с протоколом и предоставленной информацией.</w:t>
            </w:r>
          </w:p>
          <w:p>
            <w:pPr>
              <w:spacing w:after="20"/>
              <w:ind w:left="20"/>
              <w:jc w:val="both"/>
            </w:pPr>
            <w:r>
              <w:rPr>
                <w:rFonts w:ascii="Times New Roman"/>
                <w:b w:val="false"/>
                <w:i w:val="false"/>
                <w:color w:val="000000"/>
                <w:sz w:val="20"/>
              </w:rPr>
              <w:t>
   5.6.3. Спонсор получает согласие исследователя (медицинской организации):</w:t>
            </w:r>
          </w:p>
          <w:p>
            <w:pPr>
              <w:spacing w:after="20"/>
              <w:ind w:left="20"/>
              <w:jc w:val="both"/>
            </w:pPr>
            <w:r>
              <w:rPr>
                <w:rFonts w:ascii="Times New Roman"/>
                <w:b w:val="false"/>
                <w:i w:val="false"/>
                <w:color w:val="000000"/>
                <w:sz w:val="20"/>
              </w:rPr>
              <w:t>
   1) проводить исследование в соответствии с настоящим Стандартом,а также с протоколом, согласованным со спонсором и разрешенным (одобренным) Комиссией по вопросам этики;</w:t>
            </w:r>
          </w:p>
          <w:p>
            <w:pPr>
              <w:spacing w:after="20"/>
              <w:ind w:left="20"/>
              <w:jc w:val="both"/>
            </w:pPr>
            <w:r>
              <w:rPr>
                <w:rFonts w:ascii="Times New Roman"/>
                <w:b w:val="false"/>
                <w:i w:val="false"/>
                <w:color w:val="000000"/>
                <w:sz w:val="20"/>
              </w:rPr>
              <w:t>
   2) соблюдать процедуры регистрации (представления данных);</w:t>
            </w:r>
          </w:p>
          <w:p>
            <w:pPr>
              <w:spacing w:after="20"/>
              <w:ind w:left="20"/>
              <w:jc w:val="both"/>
            </w:pPr>
            <w:r>
              <w:rPr>
                <w:rFonts w:ascii="Times New Roman"/>
                <w:b w:val="false"/>
                <w:i w:val="false"/>
                <w:color w:val="000000"/>
                <w:sz w:val="20"/>
              </w:rPr>
              <w:t>
   3) на проведение мониторинга, аудита и инспекций;</w:t>
            </w:r>
          </w:p>
          <w:p>
            <w:pPr>
              <w:spacing w:after="20"/>
              <w:ind w:left="20"/>
              <w:jc w:val="both"/>
            </w:pPr>
            <w:r>
              <w:rPr>
                <w:rFonts w:ascii="Times New Roman"/>
                <w:b w:val="false"/>
                <w:i w:val="false"/>
                <w:color w:val="000000"/>
                <w:sz w:val="20"/>
              </w:rPr>
              <w:t>
   4) хранить основные документы, связанные с исследованием, пока спонсор не сообщит исследователю (медицинской организации), что эти документы больше не требуются.</w:t>
            </w:r>
          </w:p>
          <w:p>
            <w:pPr>
              <w:spacing w:after="20"/>
              <w:ind w:left="20"/>
              <w:jc w:val="both"/>
            </w:pPr>
            <w:r>
              <w:rPr>
                <w:rFonts w:ascii="Times New Roman"/>
                <w:b w:val="false"/>
                <w:i w:val="false"/>
                <w:color w:val="000000"/>
                <w:sz w:val="20"/>
              </w:rPr>
              <w:t xml:space="preserve">
   Спонсор и исследователь (медицинская организация) подписывают протокол и договор, подтверждающий это согласие. </w:t>
            </w:r>
          </w:p>
          <w:p>
            <w:pPr>
              <w:spacing w:after="20"/>
              <w:ind w:left="20"/>
              <w:jc w:val="both"/>
            </w:pPr>
            <w:r>
              <w:rPr>
                <w:rFonts w:ascii="Times New Roman"/>
                <w:b w:val="false"/>
                <w:i w:val="false"/>
                <w:color w:val="000000"/>
                <w:sz w:val="20"/>
              </w:rPr>
              <w:t>
   5.7. Распределение функций и обязанностей</w:t>
            </w:r>
          </w:p>
          <w:p>
            <w:pPr>
              <w:spacing w:after="20"/>
              <w:ind w:left="20"/>
              <w:jc w:val="both"/>
            </w:pPr>
            <w:r>
              <w:rPr>
                <w:rFonts w:ascii="Times New Roman"/>
                <w:b w:val="false"/>
                <w:i w:val="false"/>
                <w:color w:val="000000"/>
                <w:sz w:val="20"/>
              </w:rPr>
              <w:t>
   До начала исследования спонсору следует определить, установить и распределить все связанные с исследованием обязанности и функции.</w:t>
            </w:r>
          </w:p>
          <w:p>
            <w:pPr>
              <w:spacing w:after="20"/>
              <w:ind w:left="20"/>
              <w:jc w:val="both"/>
            </w:pPr>
            <w:r>
              <w:rPr>
                <w:rFonts w:ascii="Times New Roman"/>
                <w:b w:val="false"/>
                <w:i w:val="false"/>
                <w:color w:val="000000"/>
                <w:sz w:val="20"/>
              </w:rPr>
              <w:t>
   5.8. Компенсации субъектам и исследователям</w:t>
            </w:r>
          </w:p>
          <w:p>
            <w:pPr>
              <w:spacing w:after="20"/>
              <w:ind w:left="20"/>
              <w:jc w:val="both"/>
            </w:pPr>
            <w:r>
              <w:rPr>
                <w:rFonts w:ascii="Times New Roman"/>
                <w:b w:val="false"/>
                <w:i w:val="false"/>
                <w:color w:val="000000"/>
                <w:sz w:val="20"/>
              </w:rPr>
              <w:t>
   5.8.1. Спонсор обеспечивает страхование или гарантирует юридическую и финансовую поддержку исследователя или медицинской организации в случае предъявления им претензий, связанных с исследованием, за исключением тех претензий, которые возникли в результате умысла или неосторожности со стороны исследователя или членов исследовательского коллектива.</w:t>
            </w:r>
          </w:p>
          <w:p>
            <w:pPr>
              <w:spacing w:after="20"/>
              <w:ind w:left="20"/>
              <w:jc w:val="both"/>
            </w:pPr>
            <w:r>
              <w:rPr>
                <w:rFonts w:ascii="Times New Roman"/>
                <w:b w:val="false"/>
                <w:i w:val="false"/>
                <w:color w:val="000000"/>
                <w:sz w:val="20"/>
              </w:rPr>
              <w:t>
   5.8.2. В случае причинения вреда здоровью субъектов исследования в результате их участия в исследовании, спонсор возмещает расходы на их лечение.</w:t>
            </w:r>
          </w:p>
          <w:p>
            <w:pPr>
              <w:spacing w:after="20"/>
              <w:ind w:left="20"/>
              <w:jc w:val="both"/>
            </w:pPr>
            <w:r>
              <w:rPr>
                <w:rFonts w:ascii="Times New Roman"/>
                <w:b w:val="false"/>
                <w:i w:val="false"/>
                <w:color w:val="000000"/>
                <w:sz w:val="20"/>
              </w:rPr>
              <w:t xml:space="preserve">
   5.8.3. Если субъекты исследования получают компенсацию, обеспечивается соответствие порядка и способа компенсации. </w:t>
            </w:r>
          </w:p>
          <w:p>
            <w:pPr>
              <w:spacing w:after="20"/>
              <w:ind w:left="20"/>
              <w:jc w:val="both"/>
            </w:pPr>
            <w:r>
              <w:rPr>
                <w:rFonts w:ascii="Times New Roman"/>
                <w:b w:val="false"/>
                <w:i w:val="false"/>
                <w:color w:val="000000"/>
                <w:sz w:val="20"/>
              </w:rPr>
              <w:t>
   5.9. Финансирование</w:t>
            </w:r>
          </w:p>
          <w:p>
            <w:pPr>
              <w:spacing w:after="20"/>
              <w:ind w:left="20"/>
              <w:jc w:val="both"/>
            </w:pPr>
            <w:r>
              <w:rPr>
                <w:rFonts w:ascii="Times New Roman"/>
                <w:b w:val="false"/>
                <w:i w:val="false"/>
                <w:color w:val="000000"/>
                <w:sz w:val="20"/>
              </w:rPr>
              <w:t>
   Финансовые аспекты исследования документально оформляются в виде договора между спонсором и исследователем (медицинской организацией).</w:t>
            </w:r>
          </w:p>
          <w:p>
            <w:pPr>
              <w:spacing w:after="20"/>
              <w:ind w:left="20"/>
              <w:jc w:val="both"/>
            </w:pPr>
            <w:r>
              <w:rPr>
                <w:rFonts w:ascii="Times New Roman"/>
                <w:b w:val="false"/>
                <w:i w:val="false"/>
                <w:color w:val="000000"/>
                <w:sz w:val="20"/>
              </w:rPr>
              <w:t>
   5.10. Уведомление уполномоченного органа, экспертной организации или подача заявки в уполномоченный орган, экспертную организацию.</w:t>
            </w:r>
          </w:p>
          <w:p>
            <w:pPr>
              <w:spacing w:after="20"/>
              <w:ind w:left="20"/>
              <w:jc w:val="both"/>
            </w:pPr>
            <w:r>
              <w:rPr>
                <w:rFonts w:ascii="Times New Roman"/>
                <w:b w:val="false"/>
                <w:i w:val="false"/>
                <w:color w:val="000000"/>
                <w:sz w:val="20"/>
              </w:rPr>
              <w:t>
   До начала клинического исследования спонсор (или спонсор совместно с исследователем) подает заявку в экспертную организацию, уполномоченный орган для ее рассмотрения и (или) получения разрешения проводить исследование, в соответствии с действующим законодательством Республики Казахстан. Все уведомления или заявки следует датировать и обеспечить наличие достаточной информации для идентификации протокола.</w:t>
            </w:r>
          </w:p>
          <w:p>
            <w:pPr>
              <w:spacing w:after="20"/>
              <w:ind w:left="20"/>
              <w:jc w:val="both"/>
            </w:pPr>
            <w:r>
              <w:rPr>
                <w:rFonts w:ascii="Times New Roman"/>
                <w:b w:val="false"/>
                <w:i w:val="false"/>
                <w:color w:val="000000"/>
                <w:sz w:val="20"/>
              </w:rPr>
              <w:t>
   Спонсор информирует экспертную организацию о начале клинических исследований в порядке, установленном действующим законодательством Республики Казахстан.</w:t>
            </w:r>
          </w:p>
          <w:p>
            <w:pPr>
              <w:spacing w:after="20"/>
              <w:ind w:left="20"/>
              <w:jc w:val="both"/>
            </w:pPr>
            <w:r>
              <w:rPr>
                <w:rFonts w:ascii="Times New Roman"/>
                <w:b w:val="false"/>
                <w:i w:val="false"/>
                <w:color w:val="000000"/>
                <w:sz w:val="20"/>
              </w:rPr>
              <w:t>
   5.11. Подтверждение рассмотрения Комиссией по вопросам этики</w:t>
            </w:r>
          </w:p>
          <w:p>
            <w:pPr>
              <w:spacing w:after="20"/>
              <w:ind w:left="20"/>
              <w:jc w:val="both"/>
            </w:pPr>
            <w:r>
              <w:rPr>
                <w:rFonts w:ascii="Times New Roman"/>
                <w:b w:val="false"/>
                <w:i w:val="false"/>
                <w:color w:val="000000"/>
                <w:sz w:val="20"/>
              </w:rPr>
              <w:t>
   5.11.1. Спонсор получает от исследователя (медицинской организации):</w:t>
            </w:r>
          </w:p>
          <w:p>
            <w:pPr>
              <w:spacing w:after="20"/>
              <w:ind w:left="20"/>
              <w:jc w:val="both"/>
            </w:pPr>
            <w:r>
              <w:rPr>
                <w:rFonts w:ascii="Times New Roman"/>
                <w:b w:val="false"/>
                <w:i w:val="false"/>
                <w:color w:val="000000"/>
                <w:sz w:val="20"/>
              </w:rPr>
              <w:t>
   1) наименование и адрес Комиссии по вопросам этики исследователя (медицинской организации);</w:t>
            </w:r>
          </w:p>
          <w:p>
            <w:pPr>
              <w:spacing w:after="20"/>
              <w:ind w:left="20"/>
              <w:jc w:val="both"/>
            </w:pPr>
            <w:r>
              <w:rPr>
                <w:rFonts w:ascii="Times New Roman"/>
                <w:b w:val="false"/>
                <w:i w:val="false"/>
                <w:color w:val="000000"/>
                <w:sz w:val="20"/>
              </w:rPr>
              <w:t>
   2) подтверждение от Комиссии по вопросам этики того, что он организован и действует согласно настоящему Стандарту и законодательству Республики Казахстан;</w:t>
            </w:r>
          </w:p>
          <w:p>
            <w:pPr>
              <w:spacing w:after="20"/>
              <w:ind w:left="20"/>
              <w:jc w:val="both"/>
            </w:pPr>
            <w:r>
              <w:rPr>
                <w:rFonts w:ascii="Times New Roman"/>
                <w:b w:val="false"/>
                <w:i w:val="false"/>
                <w:color w:val="000000"/>
                <w:sz w:val="20"/>
              </w:rPr>
              <w:t>
   3) документально оформленное одобрение (заключение) Комиссии по вопросам этики и, по требованию спонсора, копию текущей версии протокола, письменной формы информированного согласия и любых других предоставляемых субъектам письменных материалов, а также описание действий по привлечению субъектов к участию в исследовании, документов, относящихся к предусмотренным для субъектов выплатам и компенсациям, и любых иных документов, которые могли быть затребованы Комиссией по вопросам этики.</w:t>
            </w:r>
          </w:p>
          <w:p>
            <w:pPr>
              <w:spacing w:after="20"/>
              <w:ind w:left="20"/>
              <w:jc w:val="both"/>
            </w:pPr>
            <w:r>
              <w:rPr>
                <w:rFonts w:ascii="Times New Roman"/>
                <w:b w:val="false"/>
                <w:i w:val="false"/>
                <w:color w:val="000000"/>
                <w:sz w:val="20"/>
              </w:rPr>
              <w:t>
   5.11.2. Если Комиссия по вопросам этики обусловливает выдачу своего заключения внесением изменений в какие-либо аспекты исследования, спонсор получает от исследователя (медицинской организации) копии всех измененных документов и дату полученного заключения Комиссии по вопросам этики.</w:t>
            </w:r>
          </w:p>
          <w:p>
            <w:pPr>
              <w:spacing w:after="20"/>
              <w:ind w:left="20"/>
              <w:jc w:val="both"/>
            </w:pPr>
            <w:r>
              <w:rPr>
                <w:rFonts w:ascii="Times New Roman"/>
                <w:b w:val="false"/>
                <w:i w:val="false"/>
                <w:color w:val="000000"/>
                <w:sz w:val="20"/>
              </w:rPr>
              <w:t>
   5.11.3. Спонсор получает от исследователя (медицинской организации) документацию и даты любых повторных заключений Комиссии по вопросам этики, а также решений об отзыве или приостановке ранее выданного заключения.</w:t>
            </w:r>
          </w:p>
          <w:p>
            <w:pPr>
              <w:spacing w:after="20"/>
              <w:ind w:left="20"/>
              <w:jc w:val="both"/>
            </w:pPr>
            <w:r>
              <w:rPr>
                <w:rFonts w:ascii="Times New Roman"/>
                <w:b w:val="false"/>
                <w:i w:val="false"/>
                <w:color w:val="000000"/>
                <w:sz w:val="20"/>
              </w:rPr>
              <w:t>
   5.12. Информация об исследуемых препаратах.</w:t>
            </w:r>
          </w:p>
          <w:p>
            <w:pPr>
              <w:spacing w:after="20"/>
              <w:ind w:left="20"/>
              <w:jc w:val="both"/>
            </w:pPr>
            <w:r>
              <w:rPr>
                <w:rFonts w:ascii="Times New Roman"/>
                <w:b w:val="false"/>
                <w:i w:val="false"/>
                <w:color w:val="000000"/>
                <w:sz w:val="20"/>
              </w:rPr>
              <w:t>
   5.12.1. При планировании исследований спонсору следует располагать достаточным объемом полученных в доклинических и (или) клинических исследованиях данных по безопасности и эффективности, оправдывающих применение на человеке, при соответствующих путях введения и дозах, при соответствующей длительности и в исследуемой популяции.</w:t>
            </w:r>
          </w:p>
          <w:p>
            <w:pPr>
              <w:spacing w:after="20"/>
              <w:ind w:left="20"/>
              <w:jc w:val="both"/>
            </w:pPr>
            <w:r>
              <w:rPr>
                <w:rFonts w:ascii="Times New Roman"/>
                <w:b w:val="false"/>
                <w:i w:val="false"/>
                <w:color w:val="000000"/>
                <w:sz w:val="20"/>
              </w:rPr>
              <w:t>
   5.12.2. Спонсор обеспечивает обновление БИ по мере получения новой существенной информации.</w:t>
            </w:r>
          </w:p>
          <w:p>
            <w:pPr>
              <w:spacing w:after="20"/>
              <w:ind w:left="20"/>
              <w:jc w:val="both"/>
            </w:pPr>
            <w:r>
              <w:rPr>
                <w:rFonts w:ascii="Times New Roman"/>
                <w:b w:val="false"/>
                <w:i w:val="false"/>
                <w:color w:val="000000"/>
                <w:sz w:val="20"/>
              </w:rPr>
              <w:t>
   5.13. Производство, упаковка, маркировка и кодирование исследуемых препаратов</w:t>
            </w:r>
          </w:p>
          <w:p>
            <w:pPr>
              <w:spacing w:after="20"/>
              <w:ind w:left="20"/>
              <w:jc w:val="both"/>
            </w:pPr>
            <w:r>
              <w:rPr>
                <w:rFonts w:ascii="Times New Roman"/>
                <w:b w:val="false"/>
                <w:i w:val="false"/>
                <w:color w:val="000000"/>
                <w:sz w:val="20"/>
              </w:rPr>
              <w:t xml:space="preserve">
   5.13.1. Спонсор обеспечивает, чтобы исследуемые препараты имели характеристики, соответствующие стадии разработки данных препаратов, были произведены в соответствии с применимыми требованиями надлежащей производственной практики и, в соответствующих случаях, закодированы и маркированы таким образом, чтобы обеспечить защиту маскировки. </w:t>
            </w:r>
          </w:p>
          <w:p>
            <w:pPr>
              <w:spacing w:after="20"/>
              <w:ind w:left="20"/>
              <w:jc w:val="both"/>
            </w:pPr>
            <w:r>
              <w:rPr>
                <w:rFonts w:ascii="Times New Roman"/>
                <w:b w:val="false"/>
                <w:i w:val="false"/>
                <w:color w:val="000000"/>
                <w:sz w:val="20"/>
              </w:rPr>
              <w:t>
   5.13.2. Спонсор определяет для исследуемых препаратов температуру хранения, условия хранения, срок хранения, растворители и процедуры для разведения и восстановления, а также, если таковые предусмотрены, устройства для введения препарата. Спонсор информирует об этих требованиях вовлеченные стороны - мониторов, исследователей, провизоров, лиц, ответственных за хранение.</w:t>
            </w:r>
          </w:p>
          <w:p>
            <w:pPr>
              <w:spacing w:after="20"/>
              <w:ind w:left="20"/>
              <w:jc w:val="both"/>
            </w:pPr>
            <w:r>
              <w:rPr>
                <w:rFonts w:ascii="Times New Roman"/>
                <w:b w:val="false"/>
                <w:i w:val="false"/>
                <w:color w:val="000000"/>
                <w:sz w:val="20"/>
              </w:rPr>
              <w:t>
   5.13.3. Исследуемые препараты упаковываются таким образом, чтобы предотвратить их загрязнение и обеспечить их сохранность (пригодность) при транспортировке и хранении.</w:t>
            </w:r>
          </w:p>
          <w:p>
            <w:pPr>
              <w:spacing w:after="20"/>
              <w:ind w:left="20"/>
              <w:jc w:val="both"/>
            </w:pPr>
            <w:r>
              <w:rPr>
                <w:rFonts w:ascii="Times New Roman"/>
                <w:b w:val="false"/>
                <w:i w:val="false"/>
                <w:color w:val="000000"/>
                <w:sz w:val="20"/>
              </w:rPr>
              <w:t>
   5.13.4. Для исследований, в которых используется слепой метод, система кодирования исследуемого препарата включает в себя механизм, позволяющий, в экстренных случаях, быстро идентифицировать препарат, но, в то же время, не допускающий возможности незаметно раскрыть код.</w:t>
            </w:r>
          </w:p>
          <w:p>
            <w:pPr>
              <w:spacing w:after="20"/>
              <w:ind w:left="20"/>
              <w:jc w:val="both"/>
            </w:pPr>
            <w:r>
              <w:rPr>
                <w:rFonts w:ascii="Times New Roman"/>
                <w:b w:val="false"/>
                <w:i w:val="false"/>
                <w:color w:val="000000"/>
                <w:sz w:val="20"/>
              </w:rPr>
              <w:t>
   5.13.5. Если лекарственная форма исследуемого препарата или препарата сравнения на клиническом этапе изучения была существенно изменена, то до использования новой лекарственной формы в клинических исследованиях следует получить результаты любых дополнительных исследований данной лекарственной формы препарата, необходимые для оценки того, способны ли данные изменения существенно повлиять на фармакокинетический профиль препарата.</w:t>
            </w:r>
          </w:p>
          <w:p>
            <w:pPr>
              <w:spacing w:after="20"/>
              <w:ind w:left="20"/>
              <w:jc w:val="both"/>
            </w:pPr>
            <w:r>
              <w:rPr>
                <w:rFonts w:ascii="Times New Roman"/>
                <w:b w:val="false"/>
                <w:i w:val="false"/>
                <w:color w:val="000000"/>
                <w:sz w:val="20"/>
              </w:rPr>
              <w:t>
   5.14. Поставка исследуемых препаратов и правила обращения с ними</w:t>
            </w:r>
          </w:p>
          <w:p>
            <w:pPr>
              <w:spacing w:after="20"/>
              <w:ind w:left="20"/>
              <w:jc w:val="both"/>
            </w:pPr>
            <w:r>
              <w:rPr>
                <w:rFonts w:ascii="Times New Roman"/>
                <w:b w:val="false"/>
                <w:i w:val="false"/>
                <w:color w:val="000000"/>
                <w:sz w:val="20"/>
              </w:rPr>
              <w:t>
   5.14.1. Спонсор обеспечивает поставку исследователю (медицинской организации) исследуемого препарата.</w:t>
            </w:r>
          </w:p>
          <w:p>
            <w:pPr>
              <w:spacing w:after="20"/>
              <w:ind w:left="20"/>
              <w:jc w:val="both"/>
            </w:pPr>
            <w:r>
              <w:rPr>
                <w:rFonts w:ascii="Times New Roman"/>
                <w:b w:val="false"/>
                <w:i w:val="false"/>
                <w:color w:val="000000"/>
                <w:sz w:val="20"/>
              </w:rPr>
              <w:t>
   5.14.2. Спонсор не поставляет исследуемый препарат исследователю (медицинской организации) до тех пор, пока не получит заключение Комиссии по вопросам этики и разрешение уполномоченного органа.</w:t>
            </w:r>
          </w:p>
          <w:p>
            <w:pPr>
              <w:spacing w:after="20"/>
              <w:ind w:left="20"/>
              <w:jc w:val="both"/>
            </w:pPr>
            <w:r>
              <w:rPr>
                <w:rFonts w:ascii="Times New Roman"/>
                <w:b w:val="false"/>
                <w:i w:val="false"/>
                <w:color w:val="000000"/>
                <w:sz w:val="20"/>
              </w:rPr>
              <w:t>
   5.14.3. Письменные процедуры спонсора включают в себя инструкции для исследователя (медицинской организации) по правилам хранения исследуемого препарата и обращения с ним, а также по ведению соответствующей документации. Процедуры описывают безопасное получение исследуемого препарата, обращение с ним, его хранение и выдачу, изъятие неиспользованного исследуемого препарата у субъектов исследования и возврат его спонсору (либо иное распоряжение неиспользованным препаратом, если это санкционировано спонсором).</w:t>
            </w:r>
          </w:p>
          <w:p>
            <w:pPr>
              <w:spacing w:after="20"/>
              <w:ind w:left="20"/>
              <w:jc w:val="both"/>
            </w:pPr>
            <w:r>
              <w:rPr>
                <w:rFonts w:ascii="Times New Roman"/>
                <w:b w:val="false"/>
                <w:i w:val="false"/>
                <w:color w:val="000000"/>
                <w:sz w:val="20"/>
              </w:rPr>
              <w:t>
   5.14.4. Спонсор:</w:t>
            </w:r>
          </w:p>
          <w:p>
            <w:pPr>
              <w:spacing w:after="20"/>
              <w:ind w:left="20"/>
              <w:jc w:val="both"/>
            </w:pPr>
            <w:r>
              <w:rPr>
                <w:rFonts w:ascii="Times New Roman"/>
                <w:b w:val="false"/>
                <w:i w:val="false"/>
                <w:color w:val="000000"/>
                <w:sz w:val="20"/>
              </w:rPr>
              <w:t>
   1) обеспечивает своевременную поставку исследуемых препаратов исследователям;</w:t>
            </w:r>
          </w:p>
          <w:p>
            <w:pPr>
              <w:spacing w:after="20"/>
              <w:ind w:left="20"/>
              <w:jc w:val="both"/>
            </w:pPr>
            <w:r>
              <w:rPr>
                <w:rFonts w:ascii="Times New Roman"/>
                <w:b w:val="false"/>
                <w:i w:val="false"/>
                <w:color w:val="000000"/>
                <w:sz w:val="20"/>
              </w:rPr>
              <w:t>
   2) документирует поставки, получение, выдачу, возврат и уничтожение исследуемых препаратов;</w:t>
            </w:r>
          </w:p>
          <w:p>
            <w:pPr>
              <w:spacing w:after="20"/>
              <w:ind w:left="20"/>
              <w:jc w:val="both"/>
            </w:pPr>
            <w:r>
              <w:rPr>
                <w:rFonts w:ascii="Times New Roman"/>
                <w:b w:val="false"/>
                <w:i w:val="false"/>
                <w:color w:val="000000"/>
                <w:sz w:val="20"/>
              </w:rPr>
              <w:t>
   3) имеет систему возврата исследуемого препарата и документирования подобного изъятия - отзыв бракованного препарата, возврат препарата после окончания исследования или по истечении его срока годности;</w:t>
            </w:r>
          </w:p>
          <w:p>
            <w:pPr>
              <w:spacing w:after="20"/>
              <w:ind w:left="20"/>
              <w:jc w:val="both"/>
            </w:pPr>
            <w:r>
              <w:rPr>
                <w:rFonts w:ascii="Times New Roman"/>
                <w:b w:val="false"/>
                <w:i w:val="false"/>
                <w:color w:val="000000"/>
                <w:sz w:val="20"/>
              </w:rPr>
              <w:t>
   4) имеет систему уничтожения неиспользованных исследуемых препаратов и документирования подобного уничтожения.</w:t>
            </w:r>
          </w:p>
          <w:p>
            <w:pPr>
              <w:spacing w:after="20"/>
              <w:ind w:left="20"/>
              <w:jc w:val="both"/>
            </w:pPr>
            <w:r>
              <w:rPr>
                <w:rFonts w:ascii="Times New Roman"/>
                <w:b w:val="false"/>
                <w:i w:val="false"/>
                <w:color w:val="000000"/>
                <w:sz w:val="20"/>
              </w:rPr>
              <w:t>
   5.14.5. Спонсор:</w:t>
            </w:r>
          </w:p>
          <w:p>
            <w:pPr>
              <w:spacing w:after="20"/>
              <w:ind w:left="20"/>
              <w:jc w:val="both"/>
            </w:pPr>
            <w:r>
              <w:rPr>
                <w:rFonts w:ascii="Times New Roman"/>
                <w:b w:val="false"/>
                <w:i w:val="false"/>
                <w:color w:val="000000"/>
                <w:sz w:val="20"/>
              </w:rPr>
              <w:t>
   1) принимает меры по обеспечению стабильности исследуемых препаратов на протяжении всего периода использования;</w:t>
            </w:r>
          </w:p>
          <w:p>
            <w:pPr>
              <w:spacing w:after="20"/>
              <w:ind w:left="20"/>
              <w:jc w:val="both"/>
            </w:pPr>
            <w:r>
              <w:rPr>
                <w:rFonts w:ascii="Times New Roman"/>
                <w:b w:val="false"/>
                <w:i w:val="false"/>
                <w:color w:val="000000"/>
                <w:sz w:val="20"/>
              </w:rPr>
              <w:t>
   2) имеет достаточное количество используемого в исследованиях исследуемого препарата, чтобы подтвердить его соответствие спецификациям, а также ведет учет анализов и характеристик образцов препарата из партии. В зависимости от стабильности образцы сохраняются либо до окончания анализа данных по исследованию, либо в течение срока, определенного спонсором или инструкцией по медицинскому применению, исходя из того, какой период является более длительным.</w:t>
            </w:r>
          </w:p>
          <w:p>
            <w:pPr>
              <w:spacing w:after="20"/>
              <w:ind w:left="20"/>
              <w:jc w:val="both"/>
            </w:pPr>
            <w:r>
              <w:rPr>
                <w:rFonts w:ascii="Times New Roman"/>
                <w:b w:val="false"/>
                <w:i w:val="false"/>
                <w:color w:val="000000"/>
                <w:sz w:val="20"/>
              </w:rPr>
              <w:t>
   5.15. Доступ к документации по исследованию</w:t>
            </w:r>
          </w:p>
          <w:p>
            <w:pPr>
              <w:spacing w:after="20"/>
              <w:ind w:left="20"/>
              <w:jc w:val="both"/>
            </w:pPr>
            <w:r>
              <w:rPr>
                <w:rFonts w:ascii="Times New Roman"/>
                <w:b w:val="false"/>
                <w:i w:val="false"/>
                <w:color w:val="000000"/>
                <w:sz w:val="20"/>
              </w:rPr>
              <w:t>
   5.15.1. Спонсор предусматривает в протоколе или ином письменном соглашении обязанность исследователя (медицинской организации), обеспечивающую прямой доступ к первичным данным или документации, для целей мониторинга, аудита, экспертизы Комиссии по вопросам этики, а также инспекции со стороны уполномоченного органа.</w:t>
            </w:r>
          </w:p>
          <w:p>
            <w:pPr>
              <w:spacing w:after="20"/>
              <w:ind w:left="20"/>
              <w:jc w:val="both"/>
            </w:pPr>
            <w:r>
              <w:rPr>
                <w:rFonts w:ascii="Times New Roman"/>
                <w:b w:val="false"/>
                <w:i w:val="false"/>
                <w:color w:val="000000"/>
                <w:sz w:val="20"/>
              </w:rPr>
              <w:t>
   5.15.2. Спонсор убеждается в том, что каждый субъект дал письменное согласие на прямой доступ к его оригинальным медицинским записям для целей мониторинга, аудита, экспертизы Комиссии по вопросам этики, а также инспекции со стороны уполномоченного органа.</w:t>
            </w:r>
          </w:p>
          <w:p>
            <w:pPr>
              <w:spacing w:after="20"/>
              <w:ind w:left="20"/>
              <w:jc w:val="both"/>
            </w:pPr>
            <w:r>
              <w:rPr>
                <w:rFonts w:ascii="Times New Roman"/>
                <w:b w:val="false"/>
                <w:i w:val="false"/>
                <w:color w:val="000000"/>
                <w:sz w:val="20"/>
              </w:rPr>
              <w:t>
   5.16. Информация по безопасности</w:t>
            </w:r>
          </w:p>
          <w:p>
            <w:pPr>
              <w:spacing w:after="20"/>
              <w:ind w:left="20"/>
              <w:jc w:val="both"/>
            </w:pPr>
            <w:r>
              <w:rPr>
                <w:rFonts w:ascii="Times New Roman"/>
                <w:b w:val="false"/>
                <w:i w:val="false"/>
                <w:color w:val="000000"/>
                <w:sz w:val="20"/>
              </w:rPr>
              <w:t>
   5.16.1. Спонсор обеспечивает постоянную оценку безопасности исследуемых препаратов.</w:t>
            </w:r>
          </w:p>
          <w:p>
            <w:pPr>
              <w:spacing w:after="20"/>
              <w:ind w:left="20"/>
              <w:jc w:val="both"/>
            </w:pPr>
            <w:r>
              <w:rPr>
                <w:rFonts w:ascii="Times New Roman"/>
                <w:b w:val="false"/>
                <w:i w:val="false"/>
                <w:color w:val="000000"/>
                <w:sz w:val="20"/>
              </w:rPr>
              <w:t>
   5.16.2. Спонсор незамедлительно уведомляет занятых в исследовании исследователей (медицинские организации), а также уполномоченный орган о полученных данных, которые способны неблагоприятно отразиться на безопасности субъектов, повлиять на проведение исследования либо изменить заключение Комиссии по вопросам этики на продолжение исследования.</w:t>
            </w:r>
          </w:p>
          <w:p>
            <w:pPr>
              <w:spacing w:after="20"/>
              <w:ind w:left="20"/>
              <w:jc w:val="both"/>
            </w:pPr>
            <w:r>
              <w:rPr>
                <w:rFonts w:ascii="Times New Roman"/>
                <w:b w:val="false"/>
                <w:i w:val="false"/>
                <w:color w:val="000000"/>
                <w:sz w:val="20"/>
              </w:rPr>
              <w:t>
   5.17. Сообщения о нежелательных реакциях</w:t>
            </w:r>
          </w:p>
          <w:p>
            <w:pPr>
              <w:spacing w:after="20"/>
              <w:ind w:left="20"/>
              <w:jc w:val="both"/>
            </w:pPr>
            <w:r>
              <w:rPr>
                <w:rFonts w:ascii="Times New Roman"/>
                <w:b w:val="false"/>
                <w:i w:val="false"/>
                <w:color w:val="000000"/>
                <w:sz w:val="20"/>
              </w:rPr>
              <w:t>
   5.17.1. Спонсор в кратчайшие сроки сообщает участвующим в исследовании исследователям (медицинским организациям), Комиссии по вопросам этики, а также экспертной организации обо всех нежелательных реакциях, которые одновременно являются серьезными и непредвиденными.</w:t>
            </w:r>
          </w:p>
          <w:p>
            <w:pPr>
              <w:spacing w:after="20"/>
              <w:ind w:left="20"/>
              <w:jc w:val="both"/>
            </w:pPr>
            <w:r>
              <w:rPr>
                <w:rFonts w:ascii="Times New Roman"/>
                <w:b w:val="false"/>
                <w:i w:val="false"/>
                <w:color w:val="000000"/>
                <w:sz w:val="20"/>
              </w:rPr>
              <w:t xml:space="preserve">
   5.17.2. Срочные сообщения осуществляются в соответствии с нормативными требованиями и </w:t>
            </w:r>
            <w:r>
              <w:rPr>
                <w:rFonts w:ascii="Times New Roman"/>
                <w:b w:val="false"/>
                <w:i w:val="false"/>
                <w:color w:val="000000"/>
                <w:sz w:val="20"/>
              </w:rPr>
              <w:t>приложением 1</w:t>
            </w:r>
            <w:r>
              <w:rPr>
                <w:rFonts w:ascii="Times New Roman"/>
                <w:b w:val="false"/>
                <w:i w:val="false"/>
                <w:color w:val="000000"/>
                <w:sz w:val="20"/>
              </w:rPr>
              <w:t xml:space="preserve"> к настоящему Стандарту "Порядок представления информации по безопасности в ходе клинического исследования". </w:t>
            </w:r>
          </w:p>
          <w:p>
            <w:pPr>
              <w:spacing w:after="20"/>
              <w:ind w:left="20"/>
              <w:jc w:val="both"/>
            </w:pPr>
            <w:r>
              <w:rPr>
                <w:rFonts w:ascii="Times New Roman"/>
                <w:b w:val="false"/>
                <w:i w:val="false"/>
                <w:color w:val="000000"/>
                <w:sz w:val="20"/>
              </w:rPr>
              <w:t>
   5.17.3. Спонсор представляет на рассмотрение экспертной организации все новые данные и периодические отчеты по безопасности исследуемого препарата в соответствии нормативными требованиями и приложением 1 к настоящему Стандарту "Порядок представления информации по безопасности в ходе клинического исследования".</w:t>
            </w:r>
          </w:p>
          <w:p>
            <w:pPr>
              <w:spacing w:after="20"/>
              <w:ind w:left="20"/>
              <w:jc w:val="both"/>
            </w:pPr>
            <w:r>
              <w:rPr>
                <w:rFonts w:ascii="Times New Roman"/>
                <w:b w:val="false"/>
                <w:i w:val="false"/>
                <w:color w:val="000000"/>
                <w:sz w:val="20"/>
              </w:rPr>
              <w:t>
   5.18. Мониторинг</w:t>
            </w:r>
          </w:p>
          <w:p>
            <w:pPr>
              <w:spacing w:after="20"/>
              <w:ind w:left="20"/>
              <w:jc w:val="both"/>
            </w:pPr>
            <w:r>
              <w:rPr>
                <w:rFonts w:ascii="Times New Roman"/>
                <w:b w:val="false"/>
                <w:i w:val="false"/>
                <w:color w:val="000000"/>
                <w:sz w:val="20"/>
              </w:rPr>
              <w:t>
   5.18.1. Цель</w:t>
            </w:r>
          </w:p>
          <w:p>
            <w:pPr>
              <w:spacing w:after="20"/>
              <w:ind w:left="20"/>
              <w:jc w:val="both"/>
            </w:pPr>
            <w:r>
              <w:rPr>
                <w:rFonts w:ascii="Times New Roman"/>
                <w:b w:val="false"/>
                <w:i w:val="false"/>
                <w:color w:val="000000"/>
                <w:sz w:val="20"/>
              </w:rPr>
              <w:t>
   Целью мониторинга исследования является проверка обеспечения:</w:t>
            </w:r>
          </w:p>
          <w:p>
            <w:pPr>
              <w:spacing w:after="20"/>
              <w:ind w:left="20"/>
              <w:jc w:val="both"/>
            </w:pPr>
            <w:r>
              <w:rPr>
                <w:rFonts w:ascii="Times New Roman"/>
                <w:b w:val="false"/>
                <w:i w:val="false"/>
                <w:color w:val="000000"/>
                <w:sz w:val="20"/>
              </w:rPr>
              <w:t xml:space="preserve">
   1) защиты прав и благополучия субъектов; </w:t>
            </w:r>
          </w:p>
          <w:p>
            <w:pPr>
              <w:spacing w:after="20"/>
              <w:ind w:left="20"/>
              <w:jc w:val="both"/>
            </w:pPr>
            <w:r>
              <w:rPr>
                <w:rFonts w:ascii="Times New Roman"/>
                <w:b w:val="false"/>
                <w:i w:val="false"/>
                <w:color w:val="000000"/>
                <w:sz w:val="20"/>
              </w:rPr>
              <w:t>
   2) точности, полноты и соответствия первичной документации представленных данных;</w:t>
            </w:r>
          </w:p>
          <w:p>
            <w:pPr>
              <w:spacing w:after="20"/>
              <w:ind w:left="20"/>
              <w:jc w:val="both"/>
            </w:pPr>
            <w:r>
              <w:rPr>
                <w:rFonts w:ascii="Times New Roman"/>
                <w:b w:val="false"/>
                <w:i w:val="false"/>
                <w:color w:val="000000"/>
                <w:sz w:val="20"/>
              </w:rPr>
              <w:t>
   3) проведения исследования в соответствии с утвержденной текущей версией протокола или поправок, настоящим Стандартом.</w:t>
            </w:r>
          </w:p>
          <w:p>
            <w:pPr>
              <w:spacing w:after="20"/>
              <w:ind w:left="20"/>
              <w:jc w:val="both"/>
            </w:pPr>
            <w:r>
              <w:rPr>
                <w:rFonts w:ascii="Times New Roman"/>
                <w:b w:val="false"/>
                <w:i w:val="false"/>
                <w:color w:val="000000"/>
                <w:sz w:val="20"/>
              </w:rPr>
              <w:t>
   5.18.2. Выбор мониторов и их квалификация</w:t>
            </w:r>
          </w:p>
          <w:p>
            <w:pPr>
              <w:spacing w:after="20"/>
              <w:ind w:left="20"/>
              <w:jc w:val="both"/>
            </w:pPr>
            <w:r>
              <w:rPr>
                <w:rFonts w:ascii="Times New Roman"/>
                <w:b w:val="false"/>
                <w:i w:val="false"/>
                <w:color w:val="000000"/>
                <w:sz w:val="20"/>
              </w:rPr>
              <w:t>
   1) мониторы назначаются спонсором;</w:t>
            </w:r>
          </w:p>
          <w:p>
            <w:pPr>
              <w:spacing w:after="20"/>
              <w:ind w:left="20"/>
              <w:jc w:val="both"/>
            </w:pPr>
            <w:r>
              <w:rPr>
                <w:rFonts w:ascii="Times New Roman"/>
                <w:b w:val="false"/>
                <w:i w:val="false"/>
                <w:color w:val="000000"/>
                <w:sz w:val="20"/>
              </w:rPr>
              <w:t>
   2) мониторы имеют соответствующую подготовку, а также обладают научными и (или) клиническими знаниями, необходимыми для проведения надлежащего мониторинга исследования. Квалификация мониторов подтверждается документально;</w:t>
            </w:r>
          </w:p>
          <w:p>
            <w:pPr>
              <w:spacing w:after="20"/>
              <w:ind w:left="20"/>
              <w:jc w:val="both"/>
            </w:pPr>
            <w:r>
              <w:rPr>
                <w:rFonts w:ascii="Times New Roman"/>
                <w:b w:val="false"/>
                <w:i w:val="false"/>
                <w:color w:val="000000"/>
                <w:sz w:val="20"/>
              </w:rPr>
              <w:t>
   3) мониторы детально знакомятся со свойствами исследуемых препаратов, протоколом исследования, письменной формой информированного согласия и другими, предоставляемыми субъектам исследования письменными материалами, стандартными операционными процедурами спонсора, настоящим Стандартом.</w:t>
            </w:r>
          </w:p>
          <w:p>
            <w:pPr>
              <w:spacing w:after="20"/>
              <w:ind w:left="20"/>
              <w:jc w:val="both"/>
            </w:pPr>
            <w:r>
              <w:rPr>
                <w:rFonts w:ascii="Times New Roman"/>
                <w:b w:val="false"/>
                <w:i w:val="false"/>
                <w:color w:val="000000"/>
                <w:sz w:val="20"/>
              </w:rPr>
              <w:t>
   5.18.3. Объем и содержание мониторинга</w:t>
            </w:r>
          </w:p>
          <w:p>
            <w:pPr>
              <w:spacing w:after="20"/>
              <w:ind w:left="20"/>
              <w:jc w:val="both"/>
            </w:pPr>
            <w:r>
              <w:rPr>
                <w:rFonts w:ascii="Times New Roman"/>
                <w:b w:val="false"/>
                <w:i w:val="false"/>
                <w:color w:val="000000"/>
                <w:sz w:val="20"/>
              </w:rPr>
              <w:t>
   Спонсор обеспечивает надлежащий мониторинг исследований. Спонсор определяет необходимый объем и содержание мониторинга, исходя из целей, задач, методологии, сложности, маскировки, объема и оцениваемых параметров исследования. С целью мониторинга осуществляется посещение клинических баз до, во время и после окончания исследования. Однако в исключительных случаях спонсор решает, что возможен мониторинг без визитов в клинические базы в сочетании с такими мероприятиями, как тренинг, проведение совещаний исследователей, предоставление им подробного письменного руководства для обеспечения гарантий надлежащего проведения исследования в соответствии с настоящим Стандартом. Статистически определяемые контрольные выборки служат приемлемым методом для отбора проверяемых данных.</w:t>
            </w:r>
          </w:p>
          <w:p>
            <w:pPr>
              <w:spacing w:after="20"/>
              <w:ind w:left="20"/>
              <w:jc w:val="both"/>
            </w:pPr>
            <w:r>
              <w:rPr>
                <w:rFonts w:ascii="Times New Roman"/>
                <w:b w:val="false"/>
                <w:i w:val="false"/>
                <w:color w:val="000000"/>
                <w:sz w:val="20"/>
              </w:rPr>
              <w:t>
   5.18.4. Обязанности монитора</w:t>
            </w:r>
          </w:p>
          <w:p>
            <w:pPr>
              <w:spacing w:after="20"/>
              <w:ind w:left="20"/>
              <w:jc w:val="both"/>
            </w:pPr>
            <w:r>
              <w:rPr>
                <w:rFonts w:ascii="Times New Roman"/>
                <w:b w:val="false"/>
                <w:i w:val="false"/>
                <w:color w:val="000000"/>
                <w:sz w:val="20"/>
              </w:rPr>
              <w:t>
   Монитор, в соответствии с требованиями спонсора, обеспечивает надлежащее проведение и документальное оформление результатов исследования. С этой целью монитор, с учетом конкретного исследования и клинической базы, выполняет нижеперечисленные действия:</w:t>
            </w:r>
          </w:p>
          <w:p>
            <w:pPr>
              <w:spacing w:after="20"/>
              <w:ind w:left="20"/>
              <w:jc w:val="both"/>
            </w:pPr>
            <w:r>
              <w:rPr>
                <w:rFonts w:ascii="Times New Roman"/>
                <w:b w:val="false"/>
                <w:i w:val="false"/>
                <w:color w:val="000000"/>
                <w:sz w:val="20"/>
              </w:rPr>
              <w:t>
   1) выступает в качестве основного связующего звена между спонсором и исследователем;</w:t>
            </w:r>
          </w:p>
          <w:p>
            <w:pPr>
              <w:spacing w:after="20"/>
              <w:ind w:left="20"/>
              <w:jc w:val="both"/>
            </w:pPr>
            <w:r>
              <w:rPr>
                <w:rFonts w:ascii="Times New Roman"/>
                <w:b w:val="false"/>
                <w:i w:val="false"/>
                <w:color w:val="000000"/>
                <w:sz w:val="20"/>
              </w:rPr>
              <w:t>
   2) убеждается в том, что исследователь обладает должной квалификацией и возможностями для проведения исследования и, что они остаются таковыми во время всего исследования, а также что помещения, отведенные для проведения исследования, включая лаборатории и оборудование, персонал соответствуют требованиям к проведению работ безопасным и должным образом на протяжении всего периода исследования;</w:t>
            </w:r>
          </w:p>
          <w:p>
            <w:pPr>
              <w:spacing w:after="20"/>
              <w:ind w:left="20"/>
              <w:jc w:val="both"/>
            </w:pPr>
            <w:r>
              <w:rPr>
                <w:rFonts w:ascii="Times New Roman"/>
                <w:b w:val="false"/>
                <w:i w:val="false"/>
                <w:color w:val="000000"/>
                <w:sz w:val="20"/>
              </w:rPr>
              <w:t>
   3) в отношении исследуемых препаратов монитор проверяет следующее:</w:t>
            </w:r>
          </w:p>
          <w:p>
            <w:pPr>
              <w:spacing w:after="20"/>
              <w:ind w:left="20"/>
              <w:jc w:val="both"/>
            </w:pPr>
            <w:r>
              <w:rPr>
                <w:rFonts w:ascii="Times New Roman"/>
                <w:b w:val="false"/>
                <w:i w:val="false"/>
                <w:color w:val="000000"/>
                <w:sz w:val="20"/>
              </w:rPr>
              <w:t>
   приемлемость сроков и условий хранения, достаточность количества препарата до конца исследования;</w:t>
            </w:r>
          </w:p>
          <w:p>
            <w:pPr>
              <w:spacing w:after="20"/>
              <w:ind w:left="20"/>
              <w:jc w:val="both"/>
            </w:pPr>
            <w:r>
              <w:rPr>
                <w:rFonts w:ascii="Times New Roman"/>
                <w:b w:val="false"/>
                <w:i w:val="false"/>
                <w:color w:val="000000"/>
                <w:sz w:val="20"/>
              </w:rPr>
              <w:t>
   исследуемые препараты получают только те субъекты, которым он назначен, и в дозах, установленных протоколом;</w:t>
            </w:r>
          </w:p>
          <w:p>
            <w:pPr>
              <w:spacing w:after="20"/>
              <w:ind w:left="20"/>
              <w:jc w:val="both"/>
            </w:pPr>
            <w:r>
              <w:rPr>
                <w:rFonts w:ascii="Times New Roman"/>
                <w:b w:val="false"/>
                <w:i w:val="false"/>
                <w:color w:val="000000"/>
                <w:sz w:val="20"/>
              </w:rPr>
              <w:t>
   предоставление субъектам исследования необходимых инструкций по правильному применению исследуемых препаратов, обращению с ними, их хранению и возврату;</w:t>
            </w:r>
          </w:p>
          <w:p>
            <w:pPr>
              <w:spacing w:after="20"/>
              <w:ind w:left="20"/>
              <w:jc w:val="both"/>
            </w:pPr>
            <w:r>
              <w:rPr>
                <w:rFonts w:ascii="Times New Roman"/>
                <w:b w:val="false"/>
                <w:i w:val="false"/>
                <w:color w:val="000000"/>
                <w:sz w:val="20"/>
              </w:rPr>
              <w:t>
   получение, применение и возврат исследуемых препаратов на клинической базе контролируется и оформляется документально в соответствии с процедурами медицинской организации и (или) спонсора;</w:t>
            </w:r>
          </w:p>
          <w:p>
            <w:pPr>
              <w:spacing w:after="20"/>
              <w:ind w:left="20"/>
              <w:jc w:val="both"/>
            </w:pPr>
            <w:r>
              <w:rPr>
                <w:rFonts w:ascii="Times New Roman"/>
                <w:b w:val="false"/>
                <w:i w:val="false"/>
                <w:color w:val="000000"/>
                <w:sz w:val="20"/>
              </w:rPr>
              <w:t>
   уничтожение неиспользованных исследуемых препаратов на клинической базе осуществляют по согласованию со спонсором;</w:t>
            </w:r>
          </w:p>
          <w:p>
            <w:pPr>
              <w:spacing w:after="20"/>
              <w:ind w:left="20"/>
              <w:jc w:val="both"/>
            </w:pPr>
            <w:r>
              <w:rPr>
                <w:rFonts w:ascii="Times New Roman"/>
                <w:b w:val="false"/>
                <w:i w:val="false"/>
                <w:color w:val="000000"/>
                <w:sz w:val="20"/>
              </w:rPr>
              <w:t>
   4) проверяет соблюдение исследователем утвержденного протокола с внесенными изменениями, если таковые имеются;</w:t>
            </w:r>
          </w:p>
          <w:p>
            <w:pPr>
              <w:spacing w:after="20"/>
              <w:ind w:left="20"/>
              <w:jc w:val="both"/>
            </w:pPr>
            <w:r>
              <w:rPr>
                <w:rFonts w:ascii="Times New Roman"/>
                <w:b w:val="false"/>
                <w:i w:val="false"/>
                <w:color w:val="000000"/>
                <w:sz w:val="20"/>
              </w:rPr>
              <w:t>
   5) проверяет, чтобы письменное информированное согласие каждого субъекта исследования было получено до начала участия в исследовании;</w:t>
            </w:r>
          </w:p>
          <w:p>
            <w:pPr>
              <w:spacing w:after="20"/>
              <w:ind w:left="20"/>
              <w:jc w:val="both"/>
            </w:pPr>
            <w:r>
              <w:rPr>
                <w:rFonts w:ascii="Times New Roman"/>
                <w:b w:val="false"/>
                <w:i w:val="false"/>
                <w:color w:val="000000"/>
                <w:sz w:val="20"/>
              </w:rPr>
              <w:t>
   6) обеспечивает наличие у исследователя текущей редакции БИ, документов и материалов, необходимых для проведения исследования надлежащим образом;</w:t>
            </w:r>
          </w:p>
          <w:p>
            <w:pPr>
              <w:spacing w:after="20"/>
              <w:ind w:left="20"/>
              <w:jc w:val="both"/>
            </w:pPr>
            <w:r>
              <w:rPr>
                <w:rFonts w:ascii="Times New Roman"/>
                <w:b w:val="false"/>
                <w:i w:val="false"/>
                <w:color w:val="000000"/>
                <w:sz w:val="20"/>
              </w:rPr>
              <w:t>
   7) обеспечивает достаточную информированность об исследовании исследователя и его сотрудников, занятых в исследовании;</w:t>
            </w:r>
          </w:p>
          <w:p>
            <w:pPr>
              <w:spacing w:after="20"/>
              <w:ind w:left="20"/>
              <w:jc w:val="both"/>
            </w:pPr>
            <w:r>
              <w:rPr>
                <w:rFonts w:ascii="Times New Roman"/>
                <w:b w:val="false"/>
                <w:i w:val="false"/>
                <w:color w:val="000000"/>
                <w:sz w:val="20"/>
              </w:rPr>
              <w:t>
   8) проверяет, что исследователь и его сотрудники, занятые в исследовании, выполняют связанные с исследованием обязанности в соответствии с протоколом и всеми другими письменными соглашениями между спонсором и исследователем (медицинской организацией) и не передают выполнение своих функций неуполномоченным лицам;</w:t>
            </w:r>
          </w:p>
          <w:p>
            <w:pPr>
              <w:spacing w:after="20"/>
              <w:ind w:left="20"/>
              <w:jc w:val="both"/>
            </w:pPr>
            <w:r>
              <w:rPr>
                <w:rFonts w:ascii="Times New Roman"/>
                <w:b w:val="false"/>
                <w:i w:val="false"/>
                <w:color w:val="000000"/>
                <w:sz w:val="20"/>
              </w:rPr>
              <w:t>
   9) проверяет соблюдение исследователем критериев отбора при включении субъектов исследования;</w:t>
            </w:r>
          </w:p>
          <w:p>
            <w:pPr>
              <w:spacing w:after="20"/>
              <w:ind w:left="20"/>
              <w:jc w:val="both"/>
            </w:pPr>
            <w:r>
              <w:rPr>
                <w:rFonts w:ascii="Times New Roman"/>
                <w:b w:val="false"/>
                <w:i w:val="false"/>
                <w:color w:val="000000"/>
                <w:sz w:val="20"/>
              </w:rPr>
              <w:t>
   10) сообщает спонсору о скорости набора субъектов в исследование;</w:t>
            </w:r>
          </w:p>
          <w:p>
            <w:pPr>
              <w:spacing w:after="20"/>
              <w:ind w:left="20"/>
              <w:jc w:val="both"/>
            </w:pPr>
            <w:r>
              <w:rPr>
                <w:rFonts w:ascii="Times New Roman"/>
                <w:b w:val="false"/>
                <w:i w:val="false"/>
                <w:color w:val="000000"/>
                <w:sz w:val="20"/>
              </w:rPr>
              <w:t>
   11) проверяет правильность, полноту и своевременность регистрации данных в первичных и других, относящихся к исследованию документах, а также порядок их ведения;</w:t>
            </w:r>
          </w:p>
          <w:p>
            <w:pPr>
              <w:spacing w:after="20"/>
              <w:ind w:left="20"/>
              <w:jc w:val="both"/>
            </w:pPr>
            <w:r>
              <w:rPr>
                <w:rFonts w:ascii="Times New Roman"/>
                <w:b w:val="false"/>
                <w:i w:val="false"/>
                <w:color w:val="000000"/>
                <w:sz w:val="20"/>
              </w:rPr>
              <w:t>
   12) проверяет предоставление исследователем требуемых отчетов, уведомлений, запросов и подобных документов, на предмет их правильности, полноты, своевременности, разборчивости, датирования и определения исследования;</w:t>
            </w:r>
          </w:p>
          <w:p>
            <w:pPr>
              <w:spacing w:after="20"/>
              <w:ind w:left="20"/>
              <w:jc w:val="both"/>
            </w:pPr>
            <w:r>
              <w:rPr>
                <w:rFonts w:ascii="Times New Roman"/>
                <w:b w:val="false"/>
                <w:i w:val="false"/>
                <w:color w:val="000000"/>
                <w:sz w:val="20"/>
              </w:rPr>
              <w:t>
   13) проверяет правильность и полноту данных в ИРК, первичных документах и других относящихся к исследованию записях путем сопоставления их между собой. В особенности, монитор проверяет следующее:</w:t>
            </w:r>
          </w:p>
          <w:p>
            <w:pPr>
              <w:spacing w:after="20"/>
              <w:ind w:left="20"/>
              <w:jc w:val="both"/>
            </w:pPr>
            <w:r>
              <w:rPr>
                <w:rFonts w:ascii="Times New Roman"/>
                <w:b w:val="false"/>
                <w:i w:val="false"/>
                <w:color w:val="000000"/>
                <w:sz w:val="20"/>
              </w:rPr>
              <w:t>
   правильность внесения требуемых протоколом данных в ИРК и их соответствие данным в первичной документации;</w:t>
            </w:r>
          </w:p>
          <w:p>
            <w:pPr>
              <w:spacing w:after="20"/>
              <w:ind w:left="20"/>
              <w:jc w:val="both"/>
            </w:pPr>
            <w:r>
              <w:rPr>
                <w:rFonts w:ascii="Times New Roman"/>
                <w:b w:val="false"/>
                <w:i w:val="false"/>
                <w:color w:val="000000"/>
                <w:sz w:val="20"/>
              </w:rPr>
              <w:t>
   любые изменения дозы и (или) терапии документально оформляются для каждого субъекта исследования;</w:t>
            </w:r>
          </w:p>
          <w:p>
            <w:pPr>
              <w:spacing w:after="20"/>
              <w:ind w:left="20"/>
              <w:jc w:val="both"/>
            </w:pPr>
            <w:r>
              <w:rPr>
                <w:rFonts w:ascii="Times New Roman"/>
                <w:b w:val="false"/>
                <w:i w:val="false"/>
                <w:color w:val="000000"/>
                <w:sz w:val="20"/>
              </w:rPr>
              <w:t>
   нежелательные явления, сопутствующее лечение и интеркуррентные заболевания регистрируются в ИРК в соответствии с протоколом;</w:t>
            </w:r>
          </w:p>
          <w:p>
            <w:pPr>
              <w:spacing w:after="20"/>
              <w:ind w:left="20"/>
              <w:jc w:val="both"/>
            </w:pPr>
            <w:r>
              <w:rPr>
                <w:rFonts w:ascii="Times New Roman"/>
                <w:b w:val="false"/>
                <w:i w:val="false"/>
                <w:color w:val="000000"/>
                <w:sz w:val="20"/>
              </w:rPr>
              <w:t>
   пропущенные субъектом визиты, не проведенные анализы и не выполненные обследования, ясно отражены в ИРК как таковые;</w:t>
            </w:r>
          </w:p>
          <w:p>
            <w:pPr>
              <w:spacing w:after="20"/>
              <w:ind w:left="20"/>
              <w:jc w:val="both"/>
            </w:pPr>
            <w:r>
              <w:rPr>
                <w:rFonts w:ascii="Times New Roman"/>
                <w:b w:val="false"/>
                <w:i w:val="false"/>
                <w:color w:val="000000"/>
                <w:sz w:val="20"/>
              </w:rPr>
              <w:t>
   случаи исключения и выбывания субъектов из исследования зарегистрированы и объяснены в ИРК;</w:t>
            </w:r>
          </w:p>
          <w:p>
            <w:pPr>
              <w:spacing w:after="20"/>
              <w:ind w:left="20"/>
              <w:jc w:val="both"/>
            </w:pPr>
            <w:r>
              <w:rPr>
                <w:rFonts w:ascii="Times New Roman"/>
                <w:b w:val="false"/>
                <w:i w:val="false"/>
                <w:color w:val="000000"/>
                <w:sz w:val="20"/>
              </w:rPr>
              <w:t>
   14) сообщает исследователю о любых допущенных в ИРК ошибках, пропусках и неразборчивых записях. Монитор следит за тем, чтобы соответствующие исправления, добавления или вычеркивания были сделаны, датированы, объяснены и подписаны самим исследователем либо членом исследовательского коллектива, уполномоченным на подписание изменений в ИРК за исследователя. Данные полномочия закрепляются документально;</w:t>
            </w:r>
          </w:p>
          <w:p>
            <w:pPr>
              <w:spacing w:after="20"/>
              <w:ind w:left="20"/>
              <w:jc w:val="both"/>
            </w:pPr>
            <w:r>
              <w:rPr>
                <w:rFonts w:ascii="Times New Roman"/>
                <w:b w:val="false"/>
                <w:i w:val="false"/>
                <w:color w:val="000000"/>
                <w:sz w:val="20"/>
              </w:rPr>
              <w:t>
   15) проверяет соблюдение сроков сообщения о нежелательных явлениях, определенных настоящим Стандартом, протоколом, Комиссией по вопросам этики, спонсором;</w:t>
            </w:r>
          </w:p>
          <w:p>
            <w:pPr>
              <w:spacing w:after="20"/>
              <w:ind w:left="20"/>
              <w:jc w:val="both"/>
            </w:pPr>
            <w:r>
              <w:rPr>
                <w:rFonts w:ascii="Times New Roman"/>
                <w:b w:val="false"/>
                <w:i w:val="false"/>
                <w:color w:val="000000"/>
                <w:sz w:val="20"/>
              </w:rPr>
              <w:t>
   16) проверяет ведение исследователем основных документов;</w:t>
            </w:r>
          </w:p>
          <w:p>
            <w:pPr>
              <w:spacing w:after="20"/>
              <w:ind w:left="20"/>
              <w:jc w:val="both"/>
            </w:pPr>
            <w:r>
              <w:rPr>
                <w:rFonts w:ascii="Times New Roman"/>
                <w:b w:val="false"/>
                <w:i w:val="false"/>
                <w:color w:val="000000"/>
                <w:sz w:val="20"/>
              </w:rPr>
              <w:t>
   17) сообщает исследователю об отклонениях от протокола, стандартных операционных процедур, настоящего Стандарта, а также предпринимает необходимые действия с целью предотвратить повторение подобных отклонений.</w:t>
            </w:r>
          </w:p>
          <w:p>
            <w:pPr>
              <w:spacing w:after="20"/>
              <w:ind w:left="20"/>
              <w:jc w:val="both"/>
            </w:pPr>
            <w:r>
              <w:rPr>
                <w:rFonts w:ascii="Times New Roman"/>
                <w:b w:val="false"/>
                <w:i w:val="false"/>
                <w:color w:val="000000"/>
                <w:sz w:val="20"/>
              </w:rPr>
              <w:t>
   5.18.5. Процедуры мониторинга</w:t>
            </w:r>
          </w:p>
          <w:p>
            <w:pPr>
              <w:spacing w:after="20"/>
              <w:ind w:left="20"/>
              <w:jc w:val="both"/>
            </w:pPr>
            <w:r>
              <w:rPr>
                <w:rFonts w:ascii="Times New Roman"/>
                <w:b w:val="false"/>
                <w:i w:val="false"/>
                <w:color w:val="000000"/>
                <w:sz w:val="20"/>
              </w:rPr>
              <w:t>
   Монитор соблюдает письменные стандартные операционные процедуры спонсора, а также процедуры, специально определенные спонсором для мониторинга конкретного исследования.</w:t>
            </w:r>
          </w:p>
          <w:p>
            <w:pPr>
              <w:spacing w:after="20"/>
              <w:ind w:left="20"/>
              <w:jc w:val="both"/>
            </w:pPr>
            <w:r>
              <w:rPr>
                <w:rFonts w:ascii="Times New Roman"/>
                <w:b w:val="false"/>
                <w:i w:val="false"/>
                <w:color w:val="000000"/>
                <w:sz w:val="20"/>
              </w:rPr>
              <w:t>
   5.18.6. Отчет монитора:</w:t>
            </w:r>
          </w:p>
          <w:p>
            <w:pPr>
              <w:spacing w:after="20"/>
              <w:ind w:left="20"/>
              <w:jc w:val="both"/>
            </w:pPr>
            <w:r>
              <w:rPr>
                <w:rFonts w:ascii="Times New Roman"/>
                <w:b w:val="false"/>
                <w:i w:val="false"/>
                <w:color w:val="000000"/>
                <w:sz w:val="20"/>
              </w:rPr>
              <w:t>
   1) после каждого визита клинической базы или связанного с исследованием контакта, монитор представляет спонсору письменный отчет;</w:t>
            </w:r>
          </w:p>
          <w:p>
            <w:pPr>
              <w:spacing w:after="20"/>
              <w:ind w:left="20"/>
              <w:jc w:val="both"/>
            </w:pPr>
            <w:r>
              <w:rPr>
                <w:rFonts w:ascii="Times New Roman"/>
                <w:b w:val="false"/>
                <w:i w:val="false"/>
                <w:color w:val="000000"/>
                <w:sz w:val="20"/>
              </w:rPr>
              <w:t>
   2) отчеты включают дату, наименование клинической базы, имя монитора, имя исследователя или иного лица, с которым состоялся контакт;</w:t>
            </w:r>
          </w:p>
          <w:p>
            <w:pPr>
              <w:spacing w:after="20"/>
              <w:ind w:left="20"/>
              <w:jc w:val="both"/>
            </w:pPr>
            <w:r>
              <w:rPr>
                <w:rFonts w:ascii="Times New Roman"/>
                <w:b w:val="false"/>
                <w:i w:val="false"/>
                <w:color w:val="000000"/>
                <w:sz w:val="20"/>
              </w:rPr>
              <w:t>
   3) отчеты содержат краткое описание объектов проверки, сообщение монитора о значимых  данных или фактах, отклонениях и недостатках, выводы, описание действий, предпринятых либо планируемых и (или) рекомендуемых для обеспечения соблюдения требований протокола и настоящего Стандарта;</w:t>
            </w:r>
          </w:p>
          <w:p>
            <w:pPr>
              <w:spacing w:after="20"/>
              <w:ind w:left="20"/>
              <w:jc w:val="both"/>
            </w:pPr>
            <w:r>
              <w:rPr>
                <w:rFonts w:ascii="Times New Roman"/>
                <w:b w:val="false"/>
                <w:i w:val="false"/>
                <w:color w:val="000000"/>
                <w:sz w:val="20"/>
              </w:rPr>
              <w:t>
   4) проверка спонсором отчета монитора и последующие действия по нему документально оформляются уполномоченным представителем спонсора.</w:t>
            </w:r>
          </w:p>
          <w:p>
            <w:pPr>
              <w:spacing w:after="20"/>
              <w:ind w:left="20"/>
              <w:jc w:val="both"/>
            </w:pPr>
            <w:r>
              <w:rPr>
                <w:rFonts w:ascii="Times New Roman"/>
                <w:b w:val="false"/>
                <w:i w:val="false"/>
                <w:color w:val="000000"/>
                <w:sz w:val="20"/>
              </w:rPr>
              <w:t>
   5.19. Аудит</w:t>
            </w:r>
          </w:p>
          <w:p>
            <w:pPr>
              <w:spacing w:after="20"/>
              <w:ind w:left="20"/>
              <w:jc w:val="both"/>
            </w:pPr>
            <w:r>
              <w:rPr>
                <w:rFonts w:ascii="Times New Roman"/>
                <w:b w:val="false"/>
                <w:i w:val="false"/>
                <w:color w:val="000000"/>
                <w:sz w:val="20"/>
              </w:rPr>
              <w:t>
   5.19.1. Цель</w:t>
            </w:r>
          </w:p>
          <w:p>
            <w:pPr>
              <w:spacing w:after="20"/>
              <w:ind w:left="20"/>
              <w:jc w:val="both"/>
            </w:pPr>
            <w:r>
              <w:rPr>
                <w:rFonts w:ascii="Times New Roman"/>
                <w:b w:val="false"/>
                <w:i w:val="false"/>
                <w:color w:val="000000"/>
                <w:sz w:val="20"/>
              </w:rPr>
              <w:t>
   Целью спонсорского аудита, проводимого отдельно и независимо от установленных функций по мониторингу и контролю качества, является оценка соответствия проводимого исследования протоколу, стандартным операционным процедурам, настоящему Стандарту.</w:t>
            </w:r>
          </w:p>
          <w:p>
            <w:pPr>
              <w:spacing w:after="20"/>
              <w:ind w:left="20"/>
              <w:jc w:val="both"/>
            </w:pPr>
            <w:r>
              <w:rPr>
                <w:rFonts w:ascii="Times New Roman"/>
                <w:b w:val="false"/>
                <w:i w:val="false"/>
                <w:color w:val="000000"/>
                <w:sz w:val="20"/>
              </w:rPr>
              <w:t>
   5.19.2. Выбор и квалификация аудиторов</w:t>
            </w:r>
          </w:p>
          <w:p>
            <w:pPr>
              <w:spacing w:after="20"/>
              <w:ind w:left="20"/>
              <w:jc w:val="both"/>
            </w:pPr>
            <w:r>
              <w:rPr>
                <w:rFonts w:ascii="Times New Roman"/>
                <w:b w:val="false"/>
                <w:i w:val="false"/>
                <w:color w:val="000000"/>
                <w:sz w:val="20"/>
              </w:rPr>
              <w:t>
   1) для проведения аудита спонсор назначает лиц, независимых от клинических исследований.</w:t>
            </w:r>
          </w:p>
          <w:p>
            <w:pPr>
              <w:spacing w:after="20"/>
              <w:ind w:left="20"/>
              <w:jc w:val="both"/>
            </w:pPr>
            <w:r>
              <w:rPr>
                <w:rFonts w:ascii="Times New Roman"/>
                <w:b w:val="false"/>
                <w:i w:val="false"/>
                <w:color w:val="000000"/>
                <w:sz w:val="20"/>
              </w:rPr>
              <w:t>
   2) спонсор удостоверяется в том, что аудиторы обладают достаточной квалификацией, подготовкой и опытом, для проведения аудита надлежащим образом. Квалификация аудитора подтверждается документально.</w:t>
            </w:r>
          </w:p>
          <w:p>
            <w:pPr>
              <w:spacing w:after="20"/>
              <w:ind w:left="20"/>
              <w:jc w:val="both"/>
            </w:pPr>
            <w:r>
              <w:rPr>
                <w:rFonts w:ascii="Times New Roman"/>
                <w:b w:val="false"/>
                <w:i w:val="false"/>
                <w:color w:val="000000"/>
                <w:sz w:val="20"/>
              </w:rPr>
              <w:t>
   5.19.3. Процедуры аудита</w:t>
            </w:r>
          </w:p>
          <w:p>
            <w:pPr>
              <w:spacing w:after="20"/>
              <w:ind w:left="20"/>
              <w:jc w:val="both"/>
            </w:pPr>
            <w:r>
              <w:rPr>
                <w:rFonts w:ascii="Times New Roman"/>
                <w:b w:val="false"/>
                <w:i w:val="false"/>
                <w:color w:val="000000"/>
                <w:sz w:val="20"/>
              </w:rPr>
              <w:t>
   1) Спонсор проверяет, что аудит клинических исследований или программ проводится в соответствии с письменными процедурами спонсора, определяющими объект аудита, методы проведения аудита, частоту аудитов, а также форму и содержание отчетов об аудите.</w:t>
            </w:r>
          </w:p>
          <w:p>
            <w:pPr>
              <w:spacing w:after="20"/>
              <w:ind w:left="20"/>
              <w:jc w:val="both"/>
            </w:pPr>
            <w:r>
              <w:rPr>
                <w:rFonts w:ascii="Times New Roman"/>
                <w:b w:val="false"/>
                <w:i w:val="false"/>
                <w:color w:val="000000"/>
                <w:sz w:val="20"/>
              </w:rPr>
              <w:t>
   2) Разработанный спонсором план аудита и процедуры аудита исследования определяются значимостью данного исследования для подачи заявок в уполномоченный орган, количеством субъектов, участвующих в исследовании, типом и сложностью исследования, степенью риска для субъектов исследования, а также принимаются во внимание любые выявленные проблемы.</w:t>
            </w:r>
          </w:p>
          <w:p>
            <w:pPr>
              <w:spacing w:after="20"/>
              <w:ind w:left="20"/>
              <w:jc w:val="both"/>
            </w:pPr>
            <w:r>
              <w:rPr>
                <w:rFonts w:ascii="Times New Roman"/>
                <w:b w:val="false"/>
                <w:i w:val="false"/>
                <w:color w:val="000000"/>
                <w:sz w:val="20"/>
              </w:rPr>
              <w:t>
   3) Замечания и выводы аудита оформляются документально.</w:t>
            </w:r>
          </w:p>
          <w:p>
            <w:pPr>
              <w:spacing w:after="20"/>
              <w:ind w:left="20"/>
              <w:jc w:val="both"/>
            </w:pPr>
            <w:r>
              <w:rPr>
                <w:rFonts w:ascii="Times New Roman"/>
                <w:b w:val="false"/>
                <w:i w:val="false"/>
                <w:color w:val="000000"/>
                <w:sz w:val="20"/>
              </w:rPr>
              <w:t>
   4) Если имеются свидетельства серьезного несоответствия настоящему Стандарту, или в случае судебных разбирательств, спонсор по требованию уполномоченного органа представляет свидетельство о проведенном аудите.</w:t>
            </w:r>
          </w:p>
          <w:p>
            <w:pPr>
              <w:spacing w:after="20"/>
              <w:ind w:left="20"/>
              <w:jc w:val="both"/>
            </w:pPr>
            <w:r>
              <w:rPr>
                <w:rFonts w:ascii="Times New Roman"/>
                <w:b w:val="false"/>
                <w:i w:val="false"/>
                <w:color w:val="000000"/>
                <w:sz w:val="20"/>
              </w:rPr>
              <w:t>
   5.20. Несоблюдение применимых требований</w:t>
            </w:r>
          </w:p>
          <w:p>
            <w:pPr>
              <w:spacing w:after="20"/>
              <w:ind w:left="20"/>
              <w:jc w:val="both"/>
            </w:pPr>
            <w:r>
              <w:rPr>
                <w:rFonts w:ascii="Times New Roman"/>
                <w:b w:val="false"/>
                <w:i w:val="false"/>
                <w:color w:val="000000"/>
                <w:sz w:val="20"/>
              </w:rPr>
              <w:t>
   5.20.1. Несоблюдение протокола, стандартных операционных процедур, настоящего Стандарта исследователем или медицинской организацией или сотрудником спонсора ведет к безотлагательным действиям спонсора, направленным на обеспечение их соблюдения.</w:t>
            </w:r>
          </w:p>
          <w:p>
            <w:pPr>
              <w:spacing w:after="20"/>
              <w:ind w:left="20"/>
              <w:jc w:val="both"/>
            </w:pPr>
            <w:r>
              <w:rPr>
                <w:rFonts w:ascii="Times New Roman"/>
                <w:b w:val="false"/>
                <w:i w:val="false"/>
                <w:color w:val="000000"/>
                <w:sz w:val="20"/>
              </w:rPr>
              <w:t>
   5.20.2. При обнаружении в ходе мониторинга или аудита серьезных и (или) повторяющихся случаев несоблюдения применимых требований со стороны исследователя или медицинской организации спонсор прекращает участие исследователя или медицинской организации в исследовании. Если участие исследователя или медицинской организации прекращено в результате серьезных и (или) повторяющихся случаев несоблюдения применимых требований, спонсор безотлагательно уведомляет об этом экспертную организацию.</w:t>
            </w:r>
          </w:p>
          <w:p>
            <w:pPr>
              <w:spacing w:after="20"/>
              <w:ind w:left="20"/>
              <w:jc w:val="both"/>
            </w:pPr>
            <w:r>
              <w:rPr>
                <w:rFonts w:ascii="Times New Roman"/>
                <w:b w:val="false"/>
                <w:i w:val="false"/>
                <w:color w:val="000000"/>
                <w:sz w:val="20"/>
              </w:rPr>
              <w:t>
   5.21. Досрочное прекращение или приостановка исследования</w:t>
            </w:r>
          </w:p>
          <w:p>
            <w:pPr>
              <w:spacing w:after="20"/>
              <w:ind w:left="20"/>
              <w:jc w:val="both"/>
            </w:pPr>
            <w:r>
              <w:rPr>
                <w:rFonts w:ascii="Times New Roman"/>
                <w:b w:val="false"/>
                <w:i w:val="false"/>
                <w:color w:val="000000"/>
                <w:sz w:val="20"/>
              </w:rPr>
              <w:t>
   Если исследование досрочно прекращено или приостановлено, спонсор незамедлительно сообщает исследователям или медицинской организации и уполномоченному органу о прекращении или приостановке, а также указывает причины прекращения или приостановки. Комиссия по вопросам этики также немедленно информируется спонсором или исследователем или медицинской организацией, в том числе и о причинах прекращения или приостановки исследования.</w:t>
            </w:r>
          </w:p>
          <w:p>
            <w:pPr>
              <w:spacing w:after="20"/>
              <w:ind w:left="20"/>
              <w:jc w:val="both"/>
            </w:pPr>
            <w:r>
              <w:rPr>
                <w:rFonts w:ascii="Times New Roman"/>
                <w:b w:val="false"/>
                <w:i w:val="false"/>
                <w:color w:val="000000"/>
                <w:sz w:val="20"/>
              </w:rPr>
              <w:t>
   5.22. Отчет о клиническом исследовании</w:t>
            </w:r>
          </w:p>
          <w:p>
            <w:pPr>
              <w:spacing w:after="20"/>
              <w:ind w:left="20"/>
              <w:jc w:val="both"/>
            </w:pPr>
            <w:r>
              <w:rPr>
                <w:rFonts w:ascii="Times New Roman"/>
                <w:b w:val="false"/>
                <w:i w:val="false"/>
                <w:color w:val="000000"/>
                <w:sz w:val="20"/>
              </w:rPr>
              <w:t xml:space="preserve">
   Независимо от того, завершено исследование по протоколу или прекращено досрочно, спонсор обеспечивает составление и представление в экспертную организацию отчетов о клиническом исследовании – полных: в соответствии с </w:t>
            </w:r>
            <w:r>
              <w:rPr>
                <w:rFonts w:ascii="Times New Roman"/>
                <w:b w:val="false"/>
                <w:i w:val="false"/>
                <w:color w:val="000000"/>
                <w:sz w:val="20"/>
              </w:rPr>
              <w:t>приложением 2</w:t>
            </w:r>
            <w:r>
              <w:rPr>
                <w:rFonts w:ascii="Times New Roman"/>
                <w:b w:val="false"/>
                <w:i w:val="false"/>
                <w:color w:val="000000"/>
                <w:sz w:val="20"/>
              </w:rPr>
              <w:t xml:space="preserve"> “Структура и содержание отчета о клиническом исследовании” к настоящему Стандарту или сокращенных: в соответствии с руководством Международной конференции по гармонизации (ICH) "Структура и содержание отчетов о клиническом исследовании".</w:t>
            </w:r>
          </w:p>
          <w:p>
            <w:pPr>
              <w:spacing w:after="20"/>
              <w:ind w:left="20"/>
              <w:jc w:val="both"/>
            </w:pPr>
            <w:r>
              <w:rPr>
                <w:rFonts w:ascii="Times New Roman"/>
                <w:b w:val="false"/>
                <w:i w:val="false"/>
                <w:color w:val="000000"/>
                <w:sz w:val="20"/>
              </w:rPr>
              <w:t>
   5.23. Многоцентровые исследования</w:t>
            </w:r>
          </w:p>
          <w:p>
            <w:pPr>
              <w:spacing w:after="20"/>
              <w:ind w:left="20"/>
              <w:jc w:val="both"/>
            </w:pPr>
            <w:r>
              <w:rPr>
                <w:rFonts w:ascii="Times New Roman"/>
                <w:b w:val="false"/>
                <w:i w:val="false"/>
                <w:color w:val="000000"/>
                <w:sz w:val="20"/>
              </w:rPr>
              <w:t>
   При многоцентровых исследованиях спонсор обеспечивает следующее.</w:t>
            </w:r>
          </w:p>
          <w:p>
            <w:pPr>
              <w:spacing w:after="20"/>
              <w:ind w:left="20"/>
              <w:jc w:val="both"/>
            </w:pPr>
            <w:r>
              <w:rPr>
                <w:rFonts w:ascii="Times New Roman"/>
                <w:b w:val="false"/>
                <w:i w:val="false"/>
                <w:color w:val="000000"/>
                <w:sz w:val="20"/>
              </w:rPr>
              <w:t>
   5.23.1. Исследователи проводят исследование в строгом соответствии с протоколом, согласованным со спонсором и, с уполномоченным органом и разрешенным (одобренным) Комиссией по вопросам этики.</w:t>
            </w:r>
          </w:p>
          <w:p>
            <w:pPr>
              <w:spacing w:after="20"/>
              <w:ind w:left="20"/>
              <w:jc w:val="both"/>
            </w:pPr>
            <w:r>
              <w:rPr>
                <w:rFonts w:ascii="Times New Roman"/>
                <w:b w:val="false"/>
                <w:i w:val="false"/>
                <w:color w:val="000000"/>
                <w:sz w:val="20"/>
              </w:rPr>
              <w:t>
   5.23.2. ИРК разрабатываются для сбора требуемых данных из центров, участвующих в многоцентровом исследовании. Исследователям, которые собирают дополнительные данные, предоставляются дополнительные ИРК, разработанные для сбора дополнительных данных.</w:t>
            </w:r>
          </w:p>
          <w:p>
            <w:pPr>
              <w:spacing w:after="20"/>
              <w:ind w:left="20"/>
              <w:jc w:val="both"/>
            </w:pPr>
            <w:r>
              <w:rPr>
                <w:rFonts w:ascii="Times New Roman"/>
                <w:b w:val="false"/>
                <w:i w:val="false"/>
                <w:color w:val="000000"/>
                <w:sz w:val="20"/>
              </w:rPr>
              <w:t>
   5.23.3. Обязанности исследователей-координаторов и других исследователей, а также медицинских организаций документально закреплены до начала исследования.</w:t>
            </w:r>
          </w:p>
          <w:p>
            <w:pPr>
              <w:spacing w:after="20"/>
              <w:ind w:left="20"/>
              <w:jc w:val="both"/>
            </w:pPr>
            <w:r>
              <w:rPr>
                <w:rFonts w:ascii="Times New Roman"/>
                <w:b w:val="false"/>
                <w:i w:val="false"/>
                <w:color w:val="000000"/>
                <w:sz w:val="20"/>
              </w:rPr>
              <w:t>
   5.23.4. Всем исследователям предоставляются инструкции по соблюдению протокола, единых стандартов оценки клинических и лабораторных данных, а также по заполнению ИРК.</w:t>
            </w:r>
          </w:p>
          <w:p>
            <w:pPr>
              <w:spacing w:after="20"/>
              <w:ind w:left="20"/>
              <w:jc w:val="both"/>
            </w:pPr>
            <w:r>
              <w:rPr>
                <w:rFonts w:ascii="Times New Roman"/>
                <w:b w:val="false"/>
                <w:i w:val="false"/>
                <w:color w:val="000000"/>
                <w:sz w:val="20"/>
              </w:rPr>
              <w:t>
   5.23.5. Обеспечивается связь между исследователями.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Протокол клинического исследования и поправки к протоколу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протокола исследования имеет указанную ниже структуру.  Информация, имеющая отношение только к одному исследовательскому центру (медицинской организации), представляется на отдельных страницах протокола или содержится в отдельном соглашении, а часть приведенной ниже информации содержится в других документах, ссылки на которые имеются в протоколе (в БИ).</w:t>
            </w:r>
          </w:p>
          <w:p>
            <w:pPr>
              <w:spacing w:after="20"/>
              <w:ind w:left="20"/>
              <w:jc w:val="both"/>
            </w:pPr>
            <w:r>
              <w:rPr>
                <w:rFonts w:ascii="Times New Roman"/>
                <w:b w:val="false"/>
                <w:i w:val="false"/>
                <w:color w:val="000000"/>
                <w:sz w:val="20"/>
              </w:rPr>
              <w:t>
   6.1. Общая информация</w:t>
            </w:r>
          </w:p>
          <w:p>
            <w:pPr>
              <w:spacing w:after="20"/>
              <w:ind w:left="20"/>
              <w:jc w:val="both"/>
            </w:pPr>
            <w:r>
              <w:rPr>
                <w:rFonts w:ascii="Times New Roman"/>
                <w:b w:val="false"/>
                <w:i w:val="false"/>
                <w:color w:val="000000"/>
                <w:sz w:val="20"/>
              </w:rPr>
              <w:t>
   6.1.1. Название протокола, идентификационный номер протокола и дата издания. Любая поправка имеет номер поправки и дату.</w:t>
            </w:r>
          </w:p>
          <w:p>
            <w:pPr>
              <w:spacing w:after="20"/>
              <w:ind w:left="20"/>
              <w:jc w:val="both"/>
            </w:pPr>
            <w:r>
              <w:rPr>
                <w:rFonts w:ascii="Times New Roman"/>
                <w:b w:val="false"/>
                <w:i w:val="false"/>
                <w:color w:val="000000"/>
                <w:sz w:val="20"/>
              </w:rPr>
              <w:t>
   6.1.2. Наименование или Фамилия, имя, отчество и адрес спонсора и монитора.</w:t>
            </w:r>
          </w:p>
          <w:p>
            <w:pPr>
              <w:spacing w:after="20"/>
              <w:ind w:left="20"/>
              <w:jc w:val="both"/>
            </w:pPr>
            <w:r>
              <w:rPr>
                <w:rFonts w:ascii="Times New Roman"/>
                <w:b w:val="false"/>
                <w:i w:val="false"/>
                <w:color w:val="000000"/>
                <w:sz w:val="20"/>
              </w:rPr>
              <w:t>
   6.1.3. Фамилия, имя, отчество, должность лиц, уполномоченных от имени спонсора подписывать протокол и поправки к протоколу.</w:t>
            </w:r>
          </w:p>
          <w:p>
            <w:pPr>
              <w:spacing w:after="20"/>
              <w:ind w:left="20"/>
              <w:jc w:val="both"/>
            </w:pPr>
            <w:r>
              <w:rPr>
                <w:rFonts w:ascii="Times New Roman"/>
                <w:b w:val="false"/>
                <w:i w:val="false"/>
                <w:color w:val="000000"/>
                <w:sz w:val="20"/>
              </w:rPr>
              <w:t>
   6.1.4. Фамилия, имя, отчество, должность, адрес и номер телефона, уполномоченного спонсором медицинского эксперта по данному исследованию.</w:t>
            </w:r>
          </w:p>
          <w:p>
            <w:pPr>
              <w:spacing w:after="20"/>
              <w:ind w:left="20"/>
              <w:jc w:val="both"/>
            </w:pPr>
            <w:r>
              <w:rPr>
                <w:rFonts w:ascii="Times New Roman"/>
                <w:b w:val="false"/>
                <w:i w:val="false"/>
                <w:color w:val="000000"/>
                <w:sz w:val="20"/>
              </w:rPr>
              <w:t>
   6.1.5. Фамилия, имя, отчество, должность исследователей, отвечающих за проведение исследования, а также адреса и номера телефонов клинических баз.</w:t>
            </w:r>
          </w:p>
          <w:p>
            <w:pPr>
              <w:spacing w:after="20"/>
              <w:ind w:left="20"/>
              <w:jc w:val="both"/>
            </w:pPr>
            <w:r>
              <w:rPr>
                <w:rFonts w:ascii="Times New Roman"/>
                <w:b w:val="false"/>
                <w:i w:val="false"/>
                <w:color w:val="000000"/>
                <w:sz w:val="20"/>
              </w:rPr>
              <w:t>
   6.1.6. Фамилия, имя, отчество, должность, адрес и номер телефона квалифицированного врача, отвечающего за принятие всех решений медицинского характера на определенной клинической базе, если данное лицо не является исследователем.</w:t>
            </w:r>
          </w:p>
          <w:p>
            <w:pPr>
              <w:spacing w:after="20"/>
              <w:ind w:left="20"/>
              <w:jc w:val="both"/>
            </w:pPr>
            <w:r>
              <w:rPr>
                <w:rFonts w:ascii="Times New Roman"/>
                <w:b w:val="false"/>
                <w:i w:val="false"/>
                <w:color w:val="000000"/>
                <w:sz w:val="20"/>
              </w:rPr>
              <w:t>
   6.1.7. Наименования и адреса клинических лабораторий и других медицинских и (или) технических служб и (или) организаций, вовлеченных в исследование.</w:t>
            </w:r>
          </w:p>
          <w:p>
            <w:pPr>
              <w:spacing w:after="20"/>
              <w:ind w:left="20"/>
              <w:jc w:val="both"/>
            </w:pPr>
            <w:r>
              <w:rPr>
                <w:rFonts w:ascii="Times New Roman"/>
                <w:b w:val="false"/>
                <w:i w:val="false"/>
                <w:color w:val="000000"/>
                <w:sz w:val="20"/>
              </w:rPr>
              <w:t>
   6.2. Обоснование исследования</w:t>
            </w:r>
          </w:p>
          <w:p>
            <w:pPr>
              <w:spacing w:after="20"/>
              <w:ind w:left="20"/>
              <w:jc w:val="both"/>
            </w:pPr>
            <w:r>
              <w:rPr>
                <w:rFonts w:ascii="Times New Roman"/>
                <w:b w:val="false"/>
                <w:i w:val="false"/>
                <w:color w:val="000000"/>
                <w:sz w:val="20"/>
              </w:rPr>
              <w:t>
   6.2.1. Название и описание исследуемых препаратов.</w:t>
            </w:r>
          </w:p>
          <w:p>
            <w:pPr>
              <w:spacing w:after="20"/>
              <w:ind w:left="20"/>
              <w:jc w:val="both"/>
            </w:pPr>
            <w:r>
              <w:rPr>
                <w:rFonts w:ascii="Times New Roman"/>
                <w:b w:val="false"/>
                <w:i w:val="false"/>
                <w:color w:val="000000"/>
                <w:sz w:val="20"/>
              </w:rPr>
              <w:t>
   6.2.2. Сводное изложение потенциально имеющих клиническую значимость результатов доклинических исследований, а также результатов клинических исследований, значимых для данного исследования.</w:t>
            </w:r>
          </w:p>
          <w:p>
            <w:pPr>
              <w:spacing w:after="20"/>
              <w:ind w:left="20"/>
              <w:jc w:val="both"/>
            </w:pPr>
            <w:r>
              <w:rPr>
                <w:rFonts w:ascii="Times New Roman"/>
                <w:b w:val="false"/>
                <w:i w:val="false"/>
                <w:color w:val="000000"/>
                <w:sz w:val="20"/>
              </w:rPr>
              <w:t>
   6.2.3. Краткое описание известных и потенциальных рисков и пользы для субъектов исследования, если таковые имеются.</w:t>
            </w:r>
          </w:p>
          <w:p>
            <w:pPr>
              <w:spacing w:after="20"/>
              <w:ind w:left="20"/>
              <w:jc w:val="both"/>
            </w:pPr>
            <w:r>
              <w:rPr>
                <w:rFonts w:ascii="Times New Roman"/>
                <w:b w:val="false"/>
                <w:i w:val="false"/>
                <w:color w:val="000000"/>
                <w:sz w:val="20"/>
              </w:rPr>
              <w:t>
   6.2.4. Описание и обоснование способа введения, дозировки, режима дозирования и курса лечения.</w:t>
            </w:r>
          </w:p>
          <w:p>
            <w:pPr>
              <w:spacing w:after="20"/>
              <w:ind w:left="20"/>
              <w:jc w:val="both"/>
            </w:pPr>
            <w:r>
              <w:rPr>
                <w:rFonts w:ascii="Times New Roman"/>
                <w:b w:val="false"/>
                <w:i w:val="false"/>
                <w:color w:val="000000"/>
                <w:sz w:val="20"/>
              </w:rPr>
              <w:t>
   6.2.5. Заявление о том, что данное клиническое исследование будет проводиться в соответствии с протоколом, настоящим Стандартом и нормативными требованиями.</w:t>
            </w:r>
          </w:p>
          <w:p>
            <w:pPr>
              <w:spacing w:after="20"/>
              <w:ind w:left="20"/>
              <w:jc w:val="both"/>
            </w:pPr>
            <w:r>
              <w:rPr>
                <w:rFonts w:ascii="Times New Roman"/>
                <w:b w:val="false"/>
                <w:i w:val="false"/>
                <w:color w:val="000000"/>
                <w:sz w:val="20"/>
              </w:rPr>
              <w:t>
   6.2.6. Описание исследуемой популяции.</w:t>
            </w:r>
          </w:p>
          <w:p>
            <w:pPr>
              <w:spacing w:after="20"/>
              <w:ind w:left="20"/>
              <w:jc w:val="both"/>
            </w:pPr>
            <w:r>
              <w:rPr>
                <w:rFonts w:ascii="Times New Roman"/>
                <w:b w:val="false"/>
                <w:i w:val="false"/>
                <w:color w:val="000000"/>
                <w:sz w:val="20"/>
              </w:rPr>
              <w:t>
   6.2.7. Ссылки на литературные источники и данные, существенные для исследования и представляющие собой обоснование данного исследования.</w:t>
            </w:r>
          </w:p>
          <w:p>
            <w:pPr>
              <w:spacing w:after="20"/>
              <w:ind w:left="20"/>
              <w:jc w:val="both"/>
            </w:pPr>
            <w:r>
              <w:rPr>
                <w:rFonts w:ascii="Times New Roman"/>
                <w:b w:val="false"/>
                <w:i w:val="false"/>
                <w:color w:val="000000"/>
                <w:sz w:val="20"/>
              </w:rPr>
              <w:t>
   6.3. Цели и задачи исследования</w:t>
            </w:r>
          </w:p>
          <w:p>
            <w:pPr>
              <w:spacing w:after="20"/>
              <w:ind w:left="20"/>
              <w:jc w:val="both"/>
            </w:pPr>
            <w:r>
              <w:rPr>
                <w:rFonts w:ascii="Times New Roman"/>
                <w:b w:val="false"/>
                <w:i w:val="false"/>
                <w:color w:val="000000"/>
                <w:sz w:val="20"/>
              </w:rPr>
              <w:t>
   Детальное описание целей и задач исследования.</w:t>
            </w:r>
          </w:p>
          <w:p>
            <w:pPr>
              <w:spacing w:after="20"/>
              <w:ind w:left="20"/>
              <w:jc w:val="both"/>
            </w:pPr>
            <w:r>
              <w:rPr>
                <w:rFonts w:ascii="Times New Roman"/>
                <w:b w:val="false"/>
                <w:i w:val="false"/>
                <w:color w:val="000000"/>
                <w:sz w:val="20"/>
              </w:rPr>
              <w:t>
   6.4. Дизайн исследования</w:t>
            </w:r>
          </w:p>
          <w:p>
            <w:pPr>
              <w:spacing w:after="20"/>
              <w:ind w:left="20"/>
              <w:jc w:val="both"/>
            </w:pPr>
            <w:r>
              <w:rPr>
                <w:rFonts w:ascii="Times New Roman"/>
                <w:b w:val="false"/>
                <w:i w:val="false"/>
                <w:color w:val="000000"/>
                <w:sz w:val="20"/>
              </w:rPr>
              <w:t>
   Научная обоснованность исследования и достоверность полученных в исследовании данных существенно зависят от дизайна исследования. Описание дизайна исследования включает в себя:</w:t>
            </w:r>
          </w:p>
          <w:p>
            <w:pPr>
              <w:spacing w:after="20"/>
              <w:ind w:left="20"/>
              <w:jc w:val="both"/>
            </w:pPr>
            <w:r>
              <w:rPr>
                <w:rFonts w:ascii="Times New Roman"/>
                <w:b w:val="false"/>
                <w:i w:val="false"/>
                <w:color w:val="000000"/>
                <w:sz w:val="20"/>
              </w:rPr>
              <w:t>
   6.4.1. Указание основных и дополнительных (при наличии) исследуемых параметров, которые оцениваются в ходе исследования.</w:t>
            </w:r>
          </w:p>
          <w:p>
            <w:pPr>
              <w:spacing w:after="20"/>
              <w:ind w:left="20"/>
              <w:jc w:val="both"/>
            </w:pPr>
            <w:r>
              <w:rPr>
                <w:rFonts w:ascii="Times New Roman"/>
                <w:b w:val="false"/>
                <w:i w:val="false"/>
                <w:color w:val="000000"/>
                <w:sz w:val="20"/>
              </w:rPr>
              <w:t>
   6.4.2. Описание типа (дизайна) проводимого исследования (двойное слепое, плацебо-контролируемое, параллельное) и схематическое изображение дизайна исследования, процедур и этапов исследования.</w:t>
            </w:r>
          </w:p>
          <w:p>
            <w:pPr>
              <w:spacing w:after="20"/>
              <w:ind w:left="20"/>
              <w:jc w:val="both"/>
            </w:pPr>
            <w:r>
              <w:rPr>
                <w:rFonts w:ascii="Times New Roman"/>
                <w:b w:val="false"/>
                <w:i w:val="false"/>
                <w:color w:val="000000"/>
                <w:sz w:val="20"/>
              </w:rPr>
              <w:t>
   6.4.3. Описание мер, направленных на минимизацию (исключение) субъективности, в том числе:</w:t>
            </w:r>
          </w:p>
          <w:p>
            <w:pPr>
              <w:spacing w:after="20"/>
              <w:ind w:left="20"/>
              <w:jc w:val="both"/>
            </w:pPr>
            <w:r>
              <w:rPr>
                <w:rFonts w:ascii="Times New Roman"/>
                <w:b w:val="false"/>
                <w:i w:val="false"/>
                <w:color w:val="000000"/>
                <w:sz w:val="20"/>
              </w:rPr>
              <w:t>
   1) рандомизации;</w:t>
            </w:r>
          </w:p>
          <w:p>
            <w:pPr>
              <w:spacing w:after="20"/>
              <w:ind w:left="20"/>
              <w:jc w:val="both"/>
            </w:pPr>
            <w:r>
              <w:rPr>
                <w:rFonts w:ascii="Times New Roman"/>
                <w:b w:val="false"/>
                <w:i w:val="false"/>
                <w:color w:val="000000"/>
                <w:sz w:val="20"/>
              </w:rPr>
              <w:t>
   2) слепого метода (маскировки).</w:t>
            </w:r>
          </w:p>
          <w:p>
            <w:pPr>
              <w:spacing w:after="20"/>
              <w:ind w:left="20"/>
              <w:jc w:val="both"/>
            </w:pPr>
            <w:r>
              <w:rPr>
                <w:rFonts w:ascii="Times New Roman"/>
                <w:b w:val="false"/>
                <w:i w:val="false"/>
                <w:color w:val="000000"/>
                <w:sz w:val="20"/>
              </w:rPr>
              <w:t>
   6.4.4. Описание используемого в исследовании лечения, дозировки и схемы применения исследуемых препаратов. Также включает в себя описание лекарственной формы, упаковки и маркировки исследуемых препаратов.</w:t>
            </w:r>
          </w:p>
          <w:p>
            <w:pPr>
              <w:spacing w:after="20"/>
              <w:ind w:left="20"/>
              <w:jc w:val="both"/>
            </w:pPr>
            <w:r>
              <w:rPr>
                <w:rFonts w:ascii="Times New Roman"/>
                <w:b w:val="false"/>
                <w:i w:val="false"/>
                <w:color w:val="000000"/>
                <w:sz w:val="20"/>
              </w:rPr>
              <w:t>
   6.4.5. Ожидаемая продолжительность участия субъектов в исследовании, описание последовательности и продолжительности всех периодов исследования, включая период последующего наблюдения, если таковой предусмотрен.</w:t>
            </w:r>
          </w:p>
          <w:p>
            <w:pPr>
              <w:spacing w:after="20"/>
              <w:ind w:left="20"/>
              <w:jc w:val="both"/>
            </w:pPr>
            <w:r>
              <w:rPr>
                <w:rFonts w:ascii="Times New Roman"/>
                <w:b w:val="false"/>
                <w:i w:val="false"/>
                <w:color w:val="000000"/>
                <w:sz w:val="20"/>
              </w:rPr>
              <w:t>
   6.4.6. Описание "правил остановки" или "критериев исключения" для отдельных субъектов, частей исследования или исследования в целом.</w:t>
            </w:r>
          </w:p>
          <w:p>
            <w:pPr>
              <w:spacing w:after="20"/>
              <w:ind w:left="20"/>
              <w:jc w:val="both"/>
            </w:pPr>
            <w:r>
              <w:rPr>
                <w:rFonts w:ascii="Times New Roman"/>
                <w:b w:val="false"/>
                <w:i w:val="false"/>
                <w:color w:val="000000"/>
                <w:sz w:val="20"/>
              </w:rPr>
              <w:t>
   6.4.7. Процедуры учета исследуемых препаратов, включая, при наличии, плацебо и препараты сравнения.</w:t>
            </w:r>
          </w:p>
          <w:p>
            <w:pPr>
              <w:spacing w:after="20"/>
              <w:ind w:left="20"/>
              <w:jc w:val="both"/>
            </w:pPr>
            <w:r>
              <w:rPr>
                <w:rFonts w:ascii="Times New Roman"/>
                <w:b w:val="false"/>
                <w:i w:val="false"/>
                <w:color w:val="000000"/>
                <w:sz w:val="20"/>
              </w:rPr>
              <w:t>
   6.4.8. Хранение рандомизационных кодов лечения и процедуры их раскрытия.</w:t>
            </w:r>
          </w:p>
          <w:p>
            <w:pPr>
              <w:spacing w:after="20"/>
              <w:ind w:left="20"/>
              <w:jc w:val="both"/>
            </w:pPr>
            <w:r>
              <w:rPr>
                <w:rFonts w:ascii="Times New Roman"/>
                <w:b w:val="false"/>
                <w:i w:val="false"/>
                <w:color w:val="000000"/>
                <w:sz w:val="20"/>
              </w:rPr>
              <w:t>
   6.4.9. Перечень данных, регистрируемых непосредственно в ИРК и рассматриваемых в качестве первичных данных.</w:t>
            </w:r>
          </w:p>
          <w:p>
            <w:pPr>
              <w:spacing w:after="20"/>
              <w:ind w:left="20"/>
              <w:jc w:val="both"/>
            </w:pPr>
            <w:r>
              <w:rPr>
                <w:rFonts w:ascii="Times New Roman"/>
                <w:b w:val="false"/>
                <w:i w:val="false"/>
                <w:color w:val="000000"/>
                <w:sz w:val="20"/>
              </w:rPr>
              <w:t>
   6.5. Отбор и исключение субъектов.</w:t>
            </w:r>
          </w:p>
          <w:p>
            <w:pPr>
              <w:spacing w:after="20"/>
              <w:ind w:left="20"/>
              <w:jc w:val="both"/>
            </w:pPr>
            <w:r>
              <w:rPr>
                <w:rFonts w:ascii="Times New Roman"/>
                <w:b w:val="false"/>
                <w:i w:val="false"/>
                <w:color w:val="000000"/>
                <w:sz w:val="20"/>
              </w:rPr>
              <w:t>
   6.5.1. Критерии включения субъектов.</w:t>
            </w:r>
          </w:p>
          <w:p>
            <w:pPr>
              <w:spacing w:after="20"/>
              <w:ind w:left="20"/>
              <w:jc w:val="both"/>
            </w:pPr>
            <w:r>
              <w:rPr>
                <w:rFonts w:ascii="Times New Roman"/>
                <w:b w:val="false"/>
                <w:i w:val="false"/>
                <w:color w:val="000000"/>
                <w:sz w:val="20"/>
              </w:rPr>
              <w:t>
   6.5.2. Критерии исключения субъектов.</w:t>
            </w:r>
          </w:p>
          <w:p>
            <w:pPr>
              <w:spacing w:after="20"/>
              <w:ind w:left="20"/>
              <w:jc w:val="both"/>
            </w:pPr>
            <w:r>
              <w:rPr>
                <w:rFonts w:ascii="Times New Roman"/>
                <w:b w:val="false"/>
                <w:i w:val="false"/>
                <w:color w:val="000000"/>
                <w:sz w:val="20"/>
              </w:rPr>
              <w:t>
   6.5.3. Критерии прекращения участия субъектов в исследовании - прекращение применения исследуемого препарата (исследуемого лечения), а также процедуры, определяющие:</w:t>
            </w:r>
          </w:p>
          <w:p>
            <w:pPr>
              <w:spacing w:after="20"/>
              <w:ind w:left="20"/>
              <w:jc w:val="both"/>
            </w:pPr>
            <w:r>
              <w:rPr>
                <w:rFonts w:ascii="Times New Roman"/>
                <w:b w:val="false"/>
                <w:i w:val="false"/>
                <w:color w:val="000000"/>
                <w:sz w:val="20"/>
              </w:rPr>
              <w:t>
   1) когда и как исключать субъектов из исследования (лечения исследуемым препаратом);</w:t>
            </w:r>
          </w:p>
          <w:p>
            <w:pPr>
              <w:spacing w:after="20"/>
              <w:ind w:left="20"/>
              <w:jc w:val="both"/>
            </w:pPr>
            <w:r>
              <w:rPr>
                <w:rFonts w:ascii="Times New Roman"/>
                <w:b w:val="false"/>
                <w:i w:val="false"/>
                <w:color w:val="000000"/>
                <w:sz w:val="20"/>
              </w:rPr>
              <w:t xml:space="preserve">
   2) Сбор данных по типу и срокам для пациентов, прекративших участие в исследовании; </w:t>
            </w:r>
          </w:p>
          <w:p>
            <w:pPr>
              <w:spacing w:after="20"/>
              <w:ind w:left="20"/>
              <w:jc w:val="both"/>
            </w:pPr>
            <w:r>
              <w:rPr>
                <w:rFonts w:ascii="Times New Roman"/>
                <w:b w:val="false"/>
                <w:i w:val="false"/>
                <w:color w:val="000000"/>
                <w:sz w:val="20"/>
              </w:rPr>
              <w:t>
   3) процедура замены субъектов;</w:t>
            </w:r>
          </w:p>
          <w:p>
            <w:pPr>
              <w:spacing w:after="20"/>
              <w:ind w:left="20"/>
              <w:jc w:val="both"/>
            </w:pPr>
            <w:r>
              <w:rPr>
                <w:rFonts w:ascii="Times New Roman"/>
                <w:b w:val="false"/>
                <w:i w:val="false"/>
                <w:color w:val="000000"/>
                <w:sz w:val="20"/>
              </w:rPr>
              <w:t>
   4) последующее наблюдение за субъектами, исключенными из лечения исследуемым препаратом (исследуемым лечением).</w:t>
            </w:r>
          </w:p>
          <w:p>
            <w:pPr>
              <w:spacing w:after="20"/>
              <w:ind w:left="20"/>
              <w:jc w:val="both"/>
            </w:pPr>
            <w:r>
              <w:rPr>
                <w:rFonts w:ascii="Times New Roman"/>
                <w:b w:val="false"/>
                <w:i w:val="false"/>
                <w:color w:val="000000"/>
                <w:sz w:val="20"/>
              </w:rPr>
              <w:t>
   6.6. Лечение субъектов</w:t>
            </w:r>
          </w:p>
          <w:p>
            <w:pPr>
              <w:spacing w:after="20"/>
              <w:ind w:left="20"/>
              <w:jc w:val="both"/>
            </w:pPr>
            <w:r>
              <w:rPr>
                <w:rFonts w:ascii="Times New Roman"/>
                <w:b w:val="false"/>
                <w:i w:val="false"/>
                <w:color w:val="000000"/>
                <w:sz w:val="20"/>
              </w:rPr>
              <w:t>
   6.6.1. Осуществляемое лечение, включая названия всех препаратов, их дозировки, частота приема, пути или способы введения, а также продолжительность лечения, включая периоды последующего наблюдения для каждой группы субъектов (по группам лечения исследуемым препаратом или группам исследуемого лечения, или группам исследования).</w:t>
            </w:r>
          </w:p>
          <w:p>
            <w:pPr>
              <w:spacing w:after="20"/>
              <w:ind w:left="20"/>
              <w:jc w:val="both"/>
            </w:pPr>
            <w:r>
              <w:rPr>
                <w:rFonts w:ascii="Times New Roman"/>
                <w:b w:val="false"/>
                <w:i w:val="false"/>
                <w:color w:val="000000"/>
                <w:sz w:val="20"/>
              </w:rPr>
              <w:t>
   6.6.2. Лекарственные препараты (виды терапии), применение которых разрешено (включая неотложную терапию) или не разрешено до и (или) во время исследования.</w:t>
            </w:r>
          </w:p>
          <w:p>
            <w:pPr>
              <w:spacing w:after="20"/>
              <w:ind w:left="20"/>
              <w:jc w:val="both"/>
            </w:pPr>
            <w:r>
              <w:rPr>
                <w:rFonts w:ascii="Times New Roman"/>
                <w:b w:val="false"/>
                <w:i w:val="false"/>
                <w:color w:val="000000"/>
                <w:sz w:val="20"/>
              </w:rPr>
              <w:t>
   6.6.3. Методы контроля за соблюдением процедур субъектами.</w:t>
            </w:r>
          </w:p>
          <w:p>
            <w:pPr>
              <w:spacing w:after="20"/>
              <w:ind w:left="20"/>
              <w:jc w:val="both"/>
            </w:pPr>
            <w:r>
              <w:rPr>
                <w:rFonts w:ascii="Times New Roman"/>
                <w:b w:val="false"/>
                <w:i w:val="false"/>
                <w:color w:val="000000"/>
                <w:sz w:val="20"/>
              </w:rPr>
              <w:t>
   6.7. Оценка эффективности</w:t>
            </w:r>
          </w:p>
          <w:p>
            <w:pPr>
              <w:spacing w:after="20"/>
              <w:ind w:left="20"/>
              <w:jc w:val="both"/>
            </w:pPr>
            <w:r>
              <w:rPr>
                <w:rFonts w:ascii="Times New Roman"/>
                <w:b w:val="false"/>
                <w:i w:val="false"/>
                <w:color w:val="000000"/>
                <w:sz w:val="20"/>
              </w:rPr>
              <w:t>
   6.7.1. Перечень параметров эффективности.</w:t>
            </w:r>
          </w:p>
          <w:p>
            <w:pPr>
              <w:spacing w:after="20"/>
              <w:ind w:left="20"/>
              <w:jc w:val="both"/>
            </w:pPr>
            <w:r>
              <w:rPr>
                <w:rFonts w:ascii="Times New Roman"/>
                <w:b w:val="false"/>
                <w:i w:val="false"/>
                <w:color w:val="000000"/>
                <w:sz w:val="20"/>
              </w:rPr>
              <w:t>
   6.7.2. Методы и сроки оценки, регистрации и анализа параметров эффективности.</w:t>
            </w:r>
          </w:p>
          <w:p>
            <w:pPr>
              <w:spacing w:after="20"/>
              <w:ind w:left="20"/>
              <w:jc w:val="both"/>
            </w:pPr>
            <w:r>
              <w:rPr>
                <w:rFonts w:ascii="Times New Roman"/>
                <w:b w:val="false"/>
                <w:i w:val="false"/>
                <w:color w:val="000000"/>
                <w:sz w:val="20"/>
              </w:rPr>
              <w:t>
   6.8. Оценка безопасности</w:t>
            </w:r>
          </w:p>
          <w:p>
            <w:pPr>
              <w:spacing w:after="20"/>
              <w:ind w:left="20"/>
              <w:jc w:val="both"/>
            </w:pPr>
            <w:r>
              <w:rPr>
                <w:rFonts w:ascii="Times New Roman"/>
                <w:b w:val="false"/>
                <w:i w:val="false"/>
                <w:color w:val="000000"/>
                <w:sz w:val="20"/>
              </w:rPr>
              <w:t>
   6.8.1. Перечень параметров безопасности.</w:t>
            </w:r>
          </w:p>
          <w:p>
            <w:pPr>
              <w:spacing w:after="20"/>
              <w:ind w:left="20"/>
              <w:jc w:val="both"/>
            </w:pPr>
            <w:r>
              <w:rPr>
                <w:rFonts w:ascii="Times New Roman"/>
                <w:b w:val="false"/>
                <w:i w:val="false"/>
                <w:color w:val="000000"/>
                <w:sz w:val="20"/>
              </w:rPr>
              <w:t>
   6.8.2. Методы и сроки оценки, регистрации и анализа параметров безопасности.</w:t>
            </w:r>
          </w:p>
          <w:p>
            <w:pPr>
              <w:spacing w:after="20"/>
              <w:ind w:left="20"/>
              <w:jc w:val="both"/>
            </w:pPr>
            <w:r>
              <w:rPr>
                <w:rFonts w:ascii="Times New Roman"/>
                <w:b w:val="false"/>
                <w:i w:val="false"/>
                <w:color w:val="000000"/>
                <w:sz w:val="20"/>
              </w:rPr>
              <w:t>
   6.8.3. Процедуры заключительных отчетов, регистрации и сообщений о нежелательных явлениях и интеркуррентных заболеваниях.</w:t>
            </w:r>
          </w:p>
          <w:p>
            <w:pPr>
              <w:spacing w:after="20"/>
              <w:ind w:left="20"/>
              <w:jc w:val="both"/>
            </w:pPr>
            <w:r>
              <w:rPr>
                <w:rFonts w:ascii="Times New Roman"/>
                <w:b w:val="false"/>
                <w:i w:val="false"/>
                <w:color w:val="000000"/>
                <w:sz w:val="20"/>
              </w:rPr>
              <w:t>
   6.8.4. Метод и продолжительность наблюдения за субъектами после возникновения нежелательных явлений.</w:t>
            </w:r>
          </w:p>
          <w:p>
            <w:pPr>
              <w:spacing w:after="20"/>
              <w:ind w:left="20"/>
              <w:jc w:val="both"/>
            </w:pPr>
            <w:r>
              <w:rPr>
                <w:rFonts w:ascii="Times New Roman"/>
                <w:b w:val="false"/>
                <w:i w:val="false"/>
                <w:color w:val="000000"/>
                <w:sz w:val="20"/>
              </w:rPr>
              <w:t>
   6.9. Статистические аспекты клинического исследования</w:t>
            </w:r>
          </w:p>
          <w:p>
            <w:pPr>
              <w:spacing w:after="20"/>
              <w:ind w:left="20"/>
              <w:jc w:val="both"/>
            </w:pPr>
            <w:r>
              <w:rPr>
                <w:rFonts w:ascii="Times New Roman"/>
                <w:b w:val="false"/>
                <w:i w:val="false"/>
                <w:color w:val="000000"/>
                <w:sz w:val="20"/>
              </w:rPr>
              <w:t>
   6.9.1. Описания статистических методов, которые предполагается использовать, включая сроки каждого планируемого промежуточного анализа.</w:t>
            </w:r>
          </w:p>
          <w:p>
            <w:pPr>
              <w:spacing w:after="20"/>
              <w:ind w:left="20"/>
              <w:jc w:val="both"/>
            </w:pPr>
            <w:r>
              <w:rPr>
                <w:rFonts w:ascii="Times New Roman"/>
                <w:b w:val="false"/>
                <w:i w:val="false"/>
                <w:color w:val="000000"/>
                <w:sz w:val="20"/>
              </w:rPr>
              <w:t>
   6.9.2. Планируемое количество субъектов. В случае многоцентровых исследований определяется планируемое количество субъектов в каждом центре. Обоснование размера выборки, включая пояснения или вычисления для обоснования статистической мощности исследования и клинической обоснованности исследования.</w:t>
            </w:r>
          </w:p>
          <w:p>
            <w:pPr>
              <w:spacing w:after="20"/>
              <w:ind w:left="20"/>
              <w:jc w:val="both"/>
            </w:pPr>
            <w:r>
              <w:rPr>
                <w:rFonts w:ascii="Times New Roman"/>
                <w:b w:val="false"/>
                <w:i w:val="false"/>
                <w:color w:val="000000"/>
                <w:sz w:val="20"/>
              </w:rPr>
              <w:t>
   6.9.3. Применяемый уровень значимости.</w:t>
            </w:r>
          </w:p>
          <w:p>
            <w:pPr>
              <w:spacing w:after="20"/>
              <w:ind w:left="20"/>
              <w:jc w:val="both"/>
            </w:pPr>
            <w:r>
              <w:rPr>
                <w:rFonts w:ascii="Times New Roman"/>
                <w:b w:val="false"/>
                <w:i w:val="false"/>
                <w:color w:val="000000"/>
                <w:sz w:val="20"/>
              </w:rPr>
              <w:t>
   6.9.4. Критерии прекращения исследования.</w:t>
            </w:r>
          </w:p>
          <w:p>
            <w:pPr>
              <w:spacing w:after="20"/>
              <w:ind w:left="20"/>
              <w:jc w:val="both"/>
            </w:pPr>
            <w:r>
              <w:rPr>
                <w:rFonts w:ascii="Times New Roman"/>
                <w:b w:val="false"/>
                <w:i w:val="false"/>
                <w:color w:val="000000"/>
                <w:sz w:val="20"/>
              </w:rPr>
              <w:t>
   6.9.5. Процедуры учета отсутствующих, не подлежащих анализу и фальсифицированных данных.</w:t>
            </w:r>
          </w:p>
          <w:p>
            <w:pPr>
              <w:spacing w:after="20"/>
              <w:ind w:left="20"/>
              <w:jc w:val="both"/>
            </w:pPr>
            <w:r>
              <w:rPr>
                <w:rFonts w:ascii="Times New Roman"/>
                <w:b w:val="false"/>
                <w:i w:val="false"/>
                <w:color w:val="000000"/>
                <w:sz w:val="20"/>
              </w:rPr>
              <w:t>
   6.9.6. Процедуры сообщения о любых отклонениях от первоначального статистического плана (все отклонения от первоначального статистического плана описываются и обосновываются в протоколе и (или) заключительном отчете об исследовании).</w:t>
            </w:r>
          </w:p>
          <w:p>
            <w:pPr>
              <w:spacing w:after="20"/>
              <w:ind w:left="20"/>
              <w:jc w:val="both"/>
            </w:pPr>
            <w:r>
              <w:rPr>
                <w:rFonts w:ascii="Times New Roman"/>
                <w:b w:val="false"/>
                <w:i w:val="false"/>
                <w:color w:val="000000"/>
                <w:sz w:val="20"/>
              </w:rPr>
              <w:t>
   6.9.7. Принцип отбора субъектов для анализа.</w:t>
            </w:r>
          </w:p>
          <w:p>
            <w:pPr>
              <w:spacing w:after="20"/>
              <w:ind w:left="20"/>
              <w:jc w:val="both"/>
            </w:pPr>
            <w:r>
              <w:rPr>
                <w:rFonts w:ascii="Times New Roman"/>
                <w:b w:val="false"/>
                <w:i w:val="false"/>
                <w:color w:val="000000"/>
                <w:sz w:val="20"/>
              </w:rPr>
              <w:t>
   6.10. Прямой доступ к первичным данным (документации)</w:t>
            </w:r>
          </w:p>
          <w:p>
            <w:pPr>
              <w:spacing w:after="20"/>
              <w:ind w:left="20"/>
              <w:jc w:val="both"/>
            </w:pPr>
            <w:r>
              <w:rPr>
                <w:rFonts w:ascii="Times New Roman"/>
                <w:b w:val="false"/>
                <w:i w:val="false"/>
                <w:color w:val="000000"/>
                <w:sz w:val="20"/>
              </w:rPr>
              <w:t>
   Спонсор предусматривает в протоколе или ином письменном соглашении, что исследователь (организация) не препятствует прямому доступу к первичным данным (документации) для проведения, связанных с исследованием, мониторинга, аудита, этической экспертизы, а также инспекции со стороны уполномоченного органа.</w:t>
            </w:r>
          </w:p>
          <w:p>
            <w:pPr>
              <w:spacing w:after="20"/>
              <w:ind w:left="20"/>
              <w:jc w:val="both"/>
            </w:pPr>
            <w:r>
              <w:rPr>
                <w:rFonts w:ascii="Times New Roman"/>
                <w:b w:val="false"/>
                <w:i w:val="false"/>
                <w:color w:val="000000"/>
                <w:sz w:val="20"/>
              </w:rPr>
              <w:t>
   6.11. Контроль качества и обеспечение качества.</w:t>
            </w:r>
          </w:p>
          <w:p>
            <w:pPr>
              <w:spacing w:after="20"/>
              <w:ind w:left="20"/>
              <w:jc w:val="both"/>
            </w:pPr>
            <w:r>
              <w:rPr>
                <w:rFonts w:ascii="Times New Roman"/>
                <w:b w:val="false"/>
                <w:i w:val="false"/>
                <w:color w:val="000000"/>
                <w:sz w:val="20"/>
              </w:rPr>
              <w:t>
   6.12. Этические аспекты</w:t>
            </w:r>
          </w:p>
          <w:p>
            <w:pPr>
              <w:spacing w:after="20"/>
              <w:ind w:left="20"/>
              <w:jc w:val="both"/>
            </w:pPr>
            <w:r>
              <w:rPr>
                <w:rFonts w:ascii="Times New Roman"/>
                <w:b w:val="false"/>
                <w:i w:val="false"/>
                <w:color w:val="000000"/>
                <w:sz w:val="20"/>
              </w:rPr>
              <w:t>
   Описание этических аспектов исследования.</w:t>
            </w:r>
          </w:p>
          <w:p>
            <w:pPr>
              <w:spacing w:after="20"/>
              <w:ind w:left="20"/>
              <w:jc w:val="both"/>
            </w:pPr>
            <w:r>
              <w:rPr>
                <w:rFonts w:ascii="Times New Roman"/>
                <w:b w:val="false"/>
                <w:i w:val="false"/>
                <w:color w:val="000000"/>
                <w:sz w:val="20"/>
              </w:rPr>
              <w:t>
   6.13. Работа с данными и ведение записей.</w:t>
            </w:r>
          </w:p>
          <w:p>
            <w:pPr>
              <w:spacing w:after="20"/>
              <w:ind w:left="20"/>
              <w:jc w:val="both"/>
            </w:pPr>
            <w:r>
              <w:rPr>
                <w:rFonts w:ascii="Times New Roman"/>
                <w:b w:val="false"/>
                <w:i w:val="false"/>
                <w:color w:val="000000"/>
                <w:sz w:val="20"/>
              </w:rPr>
              <w:t>
   6.14. Финансирование и страхование</w:t>
            </w:r>
          </w:p>
          <w:p>
            <w:pPr>
              <w:spacing w:after="20"/>
              <w:ind w:left="20"/>
              <w:jc w:val="both"/>
            </w:pPr>
            <w:r>
              <w:rPr>
                <w:rFonts w:ascii="Times New Roman"/>
                <w:b w:val="false"/>
                <w:i w:val="false"/>
                <w:color w:val="000000"/>
                <w:sz w:val="20"/>
              </w:rPr>
              <w:t>
   Финансирование и страхование, если они не описаны в отдельном договоре.</w:t>
            </w:r>
          </w:p>
          <w:p>
            <w:pPr>
              <w:spacing w:after="20"/>
              <w:ind w:left="20"/>
              <w:jc w:val="both"/>
            </w:pPr>
            <w:r>
              <w:rPr>
                <w:rFonts w:ascii="Times New Roman"/>
                <w:b w:val="false"/>
                <w:i w:val="false"/>
                <w:color w:val="000000"/>
                <w:sz w:val="20"/>
              </w:rPr>
              <w:t>
   6.15. Публикации результатов клинического исследования</w:t>
            </w:r>
          </w:p>
          <w:p>
            <w:pPr>
              <w:spacing w:after="20"/>
              <w:ind w:left="20"/>
              <w:jc w:val="both"/>
            </w:pPr>
            <w:r>
              <w:rPr>
                <w:rFonts w:ascii="Times New Roman"/>
                <w:b w:val="false"/>
                <w:i w:val="false"/>
                <w:color w:val="000000"/>
                <w:sz w:val="20"/>
              </w:rPr>
              <w:t>
   Политика в отношении публикаций, если она не описана в отдельном договоре.</w:t>
            </w:r>
          </w:p>
          <w:p>
            <w:pPr>
              <w:spacing w:after="20"/>
              <w:ind w:left="20"/>
              <w:jc w:val="both"/>
            </w:pPr>
            <w:r>
              <w:rPr>
                <w:rFonts w:ascii="Times New Roman"/>
                <w:b w:val="false"/>
                <w:i w:val="false"/>
                <w:color w:val="000000"/>
                <w:sz w:val="20"/>
              </w:rPr>
              <w:t>
   6.16. Приложения.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Брошюра исследователя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Введение</w:t>
            </w:r>
          </w:p>
          <w:p>
            <w:pPr>
              <w:spacing w:after="20"/>
              <w:ind w:left="20"/>
              <w:jc w:val="both"/>
            </w:pPr>
            <w:r>
              <w:rPr>
                <w:rFonts w:ascii="Times New Roman"/>
                <w:b w:val="false"/>
                <w:i w:val="false"/>
                <w:color w:val="000000"/>
                <w:sz w:val="20"/>
              </w:rPr>
              <w:t>
   БИ представляет собой сводное изложение клинических и доклинических данных по исследуемому препарату, которые имеют значение для его изучения с участием человека в качестве субъекта исследования. Назначением БИ является предоставление исследователям и другим лицам, вовлеченным в проведение исследования, информации, помогающей пониманию и соблюдению многих существенных положений протокола, таких как доза, частота или периодичность доз, способы введения, а также процедуры мониторинга безопасности. БИ также обеспечивает понимание, способствующее клиническому ведению субъектов исследования в течение курса клинического исследования. Информация представляется в краткой, простой, объективной, взвешенной и лишенной рекламного характера форме, позволяющей клиницисту или потенциальному исследователю понять ее и сформулировать свою собственную объективную оценку целесообразности предлагаемого исследования, исходя из соотношения риска и пользы. По этой причине в составлении БИ принимает участие медицинский эксперт, однако содержание БИ одобряется специалистами тех областей, где были получены описываемые данные.</w:t>
            </w:r>
          </w:p>
          <w:p>
            <w:pPr>
              <w:spacing w:after="20"/>
              <w:ind w:left="20"/>
              <w:jc w:val="both"/>
            </w:pPr>
            <w:r>
              <w:rPr>
                <w:rFonts w:ascii="Times New Roman"/>
                <w:b w:val="false"/>
                <w:i w:val="false"/>
                <w:color w:val="000000"/>
                <w:sz w:val="20"/>
              </w:rPr>
              <w:t>
   Настоящий Стандарт определяет минимальный объем информации, которая включается в БИ, и дает рекомендации по структуре изложения данной информации. Предполагается, что характер и объем доступной информации изменяется в зависимости от стадии разработки исследуемого препарата. Если исследуемый препарат находится на рынке и большинству практикующих врачей хорошо известны его фармакологические свойства, БИ составляется менее подробно. С разрешения экспертной организации, вместо БИ могут быть использованы материалы, содержащие основную информацию о препарате, листок-вкладыш или информация на этикетке при условии, что альтернативный вариант содержит актуальную, всестороннюю и подробную информацию обо всех характеристиках исследуемого препарата, которые могут быть важны для исследователя. Если находящийся в свободной продаже лекарственный препарат исследуется на предмет нового применения (по новому показанию), БИ составляется с учетом нового применения. БИ следует пересматривать и исправлять не реже одного раза в год и дополнять в соответствии со стандартными процедурами спонсора. БИ пересматривается чаще в зависимости от стадии разработки препарата и по мере поступления новой значимой информации. Однако в соответствии с надлежащей клинической практикой, если появляется новая важная информация, ее сообщают исследователям и Комиссии по вопросам этики и (или) уполномоченному органу до ее включения в новую редакцию БИ.</w:t>
            </w:r>
          </w:p>
          <w:p>
            <w:pPr>
              <w:spacing w:after="20"/>
              <w:ind w:left="20"/>
              <w:jc w:val="both"/>
            </w:pPr>
            <w:r>
              <w:rPr>
                <w:rFonts w:ascii="Times New Roman"/>
                <w:b w:val="false"/>
                <w:i w:val="false"/>
                <w:color w:val="000000"/>
                <w:sz w:val="20"/>
              </w:rPr>
              <w:t>
   Спонсор обеспечивает предоставление исследователям актуальной редакции БИ, а исследователи отвечают за предоставление актуальной редакции БИ соответствующей Комиссии по вопросам этики.</w:t>
            </w:r>
          </w:p>
          <w:p>
            <w:pPr>
              <w:spacing w:after="20"/>
              <w:ind w:left="20"/>
              <w:jc w:val="both"/>
            </w:pPr>
            <w:r>
              <w:rPr>
                <w:rFonts w:ascii="Times New Roman"/>
                <w:b w:val="false"/>
                <w:i w:val="false"/>
                <w:color w:val="000000"/>
                <w:sz w:val="20"/>
              </w:rPr>
              <w:t>
   Если спонсором исследования является исследователь, он рассматривает возможность получения БИ от изготовителя препарата. Если исследуемый препарат предоставляется самим спонсором-исследователем, он доводит необходимую информацию до сведения занятого в исследовании персонала. В тех случаях, когда составление традиционной БИ неосуществимо, в качестве альтернативы спонсор-исследователь включает в протокол исследования раздел, включающий подробно изложенные данные, содержащие минимальный объем текущей информации, предусматриваемой настоящим Стандартом.</w:t>
            </w:r>
          </w:p>
          <w:p>
            <w:pPr>
              <w:spacing w:after="20"/>
              <w:ind w:left="20"/>
              <w:jc w:val="both"/>
            </w:pPr>
            <w:r>
              <w:rPr>
                <w:rFonts w:ascii="Times New Roman"/>
                <w:b w:val="false"/>
                <w:i w:val="false"/>
                <w:color w:val="000000"/>
                <w:sz w:val="20"/>
              </w:rPr>
              <w:t>
   7.2. Общие положения</w:t>
            </w:r>
          </w:p>
          <w:p>
            <w:pPr>
              <w:spacing w:after="20"/>
              <w:ind w:left="20"/>
              <w:jc w:val="both"/>
            </w:pPr>
            <w:r>
              <w:rPr>
                <w:rFonts w:ascii="Times New Roman"/>
                <w:b w:val="false"/>
                <w:i w:val="false"/>
                <w:color w:val="000000"/>
                <w:sz w:val="20"/>
              </w:rPr>
              <w:t>
   БИ включает в себя:</w:t>
            </w:r>
          </w:p>
          <w:p>
            <w:pPr>
              <w:spacing w:after="20"/>
              <w:ind w:left="20"/>
              <w:jc w:val="both"/>
            </w:pPr>
            <w:r>
              <w:rPr>
                <w:rFonts w:ascii="Times New Roman"/>
                <w:b w:val="false"/>
                <w:i w:val="false"/>
                <w:color w:val="000000"/>
                <w:sz w:val="20"/>
              </w:rPr>
              <w:t>
   7.2.1. Титульный лист</w:t>
            </w:r>
          </w:p>
          <w:p>
            <w:pPr>
              <w:spacing w:after="20"/>
              <w:ind w:left="20"/>
              <w:jc w:val="both"/>
            </w:pPr>
            <w:r>
              <w:rPr>
                <w:rFonts w:ascii="Times New Roman"/>
                <w:b w:val="false"/>
                <w:i w:val="false"/>
                <w:color w:val="000000"/>
                <w:sz w:val="20"/>
              </w:rPr>
              <w:t xml:space="preserve">
   Указываются наименование спонсора, характеристики каждого исследуемого препарата и дата редакции БИ. Рекомендуется указывать номер версии БИ, а также номер и дату предыдущей редакции БИ. </w:t>
            </w:r>
          </w:p>
          <w:p>
            <w:pPr>
              <w:spacing w:after="20"/>
              <w:ind w:left="20"/>
              <w:jc w:val="both"/>
            </w:pPr>
            <w:r>
              <w:rPr>
                <w:rFonts w:ascii="Times New Roman"/>
                <w:b w:val="false"/>
                <w:i w:val="false"/>
                <w:color w:val="000000"/>
                <w:sz w:val="20"/>
              </w:rPr>
              <w:t>
   7.2.2. Указание на конфиденциальность</w:t>
            </w:r>
          </w:p>
          <w:p>
            <w:pPr>
              <w:spacing w:after="20"/>
              <w:ind w:left="20"/>
              <w:jc w:val="both"/>
            </w:pPr>
            <w:r>
              <w:rPr>
                <w:rFonts w:ascii="Times New Roman"/>
                <w:b w:val="false"/>
                <w:i w:val="false"/>
                <w:color w:val="000000"/>
                <w:sz w:val="20"/>
              </w:rPr>
              <w:t>
   По желанию спонсор включает в БИ уведомление исследователей или получателей о том, что они рассматривают БИ как конфиденциальный документ, предназначенный исключительно для ознакомления и использования исследовательским коллективом и Комиссией по вопросам этики.</w:t>
            </w:r>
          </w:p>
          <w:p>
            <w:pPr>
              <w:spacing w:after="20"/>
              <w:ind w:left="20"/>
              <w:jc w:val="both"/>
            </w:pPr>
            <w:r>
              <w:rPr>
                <w:rFonts w:ascii="Times New Roman"/>
                <w:b w:val="false"/>
                <w:i w:val="false"/>
                <w:color w:val="000000"/>
                <w:sz w:val="20"/>
              </w:rPr>
              <w:t>
   7.3. Содержание БИ</w:t>
            </w:r>
          </w:p>
          <w:p>
            <w:pPr>
              <w:spacing w:after="20"/>
              <w:ind w:left="20"/>
              <w:jc w:val="both"/>
            </w:pPr>
            <w:r>
              <w:rPr>
                <w:rFonts w:ascii="Times New Roman"/>
                <w:b w:val="false"/>
                <w:i w:val="false"/>
                <w:color w:val="000000"/>
                <w:sz w:val="20"/>
              </w:rPr>
              <w:t>
   БИ имеет следующие разделы, основные из которых следует сопровождать списком ссылок на литературные источники:</w:t>
            </w:r>
          </w:p>
          <w:p>
            <w:pPr>
              <w:spacing w:after="20"/>
              <w:ind w:left="20"/>
              <w:jc w:val="both"/>
            </w:pPr>
            <w:r>
              <w:rPr>
                <w:rFonts w:ascii="Times New Roman"/>
                <w:b w:val="false"/>
                <w:i w:val="false"/>
                <w:color w:val="000000"/>
                <w:sz w:val="20"/>
              </w:rPr>
              <w:t>
   7.3.1. Оглавление.</w:t>
            </w:r>
          </w:p>
          <w:p>
            <w:pPr>
              <w:spacing w:after="20"/>
              <w:ind w:left="20"/>
              <w:jc w:val="both"/>
            </w:pPr>
            <w:r>
              <w:rPr>
                <w:rFonts w:ascii="Times New Roman"/>
                <w:b w:val="false"/>
                <w:i w:val="false"/>
                <w:color w:val="000000"/>
                <w:sz w:val="20"/>
              </w:rPr>
              <w:t>
   7.3.2. Краткий обзор</w:t>
            </w:r>
          </w:p>
          <w:p>
            <w:pPr>
              <w:spacing w:after="20"/>
              <w:ind w:left="20"/>
              <w:jc w:val="both"/>
            </w:pPr>
            <w:r>
              <w:rPr>
                <w:rFonts w:ascii="Times New Roman"/>
                <w:b w:val="false"/>
                <w:i w:val="false"/>
                <w:color w:val="000000"/>
                <w:sz w:val="20"/>
              </w:rPr>
              <w:t>
   Представляется краткое резюме доступной информации о физических, химических, фармацевтических, фармакологических, токсикологических, фармакокинетических, метаболических свойствах, информации о клиническом применении, соответствующей текущей стадии клинической разработки исследуемого препарата.</w:t>
            </w:r>
          </w:p>
          <w:p>
            <w:pPr>
              <w:spacing w:after="20"/>
              <w:ind w:left="20"/>
              <w:jc w:val="both"/>
            </w:pPr>
            <w:r>
              <w:rPr>
                <w:rFonts w:ascii="Times New Roman"/>
                <w:b w:val="false"/>
                <w:i w:val="false"/>
                <w:color w:val="000000"/>
                <w:sz w:val="20"/>
              </w:rPr>
              <w:t>
   7.3.3. Введение</w:t>
            </w:r>
          </w:p>
          <w:p>
            <w:pPr>
              <w:spacing w:after="20"/>
              <w:ind w:left="20"/>
              <w:jc w:val="both"/>
            </w:pPr>
            <w:r>
              <w:rPr>
                <w:rFonts w:ascii="Times New Roman"/>
                <w:b w:val="false"/>
                <w:i w:val="false"/>
                <w:color w:val="000000"/>
                <w:sz w:val="20"/>
              </w:rPr>
              <w:t>
   В кратком вводном разделе указываются химическое название, международное непатентованное и торговое названия исследуемого препарата, если он зарегистрирован, все активные компоненты, фармакологическая группа, к которой относится исследуемый препарат, а также его потенциальные преимущества в фармакологической группе, обоснование для изучения исследуемого препарата, а также его ожидаемые профилактические, терапевтические или диагностические показания. Кроме того, в вводном разделе формулируется общий подход к оценке исследуемого препарата.</w:t>
            </w:r>
          </w:p>
          <w:p>
            <w:pPr>
              <w:spacing w:after="20"/>
              <w:ind w:left="20"/>
              <w:jc w:val="both"/>
            </w:pPr>
            <w:r>
              <w:rPr>
                <w:rFonts w:ascii="Times New Roman"/>
                <w:b w:val="false"/>
                <w:i w:val="false"/>
                <w:color w:val="000000"/>
                <w:sz w:val="20"/>
              </w:rPr>
              <w:t>
   7.3.4. Физические, химические и фармацевтические свойства и лекарственная форма</w:t>
            </w:r>
          </w:p>
          <w:p>
            <w:pPr>
              <w:spacing w:after="20"/>
              <w:ind w:left="20"/>
              <w:jc w:val="both"/>
            </w:pPr>
            <w:r>
              <w:rPr>
                <w:rFonts w:ascii="Times New Roman"/>
                <w:b w:val="false"/>
                <w:i w:val="false"/>
                <w:color w:val="000000"/>
                <w:sz w:val="20"/>
              </w:rPr>
              <w:t>
   Представляются описание компонентов исследуемого препарата, включая химические и (или) структурные формулы, а также краткая справка об основных физических, химических и фармацевтических свойствах.</w:t>
            </w:r>
          </w:p>
          <w:p>
            <w:pPr>
              <w:spacing w:after="20"/>
              <w:ind w:left="20"/>
              <w:jc w:val="both"/>
            </w:pPr>
            <w:r>
              <w:rPr>
                <w:rFonts w:ascii="Times New Roman"/>
                <w:b w:val="false"/>
                <w:i w:val="false"/>
                <w:color w:val="000000"/>
                <w:sz w:val="20"/>
              </w:rPr>
              <w:t>
   Для обеспечения мер безопасности в ходе исследования указывается и обосновывается состав лекарственной формы, включая дополнительные вещества. Также предоставляются инструкции по хранению и использованию лекарственных форм.</w:t>
            </w:r>
          </w:p>
          <w:p>
            <w:pPr>
              <w:spacing w:after="20"/>
              <w:ind w:left="20"/>
              <w:jc w:val="both"/>
            </w:pPr>
            <w:r>
              <w:rPr>
                <w:rFonts w:ascii="Times New Roman"/>
                <w:b w:val="false"/>
                <w:i w:val="false"/>
                <w:color w:val="000000"/>
                <w:sz w:val="20"/>
              </w:rPr>
              <w:t>
   Следует упомянуть любое структурное сходство с другими известными соединениями.</w:t>
            </w:r>
          </w:p>
          <w:p>
            <w:pPr>
              <w:spacing w:after="20"/>
              <w:ind w:left="20"/>
              <w:jc w:val="both"/>
            </w:pPr>
            <w:r>
              <w:rPr>
                <w:rFonts w:ascii="Times New Roman"/>
                <w:b w:val="false"/>
                <w:i w:val="false"/>
                <w:color w:val="000000"/>
                <w:sz w:val="20"/>
              </w:rPr>
              <w:t>
   7.3.5. Доклинические исследования</w:t>
            </w:r>
          </w:p>
          <w:p>
            <w:pPr>
              <w:spacing w:after="20"/>
              <w:ind w:left="20"/>
              <w:jc w:val="both"/>
            </w:pPr>
            <w:r>
              <w:rPr>
                <w:rFonts w:ascii="Times New Roman"/>
                <w:b w:val="false"/>
                <w:i w:val="false"/>
                <w:color w:val="000000"/>
                <w:sz w:val="20"/>
              </w:rPr>
              <w:t>
   Введение</w:t>
            </w:r>
          </w:p>
          <w:p>
            <w:pPr>
              <w:spacing w:after="20"/>
              <w:ind w:left="20"/>
              <w:jc w:val="both"/>
            </w:pPr>
            <w:r>
              <w:rPr>
                <w:rFonts w:ascii="Times New Roman"/>
                <w:b w:val="false"/>
                <w:i w:val="false"/>
                <w:color w:val="000000"/>
                <w:sz w:val="20"/>
              </w:rPr>
              <w:t>
   Представляются в краткой форме результаты всех существенных доклинических исследований фармакологических свойств, токсичности, фармакокинетики и метаболизма исследуемого препарата. Описываются использованные методы, представляются полученные результаты, а также их обсуждение в связи с исследуемыми терапевтическими и возможными неблагоприятными или непредвиденными эффектами у человека. В зависимости от наличия (доступности) информации указывают следующее:</w:t>
            </w:r>
          </w:p>
          <w:p>
            <w:pPr>
              <w:spacing w:after="20"/>
              <w:ind w:left="20"/>
              <w:jc w:val="both"/>
            </w:pPr>
            <w:r>
              <w:rPr>
                <w:rFonts w:ascii="Times New Roman"/>
                <w:b w:val="false"/>
                <w:i w:val="false"/>
                <w:color w:val="000000"/>
                <w:sz w:val="20"/>
              </w:rPr>
              <w:t>
   использованные в исследованиях виды животных;</w:t>
            </w:r>
          </w:p>
          <w:p>
            <w:pPr>
              <w:spacing w:after="20"/>
              <w:ind w:left="20"/>
              <w:jc w:val="both"/>
            </w:pPr>
            <w:r>
              <w:rPr>
                <w:rFonts w:ascii="Times New Roman"/>
                <w:b w:val="false"/>
                <w:i w:val="false"/>
                <w:color w:val="000000"/>
                <w:sz w:val="20"/>
              </w:rPr>
              <w:t>
   количество и пол животных в каждой группе;</w:t>
            </w:r>
          </w:p>
          <w:p>
            <w:pPr>
              <w:spacing w:after="20"/>
              <w:ind w:left="20"/>
              <w:jc w:val="both"/>
            </w:pPr>
            <w:r>
              <w:rPr>
                <w:rFonts w:ascii="Times New Roman"/>
                <w:b w:val="false"/>
                <w:i w:val="false"/>
                <w:color w:val="000000"/>
                <w:sz w:val="20"/>
              </w:rPr>
              <w:t>
   единицы измерения дозы (миллиграмм/килограмм (мг/кг));</w:t>
            </w:r>
          </w:p>
          <w:p>
            <w:pPr>
              <w:spacing w:after="20"/>
              <w:ind w:left="20"/>
              <w:jc w:val="both"/>
            </w:pPr>
            <w:r>
              <w:rPr>
                <w:rFonts w:ascii="Times New Roman"/>
                <w:b w:val="false"/>
                <w:i w:val="false"/>
                <w:color w:val="000000"/>
                <w:sz w:val="20"/>
              </w:rPr>
              <w:t>
   кратность введения;</w:t>
            </w:r>
          </w:p>
          <w:p>
            <w:pPr>
              <w:spacing w:after="20"/>
              <w:ind w:left="20"/>
              <w:jc w:val="both"/>
            </w:pPr>
            <w:r>
              <w:rPr>
                <w:rFonts w:ascii="Times New Roman"/>
                <w:b w:val="false"/>
                <w:i w:val="false"/>
                <w:color w:val="000000"/>
                <w:sz w:val="20"/>
              </w:rPr>
              <w:t>
   путь введения;</w:t>
            </w:r>
          </w:p>
          <w:p>
            <w:pPr>
              <w:spacing w:after="20"/>
              <w:ind w:left="20"/>
              <w:jc w:val="both"/>
            </w:pPr>
            <w:r>
              <w:rPr>
                <w:rFonts w:ascii="Times New Roman"/>
                <w:b w:val="false"/>
                <w:i w:val="false"/>
                <w:color w:val="000000"/>
                <w:sz w:val="20"/>
              </w:rPr>
              <w:t>
   длительность курса введения;</w:t>
            </w:r>
          </w:p>
          <w:p>
            <w:pPr>
              <w:spacing w:after="20"/>
              <w:ind w:left="20"/>
              <w:jc w:val="both"/>
            </w:pPr>
            <w:r>
              <w:rPr>
                <w:rFonts w:ascii="Times New Roman"/>
                <w:b w:val="false"/>
                <w:i w:val="false"/>
                <w:color w:val="000000"/>
                <w:sz w:val="20"/>
              </w:rPr>
              <w:t>
   информация, относящаяся к системному распределению;</w:t>
            </w:r>
          </w:p>
          <w:p>
            <w:pPr>
              <w:spacing w:after="20"/>
              <w:ind w:left="20"/>
              <w:jc w:val="both"/>
            </w:pPr>
            <w:r>
              <w:rPr>
                <w:rFonts w:ascii="Times New Roman"/>
                <w:b w:val="false"/>
                <w:i w:val="false"/>
                <w:color w:val="000000"/>
                <w:sz w:val="20"/>
              </w:rPr>
              <w:t>
   продолжительность последующего наблюдения после окончания введения препарата.</w:t>
            </w:r>
          </w:p>
          <w:p>
            <w:pPr>
              <w:spacing w:after="20"/>
              <w:ind w:left="20"/>
              <w:jc w:val="both"/>
            </w:pPr>
            <w:r>
              <w:rPr>
                <w:rFonts w:ascii="Times New Roman"/>
                <w:b w:val="false"/>
                <w:i w:val="false"/>
                <w:color w:val="000000"/>
                <w:sz w:val="20"/>
              </w:rPr>
              <w:t>
   Результаты, включая раскрытие следующих аспектов:</w:t>
            </w:r>
          </w:p>
          <w:p>
            <w:pPr>
              <w:spacing w:after="20"/>
              <w:ind w:left="20"/>
              <w:jc w:val="both"/>
            </w:pPr>
            <w:r>
              <w:rPr>
                <w:rFonts w:ascii="Times New Roman"/>
                <w:b w:val="false"/>
                <w:i w:val="false"/>
                <w:color w:val="000000"/>
                <w:sz w:val="20"/>
              </w:rPr>
              <w:t>
   характера и частоты фармакологических или токсических эффектов;</w:t>
            </w:r>
          </w:p>
          <w:p>
            <w:pPr>
              <w:spacing w:after="20"/>
              <w:ind w:left="20"/>
              <w:jc w:val="both"/>
            </w:pPr>
            <w:r>
              <w:rPr>
                <w:rFonts w:ascii="Times New Roman"/>
                <w:b w:val="false"/>
                <w:i w:val="false"/>
                <w:color w:val="000000"/>
                <w:sz w:val="20"/>
              </w:rPr>
              <w:t>
   выраженности или степени тяжести фармакологических или токсических эффектов;</w:t>
            </w:r>
          </w:p>
          <w:p>
            <w:pPr>
              <w:spacing w:after="20"/>
              <w:ind w:left="20"/>
              <w:jc w:val="both"/>
            </w:pPr>
            <w:r>
              <w:rPr>
                <w:rFonts w:ascii="Times New Roman"/>
                <w:b w:val="false"/>
                <w:i w:val="false"/>
                <w:color w:val="000000"/>
                <w:sz w:val="20"/>
              </w:rPr>
              <w:t>
   дозозависимости эффектов;</w:t>
            </w:r>
          </w:p>
          <w:p>
            <w:pPr>
              <w:spacing w:after="20"/>
              <w:ind w:left="20"/>
              <w:jc w:val="both"/>
            </w:pPr>
            <w:r>
              <w:rPr>
                <w:rFonts w:ascii="Times New Roman"/>
                <w:b w:val="false"/>
                <w:i w:val="false"/>
                <w:color w:val="000000"/>
                <w:sz w:val="20"/>
              </w:rPr>
              <w:t>
   времени до наступления эффектов;</w:t>
            </w:r>
          </w:p>
          <w:p>
            <w:pPr>
              <w:spacing w:after="20"/>
              <w:ind w:left="20"/>
              <w:jc w:val="both"/>
            </w:pPr>
            <w:r>
              <w:rPr>
                <w:rFonts w:ascii="Times New Roman"/>
                <w:b w:val="false"/>
                <w:i w:val="false"/>
                <w:color w:val="000000"/>
                <w:sz w:val="20"/>
              </w:rPr>
              <w:t>
   обратимости эффектов;</w:t>
            </w:r>
          </w:p>
          <w:p>
            <w:pPr>
              <w:spacing w:after="20"/>
              <w:ind w:left="20"/>
              <w:jc w:val="both"/>
            </w:pPr>
            <w:r>
              <w:rPr>
                <w:rFonts w:ascii="Times New Roman"/>
                <w:b w:val="false"/>
                <w:i w:val="false"/>
                <w:color w:val="000000"/>
                <w:sz w:val="20"/>
              </w:rPr>
              <w:t>
   продолжительности эффектов.</w:t>
            </w:r>
          </w:p>
          <w:p>
            <w:pPr>
              <w:spacing w:after="20"/>
              <w:ind w:left="20"/>
              <w:jc w:val="both"/>
            </w:pPr>
            <w:r>
              <w:rPr>
                <w:rFonts w:ascii="Times New Roman"/>
                <w:b w:val="false"/>
                <w:i w:val="false"/>
                <w:color w:val="000000"/>
                <w:sz w:val="20"/>
              </w:rPr>
              <w:t>
   Для большей наглядности данные рекомендуется представлять в виде таблиц или списков. Последующие разделы содержат обсуждение наиболее важных результатов исследований, включая дозозависимость наблюдаемых эффектов, их экстраполяцию на человека, а также любые иные аспекты, требующие исследования у человека. Проводится сравнение результатов исследования эффективных и нетоксических доз препарата на животных одного и того же вида (необходимо определить терапевтический индекс). Следует указать, как эти данные соотносятся с дозировками, предлагаемыми для применения у человека. Во всех случаях при проведении сравнений рекомендуется указывать концентрации препарата в крови или ткани, а не дозировки, выраженные в мг/кг.</w:t>
            </w:r>
          </w:p>
          <w:p>
            <w:pPr>
              <w:spacing w:after="20"/>
              <w:ind w:left="20"/>
              <w:jc w:val="both"/>
            </w:pPr>
            <w:r>
              <w:rPr>
                <w:rFonts w:ascii="Times New Roman"/>
                <w:b w:val="false"/>
                <w:i w:val="false"/>
                <w:color w:val="000000"/>
                <w:sz w:val="20"/>
              </w:rPr>
              <w:t>
   1) Доклиническая фармакология</w:t>
            </w:r>
          </w:p>
          <w:p>
            <w:pPr>
              <w:spacing w:after="20"/>
              <w:ind w:left="20"/>
              <w:jc w:val="both"/>
            </w:pPr>
            <w:r>
              <w:rPr>
                <w:rFonts w:ascii="Times New Roman"/>
                <w:b w:val="false"/>
                <w:i w:val="false"/>
                <w:color w:val="000000"/>
                <w:sz w:val="20"/>
              </w:rPr>
              <w:t>
   Раздел включает краткое описание фармакологических свойств исследуемого препарата и его основных метаболитов по результатам исследований на животных. Краткое описание включает в себя исследования по оценке возможной терапевтической активности: эффективность при экспериментальной патологии, лиганд-рецепторное взаимодействие и специфичность действия, а также исследования по оценке безопасности, включая специальные исследования для изучения иных, не имеющих терапевтической направленности, фармакологических эффектов.</w:t>
            </w:r>
          </w:p>
          <w:p>
            <w:pPr>
              <w:spacing w:after="20"/>
              <w:ind w:left="20"/>
              <w:jc w:val="both"/>
            </w:pPr>
            <w:r>
              <w:rPr>
                <w:rFonts w:ascii="Times New Roman"/>
                <w:b w:val="false"/>
                <w:i w:val="false"/>
                <w:color w:val="000000"/>
                <w:sz w:val="20"/>
              </w:rPr>
              <w:t>
   2) Фармакокинетика и метаболизм препарата у животных</w:t>
            </w:r>
          </w:p>
          <w:p>
            <w:pPr>
              <w:spacing w:after="20"/>
              <w:ind w:left="20"/>
              <w:jc w:val="both"/>
            </w:pPr>
            <w:r>
              <w:rPr>
                <w:rFonts w:ascii="Times New Roman"/>
                <w:b w:val="false"/>
                <w:i w:val="false"/>
                <w:color w:val="000000"/>
                <w:sz w:val="20"/>
              </w:rPr>
              <w:t>
   Раздел включает в себя краткое описание фармакокинетики, метаболизма и распределения исследуемого препарата в тканях животных видов, на которых проводились исследования. Освещается всасывание, местная и системная биодоступность исследуемого препарата и его метаболитов, а также их связь с данными фармакологических и токсикологических исследований на животных.</w:t>
            </w:r>
          </w:p>
          <w:p>
            <w:pPr>
              <w:spacing w:after="20"/>
              <w:ind w:left="20"/>
              <w:jc w:val="both"/>
            </w:pPr>
            <w:r>
              <w:rPr>
                <w:rFonts w:ascii="Times New Roman"/>
                <w:b w:val="false"/>
                <w:i w:val="false"/>
                <w:color w:val="000000"/>
                <w:sz w:val="20"/>
              </w:rPr>
              <w:t>
   3) Токсикология</w:t>
            </w:r>
          </w:p>
          <w:p>
            <w:pPr>
              <w:spacing w:after="20"/>
              <w:ind w:left="20"/>
              <w:jc w:val="both"/>
            </w:pPr>
            <w:r>
              <w:rPr>
                <w:rFonts w:ascii="Times New Roman"/>
                <w:b w:val="false"/>
                <w:i w:val="false"/>
                <w:color w:val="000000"/>
                <w:sz w:val="20"/>
              </w:rPr>
              <w:t>
   Раздел включает в себя краткое описание токсических эффектов исследуемого препарата, выявленных в исследованиях на животных разных видов. Следует, по возможности, придерживаться нижеприведенной структуры оглавления данного раздела:</w:t>
            </w:r>
          </w:p>
          <w:p>
            <w:pPr>
              <w:spacing w:after="20"/>
              <w:ind w:left="20"/>
              <w:jc w:val="both"/>
            </w:pPr>
            <w:r>
              <w:rPr>
                <w:rFonts w:ascii="Times New Roman"/>
                <w:b w:val="false"/>
                <w:i w:val="false"/>
                <w:color w:val="000000"/>
                <w:sz w:val="20"/>
              </w:rPr>
              <w:t>
   токсичность при однократном введении;</w:t>
            </w:r>
          </w:p>
          <w:p>
            <w:pPr>
              <w:spacing w:after="20"/>
              <w:ind w:left="20"/>
              <w:jc w:val="both"/>
            </w:pPr>
            <w:r>
              <w:rPr>
                <w:rFonts w:ascii="Times New Roman"/>
                <w:b w:val="false"/>
                <w:i w:val="false"/>
                <w:color w:val="000000"/>
                <w:sz w:val="20"/>
              </w:rPr>
              <w:t>
   токсичность при многократном введении;</w:t>
            </w:r>
          </w:p>
          <w:p>
            <w:pPr>
              <w:spacing w:after="20"/>
              <w:ind w:left="20"/>
              <w:jc w:val="both"/>
            </w:pPr>
            <w:r>
              <w:rPr>
                <w:rFonts w:ascii="Times New Roman"/>
                <w:b w:val="false"/>
                <w:i w:val="false"/>
                <w:color w:val="000000"/>
                <w:sz w:val="20"/>
              </w:rPr>
              <w:t>
   канцерогенность;</w:t>
            </w:r>
          </w:p>
          <w:p>
            <w:pPr>
              <w:spacing w:after="20"/>
              <w:ind w:left="20"/>
              <w:jc w:val="both"/>
            </w:pPr>
            <w:r>
              <w:rPr>
                <w:rFonts w:ascii="Times New Roman"/>
                <w:b w:val="false"/>
                <w:i w:val="false"/>
                <w:color w:val="000000"/>
                <w:sz w:val="20"/>
              </w:rPr>
              <w:t>
   специальные исследования (местно-раздражающее действие, исследование сенсибилизирующего действия);</w:t>
            </w:r>
          </w:p>
          <w:p>
            <w:pPr>
              <w:spacing w:after="20"/>
              <w:ind w:left="20"/>
              <w:jc w:val="both"/>
            </w:pPr>
            <w:r>
              <w:rPr>
                <w:rFonts w:ascii="Times New Roman"/>
                <w:b w:val="false"/>
                <w:i w:val="false"/>
                <w:color w:val="000000"/>
                <w:sz w:val="20"/>
              </w:rPr>
              <w:t>
   репродуктивная токсичность;</w:t>
            </w:r>
          </w:p>
          <w:p>
            <w:pPr>
              <w:spacing w:after="20"/>
              <w:ind w:left="20"/>
              <w:jc w:val="both"/>
            </w:pPr>
            <w:r>
              <w:rPr>
                <w:rFonts w:ascii="Times New Roman"/>
                <w:b w:val="false"/>
                <w:i w:val="false"/>
                <w:color w:val="000000"/>
                <w:sz w:val="20"/>
              </w:rPr>
              <w:t>
   генотоксичность (мутагенность).</w:t>
            </w:r>
          </w:p>
          <w:p>
            <w:pPr>
              <w:spacing w:after="20"/>
              <w:ind w:left="20"/>
              <w:jc w:val="both"/>
            </w:pPr>
            <w:r>
              <w:rPr>
                <w:rFonts w:ascii="Times New Roman"/>
                <w:b w:val="false"/>
                <w:i w:val="false"/>
                <w:color w:val="000000"/>
                <w:sz w:val="20"/>
              </w:rPr>
              <w:t>
   7.3.6. Опыт применения у человека</w:t>
            </w:r>
          </w:p>
          <w:p>
            <w:pPr>
              <w:spacing w:after="20"/>
              <w:ind w:left="20"/>
              <w:jc w:val="both"/>
            </w:pPr>
            <w:r>
              <w:rPr>
                <w:rFonts w:ascii="Times New Roman"/>
                <w:b w:val="false"/>
                <w:i w:val="false"/>
                <w:color w:val="000000"/>
                <w:sz w:val="20"/>
              </w:rPr>
              <w:t>
   Введение</w:t>
            </w:r>
          </w:p>
          <w:p>
            <w:pPr>
              <w:spacing w:after="20"/>
              <w:ind w:left="20"/>
              <w:jc w:val="both"/>
            </w:pPr>
            <w:r>
              <w:rPr>
                <w:rFonts w:ascii="Times New Roman"/>
                <w:b w:val="false"/>
                <w:i w:val="false"/>
                <w:color w:val="000000"/>
                <w:sz w:val="20"/>
              </w:rPr>
              <w:t>
   1) Фармакокинетика и метаболизм у человека</w:t>
            </w:r>
          </w:p>
          <w:p>
            <w:pPr>
              <w:spacing w:after="20"/>
              <w:ind w:left="20"/>
              <w:jc w:val="both"/>
            </w:pPr>
            <w:r>
              <w:rPr>
                <w:rFonts w:ascii="Times New Roman"/>
                <w:b w:val="false"/>
                <w:i w:val="false"/>
                <w:color w:val="000000"/>
                <w:sz w:val="20"/>
              </w:rPr>
              <w:t>
   Раздел содержит краткую информацию, относящуюся к фармакокинетике исследуемого препарата, и включает в себя следующее (в зависимости от наличия данных):</w:t>
            </w:r>
          </w:p>
          <w:p>
            <w:pPr>
              <w:spacing w:after="20"/>
              <w:ind w:left="20"/>
              <w:jc w:val="both"/>
            </w:pPr>
            <w:r>
              <w:rPr>
                <w:rFonts w:ascii="Times New Roman"/>
                <w:b w:val="false"/>
                <w:i w:val="false"/>
                <w:color w:val="000000"/>
                <w:sz w:val="20"/>
              </w:rPr>
              <w:t>
   фармакокинетику, в том числе метаболизм, всасывание, связывание с белками плазмы, распределение и выведение.</w:t>
            </w:r>
          </w:p>
          <w:p>
            <w:pPr>
              <w:spacing w:after="20"/>
              <w:ind w:left="20"/>
              <w:jc w:val="both"/>
            </w:pPr>
            <w:r>
              <w:rPr>
                <w:rFonts w:ascii="Times New Roman"/>
                <w:b w:val="false"/>
                <w:i w:val="false"/>
                <w:color w:val="000000"/>
                <w:sz w:val="20"/>
              </w:rPr>
              <w:t>
   биодоступность исследуемого препарата (абсолютную и (или) относительную) с использованием определенной лекарственной формы в качестве сравнения.</w:t>
            </w:r>
          </w:p>
          <w:p>
            <w:pPr>
              <w:spacing w:after="20"/>
              <w:ind w:left="20"/>
              <w:jc w:val="both"/>
            </w:pPr>
            <w:r>
              <w:rPr>
                <w:rFonts w:ascii="Times New Roman"/>
                <w:b w:val="false"/>
                <w:i w:val="false"/>
                <w:color w:val="000000"/>
                <w:sz w:val="20"/>
              </w:rPr>
              <w:t>
   субпопуляции населения, с учетом различия по полу, возрасту или нарушениям функций органов.</w:t>
            </w:r>
          </w:p>
          <w:p>
            <w:pPr>
              <w:spacing w:after="20"/>
              <w:ind w:left="20"/>
              <w:jc w:val="both"/>
            </w:pPr>
            <w:r>
              <w:rPr>
                <w:rFonts w:ascii="Times New Roman"/>
                <w:b w:val="false"/>
                <w:i w:val="false"/>
                <w:color w:val="000000"/>
                <w:sz w:val="20"/>
              </w:rPr>
              <w:t>
   взаимодействия (лекарственные взаимодействия и влияние приема пищи).</w:t>
            </w:r>
          </w:p>
          <w:p>
            <w:pPr>
              <w:spacing w:after="20"/>
              <w:ind w:left="20"/>
              <w:jc w:val="both"/>
            </w:pPr>
            <w:r>
              <w:rPr>
                <w:rFonts w:ascii="Times New Roman"/>
                <w:b w:val="false"/>
                <w:i w:val="false"/>
                <w:color w:val="000000"/>
                <w:sz w:val="20"/>
              </w:rPr>
              <w:t>
   Другие данные по фармакокинетике.</w:t>
            </w:r>
          </w:p>
          <w:p>
            <w:pPr>
              <w:spacing w:after="20"/>
              <w:ind w:left="20"/>
              <w:jc w:val="both"/>
            </w:pPr>
            <w:r>
              <w:rPr>
                <w:rFonts w:ascii="Times New Roman"/>
                <w:b w:val="false"/>
                <w:i w:val="false"/>
                <w:color w:val="000000"/>
                <w:sz w:val="20"/>
              </w:rPr>
              <w:t>
   2) Безопасность и эффективность</w:t>
            </w:r>
          </w:p>
          <w:p>
            <w:pPr>
              <w:spacing w:after="20"/>
              <w:ind w:left="20"/>
              <w:jc w:val="both"/>
            </w:pPr>
            <w:r>
              <w:rPr>
                <w:rFonts w:ascii="Times New Roman"/>
                <w:b w:val="false"/>
                <w:i w:val="false"/>
                <w:color w:val="000000"/>
                <w:sz w:val="20"/>
              </w:rPr>
              <w:t>
   Кратко представляется информация, относящаяся к безопасности, фармакодинамике, эффективности и дозозависимости эффектов исследуемого препарата (и его метаболитов), полученная в ходе проведенных клинических исследований (с участием здоровых добровольцев и (или) пациентов). Представляется интерпретация этих данных. Если часть клинических исследований уже завершена, для более ясного восприятия данных рекомендуется представить по законченным исследованиям сводные отчеты по эффективности и безопасности исследуемого препарата по отдельным показаниям у различных популяций. Также представляются сводные таблицы нежелательных реакций по всем клиническим исследованиям (включая исследования для любых изучавшихся показаний). Освещаются значимые различия в характере (частоте) нежелательных реакций, как для различных показаний, так и для различных популяций.</w:t>
            </w:r>
          </w:p>
          <w:p>
            <w:pPr>
              <w:spacing w:after="20"/>
              <w:ind w:left="20"/>
              <w:jc w:val="both"/>
            </w:pPr>
            <w:r>
              <w:rPr>
                <w:rFonts w:ascii="Times New Roman"/>
                <w:b w:val="false"/>
                <w:i w:val="false"/>
                <w:color w:val="000000"/>
                <w:sz w:val="20"/>
              </w:rPr>
              <w:t>
   В БИ описываются возможные риски и нежелательные реакции, которые ожидаются, основываясь на накопленном опыте применения как исследуемого препарата, так и сходных с ним препаратов. Также описываются меры предосторожности или специальные методы мониторинга, которые применяются при использовании препарата в исследовательских целях.</w:t>
            </w:r>
          </w:p>
          <w:p>
            <w:pPr>
              <w:spacing w:after="20"/>
              <w:ind w:left="20"/>
              <w:jc w:val="both"/>
            </w:pPr>
            <w:r>
              <w:rPr>
                <w:rFonts w:ascii="Times New Roman"/>
                <w:b w:val="false"/>
                <w:i w:val="false"/>
                <w:color w:val="000000"/>
                <w:sz w:val="20"/>
              </w:rPr>
              <w:t>
   3) Пострегистрационный опыт применения</w:t>
            </w:r>
          </w:p>
          <w:p>
            <w:pPr>
              <w:spacing w:after="20"/>
              <w:ind w:left="20"/>
              <w:jc w:val="both"/>
            </w:pPr>
            <w:r>
              <w:rPr>
                <w:rFonts w:ascii="Times New Roman"/>
                <w:b w:val="false"/>
                <w:i w:val="false"/>
                <w:color w:val="000000"/>
                <w:sz w:val="20"/>
              </w:rPr>
              <w:t>
   В БИ указываются страны, в которых исследуемый препарат уже имеется в продаже или был зарегистрирован. Любая значимая информация, полученная в ходе пострегистрационного применения препарата, представляется в обобщенном виде. Также в БИ указываются страны, в которых заявителю было отказано в одобрении (регистрации) препарата для коммерческого использования или же разрешение на продажу (свидетельство о регистрации) было аннулировано;</w:t>
            </w:r>
          </w:p>
          <w:p>
            <w:pPr>
              <w:spacing w:after="20"/>
              <w:ind w:left="20"/>
              <w:jc w:val="both"/>
            </w:pPr>
            <w:r>
              <w:rPr>
                <w:rFonts w:ascii="Times New Roman"/>
                <w:b w:val="false"/>
                <w:i w:val="false"/>
                <w:color w:val="000000"/>
                <w:sz w:val="20"/>
              </w:rPr>
              <w:t>
   7.3.7. Обсуждение данных и инструкции для исследователя</w:t>
            </w:r>
          </w:p>
          <w:p>
            <w:pPr>
              <w:spacing w:after="20"/>
              <w:ind w:left="20"/>
              <w:jc w:val="both"/>
            </w:pPr>
            <w:r>
              <w:rPr>
                <w:rFonts w:ascii="Times New Roman"/>
                <w:b w:val="false"/>
                <w:i w:val="false"/>
                <w:color w:val="000000"/>
                <w:sz w:val="20"/>
              </w:rPr>
              <w:t>
   В разделе представляется обсуждение доклинических и клинических данных и обобщена информация, полученная из разных источников по различным свойствам исследуемого препарата. Таким образом, исследователю предоставляются наиболее информативная интерпретация имеющихся данных, а также выводы о значимости данной информации для последующих клинических исследований.</w:t>
            </w:r>
          </w:p>
          <w:p>
            <w:pPr>
              <w:spacing w:after="20"/>
              <w:ind w:left="20"/>
              <w:jc w:val="both"/>
            </w:pPr>
            <w:r>
              <w:rPr>
                <w:rFonts w:ascii="Times New Roman"/>
                <w:b w:val="false"/>
                <w:i w:val="false"/>
                <w:color w:val="000000"/>
                <w:sz w:val="20"/>
              </w:rPr>
              <w:t>
   Освещаются опубликованные работы по сходным препаратам, если таковые имеются. Это позволит исследователю подготовиться к возможным нежелательным реакциям или другим проблемам, которые возникают в ходе клинических исследований.</w:t>
            </w:r>
          </w:p>
          <w:p>
            <w:pPr>
              <w:spacing w:after="20"/>
              <w:ind w:left="20"/>
              <w:jc w:val="both"/>
            </w:pPr>
            <w:r>
              <w:rPr>
                <w:rFonts w:ascii="Times New Roman"/>
                <w:b w:val="false"/>
                <w:i w:val="false"/>
                <w:color w:val="000000"/>
                <w:sz w:val="20"/>
              </w:rPr>
              <w:t>
   Основная цель данного раздела заключается в том, чтобы помочь исследователю получить четкое представление о возможных рисках и нежелательных реакциях, а также о специальных тестах, методах наблюдения и мерах предосторожности, которые понадобятся в ходе клинического исследования. Это представление основывается на доступной информации о физических, химических, фармацевтических, фармакологических, токсикологических и клинических свойствах исследуемого препарата. Клиническому исследователю также предоставляются инструкции по диагностике и лечению возможных передозировок и нежелательных реакций, которые основаны на предыдущем клиническом опыте и фармакологических свойствах исследуемого препарата.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Перечень основных документов клинического исследования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Введение</w:t>
            </w:r>
          </w:p>
          <w:p>
            <w:pPr>
              <w:spacing w:after="20"/>
              <w:ind w:left="20"/>
              <w:jc w:val="both"/>
            </w:pPr>
            <w:r>
              <w:rPr>
                <w:rFonts w:ascii="Times New Roman"/>
                <w:b w:val="false"/>
                <w:i w:val="false"/>
                <w:color w:val="000000"/>
                <w:sz w:val="20"/>
              </w:rPr>
              <w:t>
   Основными документами являются документы, которые вместе или по отдельности позволяют оценить проведение исследования и качество полученных данных. Эти документы служат доказательством соблюдения исследователем, спонсором и монитором настоящего Стандарта.</w:t>
            </w:r>
          </w:p>
          <w:p>
            <w:pPr>
              <w:spacing w:after="20"/>
              <w:ind w:left="20"/>
              <w:jc w:val="both"/>
            </w:pPr>
            <w:r>
              <w:rPr>
                <w:rFonts w:ascii="Times New Roman"/>
                <w:b w:val="false"/>
                <w:i w:val="false"/>
                <w:color w:val="000000"/>
                <w:sz w:val="20"/>
              </w:rPr>
              <w:t>
   Своевременное помещение основных документов в файлы исследователя (медицинской организации) и спонсора существенно способствует успешному выполнению в рамках клинического исследования своих функций исследователем, спонсором и монитором. Кроме того, эти документы обычно являются объектом независимого аудита со стороны спонсора и инспекции со стороны уполномоченного органа как части процесса подтверждения законности проведения исследования и достоверности собранных данных.</w:t>
            </w:r>
          </w:p>
          <w:p>
            <w:pPr>
              <w:spacing w:after="20"/>
              <w:ind w:left="20"/>
              <w:jc w:val="both"/>
            </w:pPr>
            <w:r>
              <w:rPr>
                <w:rFonts w:ascii="Times New Roman"/>
                <w:b w:val="false"/>
                <w:i w:val="false"/>
                <w:color w:val="000000"/>
                <w:sz w:val="20"/>
              </w:rPr>
              <w:t>
   Минимальный перечень основных документов сгруппирован в три раздела в зависимости от стадии клинического исследования, на которой они обычно создаются:</w:t>
            </w:r>
          </w:p>
          <w:p>
            <w:pPr>
              <w:spacing w:after="20"/>
              <w:ind w:left="20"/>
              <w:jc w:val="both"/>
            </w:pPr>
            <w:r>
              <w:rPr>
                <w:rFonts w:ascii="Times New Roman"/>
                <w:b w:val="false"/>
                <w:i w:val="false"/>
                <w:color w:val="000000"/>
                <w:sz w:val="20"/>
              </w:rPr>
              <w:t>
   1) перед началом клинической фазы исследования;</w:t>
            </w:r>
          </w:p>
          <w:p>
            <w:pPr>
              <w:spacing w:after="20"/>
              <w:ind w:left="20"/>
              <w:jc w:val="both"/>
            </w:pPr>
            <w:r>
              <w:rPr>
                <w:rFonts w:ascii="Times New Roman"/>
                <w:b w:val="false"/>
                <w:i w:val="false"/>
                <w:color w:val="000000"/>
                <w:sz w:val="20"/>
              </w:rPr>
              <w:t>
   2) во время клинической фазы исследования;</w:t>
            </w:r>
          </w:p>
          <w:p>
            <w:pPr>
              <w:spacing w:after="20"/>
              <w:ind w:left="20"/>
              <w:jc w:val="both"/>
            </w:pPr>
            <w:r>
              <w:rPr>
                <w:rFonts w:ascii="Times New Roman"/>
                <w:b w:val="false"/>
                <w:i w:val="false"/>
                <w:color w:val="000000"/>
                <w:sz w:val="20"/>
              </w:rPr>
              <w:t>
   3) после завершения или преждевременного прекращения исследования.</w:t>
            </w:r>
          </w:p>
          <w:p>
            <w:pPr>
              <w:spacing w:after="20"/>
              <w:ind w:left="20"/>
              <w:jc w:val="both"/>
            </w:pPr>
            <w:r>
              <w:rPr>
                <w:rFonts w:ascii="Times New Roman"/>
                <w:b w:val="false"/>
                <w:i w:val="false"/>
                <w:color w:val="000000"/>
                <w:sz w:val="20"/>
              </w:rPr>
              <w:t>
   В указанных ниже подпунктах раздела 8 указаны цели каждого документа, и место их хранения: в файлах исследователя (медицинской организации) либо спонсора, либо в обоих местах. Допускается объединение некоторых документов при условии, что отдельные элементы легко идентифицируются.</w:t>
            </w:r>
          </w:p>
          <w:p>
            <w:pPr>
              <w:spacing w:after="20"/>
              <w:ind w:left="20"/>
              <w:jc w:val="both"/>
            </w:pPr>
            <w:r>
              <w:rPr>
                <w:rFonts w:ascii="Times New Roman"/>
                <w:b w:val="false"/>
                <w:i w:val="false"/>
                <w:color w:val="000000"/>
                <w:sz w:val="20"/>
              </w:rPr>
              <w:t>
   Файлы исследования создаются в начале исследования как в месте нахождения исследователя (медицинской организации), так и в офисе спонсора. Исследование можно считать официально завершенным только после того, как монитор проверит файлы исследователя (медицинской организации), и спонсора и подтвердит наличие всех необходимых документов в соответствующих файлах.</w:t>
            </w:r>
          </w:p>
          <w:p>
            <w:pPr>
              <w:spacing w:after="20"/>
              <w:ind w:left="20"/>
              <w:jc w:val="both"/>
            </w:pPr>
            <w:r>
              <w:rPr>
                <w:rFonts w:ascii="Times New Roman"/>
                <w:b w:val="false"/>
                <w:i w:val="false"/>
                <w:color w:val="000000"/>
                <w:sz w:val="20"/>
              </w:rPr>
              <w:t>
   Перечисленные в настоящем Стандарте документы, как по отдельности, так и в совокупности подвергаются аудиту спонсора и инспекции (проверке) уполномоченного органа и предъявляются при проведении таковых.</w:t>
            </w:r>
          </w:p>
          <w:p>
            <w:pPr>
              <w:spacing w:after="20"/>
              <w:ind w:left="20"/>
              <w:jc w:val="both"/>
            </w:pPr>
            <w:r>
              <w:rPr>
                <w:rFonts w:ascii="Times New Roman"/>
                <w:b w:val="false"/>
                <w:i w:val="false"/>
                <w:color w:val="000000"/>
                <w:sz w:val="20"/>
              </w:rPr>
              <w:t>
   8.2. Перед началом клинической фазы исследования.</w:t>
            </w:r>
          </w:p>
          <w:p>
            <w:pPr>
              <w:spacing w:after="20"/>
              <w:ind w:left="20"/>
              <w:jc w:val="both"/>
            </w:pPr>
            <w:r>
              <w:rPr>
                <w:rFonts w:ascii="Times New Roman"/>
                <w:b w:val="false"/>
                <w:i w:val="false"/>
                <w:color w:val="000000"/>
                <w:sz w:val="20"/>
              </w:rPr>
              <w:t>
   На стадии планирования исследования до его формального начала создаются и помещаются в файл следующие документы: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5056"/>
              <w:gridCol w:w="1013"/>
              <w:gridCol w:w="1337"/>
            </w:tblGrid>
            <w:tr>
              <w:trPr>
                <w:trHeight w:val="30" w:hRule="atLeast"/>
              </w:trPr>
              <w:tc>
                <w:tcPr>
                  <w:tcW w:w="4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c>
                <w:tcPr>
                  <w:tcW w:w="5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исследователя (медицинской организации)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спонсора</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Брошюра исследователя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факт передачи исследователю (медицинской организации) необходимой и актуальной научной информации об исследуемом препарате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Документы планирования клинического исследования</w:t>
                  </w:r>
                </w:p>
                <w:p>
                  <w:pPr>
                    <w:spacing w:after="20"/>
                    <w:ind w:left="20"/>
                    <w:jc w:val="both"/>
                  </w:pPr>
                  <w:r>
                    <w:rPr>
                      <w:rFonts w:ascii="Times New Roman"/>
                      <w:b w:val="false"/>
                      <w:i w:val="false"/>
                      <w:color w:val="000000"/>
                      <w:sz w:val="20"/>
                    </w:rPr>
                    <w:t>
- Подписанный протокол</w:t>
                  </w:r>
                </w:p>
                <w:p>
                  <w:pPr>
                    <w:spacing w:after="20"/>
                    <w:ind w:left="20"/>
                    <w:jc w:val="both"/>
                  </w:pPr>
                  <w:r>
                    <w:rPr>
                      <w:rFonts w:ascii="Times New Roman"/>
                      <w:b w:val="false"/>
                      <w:i w:val="false"/>
                      <w:color w:val="000000"/>
                      <w:sz w:val="20"/>
                    </w:rPr>
                    <w:t>
- Подписанные поправки к нему (если таковые имеются)</w:t>
                  </w:r>
                </w:p>
                <w:p>
                  <w:pPr>
                    <w:spacing w:after="20"/>
                    <w:ind w:left="20"/>
                    <w:jc w:val="both"/>
                  </w:pPr>
                  <w:r>
                    <w:rPr>
                      <w:rFonts w:ascii="Times New Roman"/>
                      <w:b w:val="false"/>
                      <w:i w:val="false"/>
                      <w:color w:val="000000"/>
                      <w:sz w:val="20"/>
                    </w:rPr>
                    <w:t>
- Образец ИРК</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факт утверждения спонсором и исследователем протокола (поправок) и ИРК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Информация, предоставляемая субъекту исследования</w:t>
                  </w:r>
                </w:p>
                <w:p>
                  <w:pPr>
                    <w:spacing w:after="20"/>
                    <w:ind w:left="20"/>
                    <w:jc w:val="both"/>
                  </w:pPr>
                  <w:r>
                    <w:rPr>
                      <w:rFonts w:ascii="Times New Roman"/>
                      <w:b w:val="false"/>
                      <w:i w:val="false"/>
                      <w:color w:val="000000"/>
                      <w:sz w:val="20"/>
                    </w:rPr>
                    <w:t>
- Форма информированного согласия (включая все необходимые разъяснительные материалы)</w:t>
                  </w:r>
                </w:p>
                <w:p>
                  <w:pPr>
                    <w:spacing w:after="20"/>
                    <w:ind w:left="20"/>
                    <w:jc w:val="both"/>
                  </w:pPr>
                  <w:r>
                    <w:rPr>
                      <w:rFonts w:ascii="Times New Roman"/>
                      <w:b w:val="false"/>
                      <w:i w:val="false"/>
                      <w:color w:val="000000"/>
                      <w:sz w:val="20"/>
                    </w:rPr>
                    <w:t>
- Любая другая письменная информация</w:t>
                  </w:r>
                </w:p>
                <w:p>
                  <w:pPr>
                    <w:spacing w:after="20"/>
                    <w:ind w:left="20"/>
                    <w:jc w:val="both"/>
                  </w:pPr>
                  <w:r>
                    <w:rPr>
                      <w:rFonts w:ascii="Times New Roman"/>
                      <w:b w:val="false"/>
                      <w:i w:val="false"/>
                      <w:color w:val="000000"/>
                      <w:sz w:val="20"/>
                    </w:rPr>
                    <w:t xml:space="preserve">
- Рекламные объявления для привлечения субъектов в исследование (если используются)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Документально оформить факт получения информированного согласия</w:t>
                  </w:r>
                </w:p>
                <w:p>
                  <w:pPr>
                    <w:spacing w:after="20"/>
                    <w:ind w:left="20"/>
                    <w:jc w:val="both"/>
                  </w:pPr>
                  <w:r>
                    <w:rPr>
                      <w:rFonts w:ascii="Times New Roman"/>
                      <w:b w:val="false"/>
                      <w:i w:val="false"/>
                      <w:color w:val="000000"/>
                      <w:sz w:val="20"/>
                    </w:rPr>
                    <w:t>
Документально подтвердить, что субъектам предоставлена соответствующая (с точки зрения содержания и доступности для понимания) письменная информация, помогающая им дать согласие на основе полной информированности</w:t>
                  </w:r>
                </w:p>
                <w:p>
                  <w:pPr>
                    <w:spacing w:after="20"/>
                    <w:ind w:left="20"/>
                    <w:jc w:val="both"/>
                  </w:pPr>
                  <w:r>
                    <w:rPr>
                      <w:rFonts w:ascii="Times New Roman"/>
                      <w:b w:val="false"/>
                      <w:i w:val="false"/>
                      <w:color w:val="000000"/>
                      <w:sz w:val="20"/>
                    </w:rPr>
                    <w:t xml:space="preserve">
Документально подтвердить, что меры по привлечению субъектов адекватны и отсутствует элемент принуждения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 Финансовые аспекты исследования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финансовое соглашение по исследованию между спонсором и исследователем (медицинской организацией)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Страховое обязательство (если требуется)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что в случае причинения ущерба, связанного с исследованием, субъектам будет доступна компенсация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Подписанный договор вовлеченных сторон:</w:t>
                  </w:r>
                </w:p>
                <w:p>
                  <w:pPr>
                    <w:spacing w:after="20"/>
                    <w:ind w:left="20"/>
                    <w:jc w:val="both"/>
                  </w:pPr>
                  <w:r>
                    <w:rPr>
                      <w:rFonts w:ascii="Times New Roman"/>
                      <w:b w:val="false"/>
                      <w:i w:val="false"/>
                      <w:color w:val="000000"/>
                      <w:sz w:val="20"/>
                    </w:rPr>
                    <w:t>
- между исследователем (медицинской организацией) и спонсором</w:t>
                  </w:r>
                </w:p>
                <w:p>
                  <w:pPr>
                    <w:spacing w:after="20"/>
                    <w:ind w:left="20"/>
                    <w:jc w:val="both"/>
                  </w:pPr>
                  <w:r>
                    <w:rPr>
                      <w:rFonts w:ascii="Times New Roman"/>
                      <w:b w:val="false"/>
                      <w:i w:val="false"/>
                      <w:color w:val="000000"/>
                      <w:sz w:val="20"/>
                    </w:rPr>
                    <w:t>
- между исследователем (медицинской организацией) и контрактной исследовательской организацией</w:t>
                  </w:r>
                </w:p>
                <w:p>
                  <w:pPr>
                    <w:spacing w:after="20"/>
                    <w:ind w:left="20"/>
                    <w:jc w:val="both"/>
                  </w:pPr>
                  <w:r>
                    <w:rPr>
                      <w:rFonts w:ascii="Times New Roman"/>
                      <w:b w:val="false"/>
                      <w:i w:val="false"/>
                      <w:color w:val="000000"/>
                      <w:sz w:val="20"/>
                    </w:rPr>
                    <w:t>
- между спонсором и контрактной исследовательской организацией</w:t>
                  </w:r>
                </w:p>
                <w:p>
                  <w:pPr>
                    <w:spacing w:after="20"/>
                    <w:ind w:left="20"/>
                    <w:jc w:val="both"/>
                  </w:pPr>
                  <w:r>
                    <w:rPr>
                      <w:rFonts w:ascii="Times New Roman"/>
                      <w:b w:val="false"/>
                      <w:i w:val="false"/>
                      <w:color w:val="000000"/>
                      <w:sz w:val="20"/>
                    </w:rPr>
                    <w:t>
- между исследователем (медицинской организацией) и уполномоченным органом (если требуется)</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права, обязанности и отношения сторон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(если требуется)</w:t>
                  </w:r>
                </w:p>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Датированное и документально оформленное одобрение (заключение) Комиссии по вопросам этики  следующих документов:</w:t>
                  </w:r>
                </w:p>
                <w:p>
                  <w:pPr>
                    <w:spacing w:after="20"/>
                    <w:ind w:left="20"/>
                    <w:jc w:val="both"/>
                  </w:pPr>
                  <w:r>
                    <w:rPr>
                      <w:rFonts w:ascii="Times New Roman"/>
                      <w:b w:val="false"/>
                      <w:i w:val="false"/>
                      <w:color w:val="000000"/>
                      <w:sz w:val="20"/>
                    </w:rPr>
                    <w:t>
- протокола и любых поправок к нему</w:t>
                  </w:r>
                </w:p>
                <w:p>
                  <w:pPr>
                    <w:spacing w:after="20"/>
                    <w:ind w:left="20"/>
                    <w:jc w:val="both"/>
                  </w:pPr>
                  <w:r>
                    <w:rPr>
                      <w:rFonts w:ascii="Times New Roman"/>
                      <w:b w:val="false"/>
                      <w:i w:val="false"/>
                      <w:color w:val="000000"/>
                      <w:sz w:val="20"/>
                    </w:rPr>
                    <w:t>
- ИРК (если требуется)</w:t>
                  </w:r>
                </w:p>
                <w:p>
                  <w:pPr>
                    <w:spacing w:after="20"/>
                    <w:ind w:left="20"/>
                    <w:jc w:val="both"/>
                  </w:pPr>
                  <w:r>
                    <w:rPr>
                      <w:rFonts w:ascii="Times New Roman"/>
                      <w:b w:val="false"/>
                      <w:i w:val="false"/>
                      <w:color w:val="000000"/>
                      <w:sz w:val="20"/>
                    </w:rPr>
                    <w:t>
- формы информированного согласия</w:t>
                  </w:r>
                </w:p>
                <w:p>
                  <w:pPr>
                    <w:spacing w:after="20"/>
                    <w:ind w:left="20"/>
                    <w:jc w:val="both"/>
                  </w:pPr>
                  <w:r>
                    <w:rPr>
                      <w:rFonts w:ascii="Times New Roman"/>
                      <w:b w:val="false"/>
                      <w:i w:val="false"/>
                      <w:color w:val="000000"/>
                      <w:sz w:val="20"/>
                    </w:rPr>
                    <w:t>
- любой другой письменной информации, предоставляемой субъектам</w:t>
                  </w:r>
                </w:p>
                <w:p>
                  <w:pPr>
                    <w:spacing w:after="20"/>
                    <w:ind w:left="20"/>
                    <w:jc w:val="both"/>
                  </w:pPr>
                  <w:r>
                    <w:rPr>
                      <w:rFonts w:ascii="Times New Roman"/>
                      <w:b w:val="false"/>
                      <w:i w:val="false"/>
                      <w:color w:val="000000"/>
                      <w:sz w:val="20"/>
                    </w:rPr>
                    <w:t>
- рекламных объявлений для привлечения субъектов в исследование (если используются)</w:t>
                  </w:r>
                </w:p>
                <w:p>
                  <w:pPr>
                    <w:spacing w:after="20"/>
                    <w:ind w:left="20"/>
                    <w:jc w:val="both"/>
                  </w:pPr>
                  <w:r>
                    <w:rPr>
                      <w:rFonts w:ascii="Times New Roman"/>
                      <w:b w:val="false"/>
                      <w:i w:val="false"/>
                      <w:color w:val="000000"/>
                      <w:sz w:val="20"/>
                    </w:rPr>
                    <w:t>
- информации о компенсации субъектам (при наличии)</w:t>
                  </w:r>
                </w:p>
                <w:p>
                  <w:pPr>
                    <w:spacing w:after="20"/>
                    <w:ind w:left="20"/>
                    <w:jc w:val="both"/>
                  </w:pPr>
                  <w:r>
                    <w:rPr>
                      <w:rFonts w:ascii="Times New Roman"/>
                      <w:b w:val="false"/>
                      <w:i w:val="false"/>
                      <w:color w:val="000000"/>
                      <w:sz w:val="20"/>
                    </w:rPr>
                    <w:t xml:space="preserve">
- любых иных разрешенных (одобренных) документов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данное исследование рассмотрено и разрешено (одобрено) Комиссией по вопросам этики. Указывают номер версии и дату документа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Состав Комиссии по вопросам этики</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соответствие состава Комиссии по вопросам этики  требованиям настоящего Стандарта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8.2.9. Разрешение или одобрение протокола или уведомление о протоколе от уполномоченного органа (где требуется)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подтвердить,что разрешение или одобрение или уведомление уполномоченного органа получено до начала исследования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 Резюме  и другие документы, подтверждающие квалификацию исследователей и соисследователей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квалификацию и пригодность для проведения исследования и (или) осуществления медицинского наблюдения за субъектами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8.2.11. Нормальный диапазон значений для предусмотренных протоколом медицинских, лабораторных, технических процедур и (или) тестов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нормальный диапазон значений для лабораторных тестов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Медицинские или лабораторные или технические процедуры (тесты):</w:t>
                  </w:r>
                </w:p>
                <w:p>
                  <w:pPr>
                    <w:spacing w:after="20"/>
                    <w:ind w:left="20"/>
                    <w:jc w:val="both"/>
                  </w:pPr>
                  <w:r>
                    <w:rPr>
                      <w:rFonts w:ascii="Times New Roman"/>
                      <w:b w:val="false"/>
                      <w:i w:val="false"/>
                      <w:color w:val="000000"/>
                      <w:sz w:val="20"/>
                    </w:rPr>
                    <w:t>
- сертификация или</w:t>
                  </w:r>
                </w:p>
                <w:p>
                  <w:pPr>
                    <w:spacing w:after="20"/>
                    <w:ind w:left="20"/>
                    <w:jc w:val="both"/>
                  </w:pPr>
                  <w:r>
                    <w:rPr>
                      <w:rFonts w:ascii="Times New Roman"/>
                      <w:b w:val="false"/>
                      <w:i w:val="false"/>
                      <w:color w:val="000000"/>
                      <w:sz w:val="20"/>
                    </w:rPr>
                    <w:t>
- аккредитация или</w:t>
                  </w:r>
                </w:p>
                <w:p>
                  <w:pPr>
                    <w:spacing w:after="20"/>
                    <w:ind w:left="20"/>
                    <w:jc w:val="both"/>
                  </w:pPr>
                  <w:r>
                    <w:rPr>
                      <w:rFonts w:ascii="Times New Roman"/>
                      <w:b w:val="false"/>
                      <w:i w:val="false"/>
                      <w:color w:val="000000"/>
                      <w:sz w:val="20"/>
                    </w:rPr>
                    <w:t>
- внутренний и (или) внешний контроль качества или</w:t>
                  </w:r>
                </w:p>
                <w:p>
                  <w:pPr>
                    <w:spacing w:after="20"/>
                    <w:ind w:left="20"/>
                    <w:jc w:val="both"/>
                  </w:pPr>
                  <w:r>
                    <w:rPr>
                      <w:rFonts w:ascii="Times New Roman"/>
                      <w:b w:val="false"/>
                      <w:i w:val="false"/>
                      <w:color w:val="000000"/>
                      <w:sz w:val="20"/>
                    </w:rPr>
                    <w:t xml:space="preserve">
- другие методы подтверждения (где требуется)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пригодность оборудования для проведения требуемых тестов и обеспечения надежности результатов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8.2.13. Образцы этикеток на упаковках исследуемых препаратов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соблюдение соответствующих требований к маркировке исследуемого препарата и пригодность инструкций субъектов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8.2.14. Инструкция по обращению с исследуемыми препаратами и расходными материалами (если не БИ)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инструкции для обеспечения надлежащего хранения, упаковки, распределения и утилизации исследуемых препаратов и расходных материалов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8.2.15. Учет поставок исследуемых препаратов и расходных материалов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даты и способ поставки, номера серий исследуемых препаратов и расходных материалов. Позволяет отследить серию препарата, контролировать условия поставки и вести учет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8.2.16. Сертификаты анализов поставляемых исследуемых препаратов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подлинность, чистоту и количественное содержание активного вещества (дозировку) исследуемых препаратов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8.2.17. Процедуры раскрытия кода для исследований, проводимых слепым методом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процедуру экстренной идентификации маскированного исследуемого препарата без нарушения маскировки для остальных субъектов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(третья сторона, если требуется)</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8.2.18. Рандомизационный список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метод рандомизации субъектов исследования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(третья сторона, если требуется)</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 Отчет монитора о выборе исследователького центра</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приемлемость исследовательского центра для данного исследования (может быть объединено с пунктом 8.2.20.)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 Отчет монитора о готовности клинической базы</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факт ознакомления исследователя и исследовательский персонал с процедурами исследования (может быть объединено с пунктом 8.2.19.)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Сообщение спонсора о начале клинического исследования в адрес уполномоченного органа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факт начала клинического исследования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Во время клинической фазы исследования.</w:t>
            </w:r>
          </w:p>
          <w:p>
            <w:pPr>
              <w:spacing w:after="20"/>
              <w:ind w:left="20"/>
              <w:jc w:val="both"/>
            </w:pPr>
            <w:r>
              <w:rPr>
                <w:rFonts w:ascii="Times New Roman"/>
                <w:b w:val="false"/>
                <w:i w:val="false"/>
                <w:color w:val="000000"/>
                <w:sz w:val="20"/>
              </w:rPr>
              <w:t>
   В подтверждение того, что вся необходимая новая информация документально оформляется по мере ее поступления, в дополнение к вышеперечисленным документам, имеющимся в файле, по ходу исследования добавляются следующие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7574"/>
              <w:gridCol w:w="550"/>
              <w:gridCol w:w="463"/>
            </w:tblGrid>
            <w:tr>
              <w:trPr>
                <w:trHeight w:val="3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c>
                <w:tcPr>
                  <w:tcW w:w="7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исследователя (медицинской организации)</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спонсора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 Обновленные версии БИ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факт своевременного сообщения исследователю (медицинской  организации) необходимой информации по мере ее поступления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Любое изменение:</w:t>
                  </w:r>
                </w:p>
                <w:p>
                  <w:pPr>
                    <w:spacing w:after="20"/>
                    <w:ind w:left="20"/>
                    <w:jc w:val="both"/>
                  </w:pPr>
                  <w:r>
                    <w:rPr>
                      <w:rFonts w:ascii="Times New Roman"/>
                      <w:b w:val="false"/>
                      <w:i w:val="false"/>
                      <w:color w:val="000000"/>
                      <w:sz w:val="20"/>
                    </w:rPr>
                    <w:t>
- протокола (поправок) и ИРК</w:t>
                  </w:r>
                </w:p>
                <w:p>
                  <w:pPr>
                    <w:spacing w:after="20"/>
                    <w:ind w:left="20"/>
                    <w:jc w:val="both"/>
                  </w:pPr>
                  <w:r>
                    <w:rPr>
                      <w:rFonts w:ascii="Times New Roman"/>
                      <w:b w:val="false"/>
                      <w:i w:val="false"/>
                      <w:color w:val="000000"/>
                      <w:sz w:val="20"/>
                    </w:rPr>
                    <w:t>
- формы информированного согласия</w:t>
                  </w:r>
                </w:p>
                <w:p>
                  <w:pPr>
                    <w:spacing w:after="20"/>
                    <w:ind w:left="20"/>
                    <w:jc w:val="both"/>
                  </w:pPr>
                  <w:r>
                    <w:rPr>
                      <w:rFonts w:ascii="Times New Roman"/>
                      <w:b w:val="false"/>
                      <w:i w:val="false"/>
                      <w:color w:val="000000"/>
                      <w:sz w:val="20"/>
                    </w:rPr>
                    <w:t>
- любой другой письменной информации, предоставляемой субъектам</w:t>
                  </w:r>
                </w:p>
                <w:p>
                  <w:pPr>
                    <w:spacing w:after="20"/>
                    <w:ind w:left="20"/>
                    <w:jc w:val="both"/>
                  </w:pPr>
                  <w:r>
                    <w:rPr>
                      <w:rFonts w:ascii="Times New Roman"/>
                      <w:b w:val="false"/>
                      <w:i w:val="false"/>
                      <w:color w:val="000000"/>
                      <w:sz w:val="20"/>
                    </w:rPr>
                    <w:t xml:space="preserve">
- рекламных объявлений для привлечения субъектов в исследование (если используются)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изменения данных документов, произведенные во время исследования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Датированное и документально оформленное одобрение (заключение) Комиссией по вопросам этики  следующих документов:</w:t>
                  </w:r>
                </w:p>
                <w:p>
                  <w:pPr>
                    <w:spacing w:after="20"/>
                    <w:ind w:left="20"/>
                    <w:jc w:val="both"/>
                  </w:pPr>
                  <w:r>
                    <w:rPr>
                      <w:rFonts w:ascii="Times New Roman"/>
                      <w:b w:val="false"/>
                      <w:i w:val="false"/>
                      <w:color w:val="000000"/>
                      <w:sz w:val="20"/>
                    </w:rPr>
                    <w:t>
- поправок к протоколу</w:t>
                  </w:r>
                </w:p>
                <w:p>
                  <w:pPr>
                    <w:spacing w:after="20"/>
                    <w:ind w:left="20"/>
                    <w:jc w:val="both"/>
                  </w:pPr>
                  <w:r>
                    <w:rPr>
                      <w:rFonts w:ascii="Times New Roman"/>
                      <w:b w:val="false"/>
                      <w:i w:val="false"/>
                      <w:color w:val="000000"/>
                      <w:sz w:val="20"/>
                    </w:rPr>
                    <w:t>
- новых редакций:</w:t>
                  </w:r>
                </w:p>
                <w:p>
                  <w:pPr>
                    <w:spacing w:after="20"/>
                    <w:ind w:left="20"/>
                    <w:jc w:val="both"/>
                  </w:pPr>
                  <w:r>
                    <w:rPr>
                      <w:rFonts w:ascii="Times New Roman"/>
                      <w:b w:val="false"/>
                      <w:i w:val="false"/>
                      <w:color w:val="000000"/>
                      <w:sz w:val="20"/>
                    </w:rPr>
                    <w:t>
- формы информированного согласия</w:t>
                  </w:r>
                </w:p>
                <w:p>
                  <w:pPr>
                    <w:spacing w:after="20"/>
                    <w:ind w:left="20"/>
                    <w:jc w:val="both"/>
                  </w:pPr>
                  <w:r>
                    <w:rPr>
                      <w:rFonts w:ascii="Times New Roman"/>
                      <w:b w:val="false"/>
                      <w:i w:val="false"/>
                      <w:color w:val="000000"/>
                      <w:sz w:val="20"/>
                    </w:rPr>
                    <w:t>
- предоставляемых субъектам информационных материалов</w:t>
                  </w:r>
                </w:p>
                <w:p>
                  <w:pPr>
                    <w:spacing w:after="20"/>
                    <w:ind w:left="20"/>
                    <w:jc w:val="both"/>
                  </w:pPr>
                  <w:r>
                    <w:rPr>
                      <w:rFonts w:ascii="Times New Roman"/>
                      <w:b w:val="false"/>
                      <w:i w:val="false"/>
                      <w:color w:val="000000"/>
                      <w:sz w:val="20"/>
                    </w:rPr>
                    <w:t>
- рекламных объявлений для привлечения субъектов в исследование (если используется)</w:t>
                  </w:r>
                </w:p>
                <w:p>
                  <w:pPr>
                    <w:spacing w:after="20"/>
                    <w:ind w:left="20"/>
                    <w:jc w:val="both"/>
                  </w:pPr>
                  <w:r>
                    <w:rPr>
                      <w:rFonts w:ascii="Times New Roman"/>
                      <w:b w:val="false"/>
                      <w:i w:val="false"/>
                      <w:color w:val="000000"/>
                      <w:sz w:val="20"/>
                    </w:rPr>
                    <w:t>
- других разрешенных (одобренных) документов</w:t>
                  </w:r>
                </w:p>
                <w:p>
                  <w:pPr>
                    <w:spacing w:after="20"/>
                    <w:ind w:left="20"/>
                    <w:jc w:val="both"/>
                  </w:pPr>
                  <w:r>
                    <w:rPr>
                      <w:rFonts w:ascii="Times New Roman"/>
                      <w:b w:val="false"/>
                      <w:i w:val="false"/>
                      <w:color w:val="000000"/>
                      <w:sz w:val="20"/>
                    </w:rPr>
                    <w:t xml:space="preserve">
- результатов периодического рассмотрения документации по исследованию (где требуется)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факт рассмотрения и одобрения (выдачи заключения) Комиссией по вопросам этики поправок и (или) новых редакций. Указываются редакция и дата документа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 Где требуется, разрешение, одобрение, уведомление уполномоченных органов для: </w:t>
                  </w:r>
                </w:p>
                <w:p>
                  <w:pPr>
                    <w:spacing w:after="20"/>
                    <w:ind w:left="20"/>
                    <w:jc w:val="both"/>
                  </w:pPr>
                  <w:r>
                    <w:rPr>
                      <w:rFonts w:ascii="Times New Roman"/>
                      <w:b w:val="false"/>
                      <w:i w:val="false"/>
                      <w:color w:val="000000"/>
                      <w:sz w:val="20"/>
                    </w:rPr>
                    <w:t xml:space="preserve">
- поправок к протоколу и других документов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соответствие нормативным требованиям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(где требуется)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Текущую редакцию резюме исследователя,  новых исследователей и (или) соисследователей</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Смотрите пункт 8.2.10.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8.3.6. Изменения нормального диапазона значений для предусмотренных протоколом медицинских, лабораторных, технических процедур (тестов)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нормальный диапазон значений тестов, измененных в ходе исследования (смотрите пункт 8.2.11.)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Изменения в медицинских, лабораторных, технических процедурах (тестах):</w:t>
                  </w:r>
                </w:p>
                <w:p>
                  <w:pPr>
                    <w:spacing w:after="20"/>
                    <w:ind w:left="20"/>
                    <w:jc w:val="both"/>
                  </w:pPr>
                  <w:r>
                    <w:rPr>
                      <w:rFonts w:ascii="Times New Roman"/>
                      <w:b w:val="false"/>
                      <w:i w:val="false"/>
                      <w:color w:val="000000"/>
                      <w:sz w:val="20"/>
                    </w:rPr>
                    <w:t>
- сертификация или</w:t>
                  </w:r>
                </w:p>
                <w:p>
                  <w:pPr>
                    <w:spacing w:after="20"/>
                    <w:ind w:left="20"/>
                    <w:jc w:val="both"/>
                  </w:pPr>
                  <w:r>
                    <w:rPr>
                      <w:rFonts w:ascii="Times New Roman"/>
                      <w:b w:val="false"/>
                      <w:i w:val="false"/>
                      <w:color w:val="000000"/>
                      <w:sz w:val="20"/>
                    </w:rPr>
                    <w:t>
- аккредитация или</w:t>
                  </w:r>
                </w:p>
                <w:p>
                  <w:pPr>
                    <w:spacing w:after="20"/>
                    <w:ind w:left="20"/>
                    <w:jc w:val="both"/>
                  </w:pPr>
                  <w:r>
                    <w:rPr>
                      <w:rFonts w:ascii="Times New Roman"/>
                      <w:b w:val="false"/>
                      <w:i w:val="false"/>
                      <w:color w:val="000000"/>
                      <w:sz w:val="20"/>
                    </w:rPr>
                    <w:t>
- внутренний и (или) внешний контроль качества или</w:t>
                  </w:r>
                </w:p>
                <w:p>
                  <w:pPr>
                    <w:spacing w:after="20"/>
                    <w:ind w:left="20"/>
                    <w:jc w:val="both"/>
                  </w:pPr>
                  <w:r>
                    <w:rPr>
                      <w:rFonts w:ascii="Times New Roman"/>
                      <w:b w:val="false"/>
                      <w:i w:val="false"/>
                      <w:color w:val="000000"/>
                      <w:sz w:val="20"/>
                    </w:rPr>
                    <w:t xml:space="preserve">
- другие методы подтверждения (где требуется)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тесты продолжают отвечать требованиям в течение периода исследования (смотрите пункт 8.2.12.)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8.3.8. Документация по поставкам исследуемых препаратов и расходных материалов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Смотрите пункт 8.2.15.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8.3.9. Сертификаты анализа новых серий исследуемых препаратов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Смотрите пункт 8.2.16.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8.3.10. Отчеты мониторов о визитах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визиты мониторов и их результаты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Существенные для исследования переговоры  (переписка ) (помимо визитов):</w:t>
                  </w:r>
                </w:p>
                <w:p>
                  <w:pPr>
                    <w:spacing w:after="20"/>
                    <w:ind w:left="20"/>
                    <w:jc w:val="both"/>
                  </w:pPr>
                  <w:r>
                    <w:rPr>
                      <w:rFonts w:ascii="Times New Roman"/>
                      <w:b w:val="false"/>
                      <w:i w:val="false"/>
                      <w:color w:val="000000"/>
                      <w:sz w:val="20"/>
                    </w:rPr>
                    <w:t>
- переписка</w:t>
                  </w:r>
                </w:p>
                <w:p>
                  <w:pPr>
                    <w:spacing w:after="20"/>
                    <w:ind w:left="20"/>
                    <w:jc w:val="both"/>
                  </w:pPr>
                  <w:r>
                    <w:rPr>
                      <w:rFonts w:ascii="Times New Roman"/>
                      <w:b w:val="false"/>
                      <w:i w:val="false"/>
                      <w:color w:val="000000"/>
                      <w:sz w:val="20"/>
                    </w:rPr>
                    <w:t>
- записи встреч</w:t>
                  </w:r>
                </w:p>
                <w:p>
                  <w:pPr>
                    <w:spacing w:after="20"/>
                    <w:ind w:left="20"/>
                    <w:jc w:val="both"/>
                  </w:pPr>
                  <w:r>
                    <w:rPr>
                      <w:rFonts w:ascii="Times New Roman"/>
                      <w:b w:val="false"/>
                      <w:i w:val="false"/>
                      <w:color w:val="000000"/>
                      <w:sz w:val="20"/>
                    </w:rPr>
                    <w:t xml:space="preserve">
- записи телефонных переговоров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любые соглашения либо существенные переговоры, касающиеся вопросов проведения исследования, административных аспектов, нарушений протокола, отчетности по нежелательным явлениям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Подписанные формы информированного согласия  (информационного листка) пациента</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согласие каждого субъекта получено в соответствии с настоящим Стандартом и протоколом до начала участия в исследовании. Кроме того, документально закрепить разрешение на прямой доступ (смотрите пункт 8.2.3.)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8.3.13. Первичная документация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факт существования субъекта и достоверность собранных данных. Включить исходные документы, относящиеся к исследованию, лечению и анамнезу субъекта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8.3.14. Заполненные, датированные и подписанные ИРК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оформить подтверждение исследователем или уполномоченными сотрудниками исследователя (медицинской организации) зарегистрированных данных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(копия)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(оригинал)</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8.3.15. Документирование исправлений в ИРК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все изменения (дополнения) или исправления, сделанные в ИРК после записи первоначальных данных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(копия)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(оригинал)</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8.3.16. Уведомление спонсора исследователем о серьезных нежелательных явлениях и соответствующие отчеты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спонсора исследователем о серьезных нежелательных явлениях и соответствующие отчеты согласно п. 4.11.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Уведомление спонсором и (или) исследователем, медицинской организацией уполномоченного органа и  Комиссии по вопросам этики  о непредвиденных серьезных нежелательных лекарственных реакциях и о другой информации по безопасности</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спонсором и (или) исследователем или медицинской организацией уполномоченного органа и Комиссии по вопросам этики о непредвиденных серьезных нежелательных реакциях в соответствии с пп. 5.17. и 4.11.1. и о другой информации по безопасности в соответствии с пп. 5.16.2. и 4.11.2.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8.3.18. Сообщение спонсором исследователю информации по безопасности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Сообщение спонсором исследователю информации по безопасности в соответствии с пунктом 5.16.2.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8.3.19. Промежуточные или годовые отчеты, предоставляемые Комиссии по вопросам этики  и уполномоченному органу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Промежуточные или годовые отчеты, предоставляемые Комиссии по вопросам этики  в соответствии с пунктом  4.10. и уполномоченному органу в соответствии с пунктом  5.17.3.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8.3.20. Журнал скрининга субъектов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идентификацию субъектов, прошедших перед исследованием скрининг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 Список идентификационных кодов субъектов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исследователь (медицинская организация) хранят конфиденциальный список имен всех субъектов, которым при включении в исследование были присвоены идентификационные коды. Позволяет исследователю  (организации) идентифицировать любого субъекта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8.3.22. Журнал регистрации включения субъектов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хронологическую последовательность включения субъектов по идентификационным кодам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8.3.23. Учет исследуемого препарата на клинической базе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использование исследуемого препарата в соответствии с протоколом</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8.3.24. Лист образцов подписей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образцы подписей и инициалов всех лиц, уполномоченных вносить данные и (или) исправления в ИРК</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Учет хранящихся образцов биологических жидкостей или тканей (если имеются)</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местонахождение и идентификацию хранящихся образцов в случае необходимости проведения повторных анализов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После завершения или досрочного прекращения исследования.</w:t>
            </w:r>
          </w:p>
          <w:p>
            <w:pPr>
              <w:spacing w:after="20"/>
              <w:ind w:left="20"/>
              <w:jc w:val="both"/>
            </w:pPr>
            <w:r>
              <w:rPr>
                <w:rFonts w:ascii="Times New Roman"/>
                <w:b w:val="false"/>
                <w:i w:val="false"/>
                <w:color w:val="000000"/>
                <w:sz w:val="20"/>
              </w:rPr>
              <w:t>
   После завершения или досрочного прекращения исследования все документы, перечисленные в 8.2. и 8.3., содержатся в файле исследования вместе с нижеуказанными документами: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8"/>
              <w:gridCol w:w="5306"/>
              <w:gridCol w:w="1419"/>
              <w:gridCol w:w="687"/>
            </w:tblGrid>
            <w:tr>
              <w:trPr>
                <w:trHeight w:val="30" w:hRule="atLeast"/>
              </w:trPr>
              <w:tc>
                <w:tcPr>
                  <w:tcW w:w="4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исследователя (медицинской организации)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спонсора</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Учет исследуемого препарата на клинической базе (медицинской организации)</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использование исследуемого препарата в соответствии с протоколом. Документально закрепить результаты окончательного подсчета количества исследуемого препарата, полученного клинической базой или медицинской организацией, выданного субъектам, возвращенного субъектами и возвращенного спонсору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 Документация по уничтожению исследуемого препарата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факт уничтожения неиспользованных исследуемых препаратов спонсором или в исследовательском центре/ медицинской организации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(если препарат уничтожен на клинической базе)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 Итоговый список идентификационных кодов субъектов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Сделать возможной идентификацию всех включенных в исследование субъектов в случае необходимости их последующего наблюдения. Список хранится с соблюдением требований конфиденциальности в течение согласованного срока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 Сертификат аудита (если имеется)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факт проведения аудита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Итоговый отчет монитора о завершении исследования на клинической базе</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окончание всех мероприятий исследования, необходимых для завершающего визита, и наличие копий основных документов в соответствующих файлах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Документация по распределению субъектов по группам и раскрытию кодов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Возвращается спонсору для документального закрепления имевших место случаев вскрытия кодов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 Итоговый отчет исследователя, предоставляемый Комиссии по вопросам этики  (если требуется) и уполномоченному органу (где применимо)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завершение исследования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 Отчет о клиническом исследовании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результаты исследования и их интерпретацию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(если применимо)</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ПРЕДСТАВЛЕНИЯ ИНФОРМАЦИИ ПО БЕЗОПАСНОСТИ В ХОДЕ КЛИНИЧЕСКИХ ИССЛЕДОВАНИЙ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Обязанности спонсора по представлению информации по безопасности в ходе клинического исследования</w:t>
            </w:r>
          </w:p>
          <w:p>
            <w:pPr>
              <w:spacing w:after="20"/>
              <w:ind w:left="20"/>
              <w:jc w:val="both"/>
            </w:pPr>
            <w:r>
              <w:rPr>
                <w:rFonts w:ascii="Times New Roman"/>
                <w:b w:val="false"/>
                <w:i w:val="false"/>
                <w:color w:val="000000"/>
                <w:sz w:val="20"/>
              </w:rPr>
              <w:t>
   </w:t>
            </w:r>
            <w:r>
              <w:rPr>
                <w:rFonts w:ascii="Times New Roman"/>
                <w:b/>
                <w:i w:val="false"/>
                <w:color w:val="000000"/>
                <w:sz w:val="20"/>
              </w:rPr>
              <w:t>1.1. Организация системы письменных стандартных процедур</w:t>
            </w:r>
          </w:p>
          <w:p>
            <w:pPr>
              <w:spacing w:after="20"/>
              <w:ind w:left="20"/>
              <w:jc w:val="both"/>
            </w:pPr>
            <w:r>
              <w:rPr>
                <w:rFonts w:ascii="Times New Roman"/>
                <w:b w:val="false"/>
                <w:i w:val="false"/>
                <w:color w:val="000000"/>
                <w:sz w:val="20"/>
              </w:rPr>
              <w:t>
   Спонсор несет ответственность за организацию системы письменных стандартных процедур в целях обеспечения требуемого уровня стандартов качества при выполнении функций документирования, сбора данных, валидации, оценки, архивирования, отчетности и представления последующей информации по выявляемым нежелательным реакциям при проведении клинических исследований.</w:t>
            </w:r>
          </w:p>
          <w:p>
            <w:pPr>
              <w:spacing w:after="20"/>
              <w:ind w:left="20"/>
              <w:jc w:val="both"/>
            </w:pPr>
            <w:r>
              <w:rPr>
                <w:rFonts w:ascii="Times New Roman"/>
                <w:b w:val="false"/>
                <w:i w:val="false"/>
                <w:color w:val="000000"/>
                <w:sz w:val="20"/>
              </w:rPr>
              <w:t>
   </w:t>
            </w:r>
            <w:r>
              <w:rPr>
                <w:rFonts w:ascii="Times New Roman"/>
                <w:b/>
                <w:i w:val="false"/>
                <w:color w:val="000000"/>
                <w:sz w:val="20"/>
              </w:rPr>
              <w:t>1.2. Срок представления информации о серьезных непредвиденных нежелательных реакциях</w:t>
            </w:r>
          </w:p>
          <w:p>
            <w:pPr>
              <w:spacing w:after="20"/>
              <w:ind w:left="20"/>
              <w:jc w:val="both"/>
            </w:pPr>
            <w:r>
              <w:rPr>
                <w:rFonts w:ascii="Times New Roman"/>
                <w:b w:val="false"/>
                <w:i w:val="false"/>
                <w:color w:val="000000"/>
                <w:sz w:val="20"/>
              </w:rPr>
              <w:t>
   1.2.1. Спонсор представляет информацию обо всех серьезных непредвиденных нежелательных реакциях (далее - СННР) на исследуемый препарат, выявленных в ходе клинических исследований, одобренных к проведению в Республике Казахстан, в экспертную организацию и Комиссии по вопросам этики соответствующих клинических баз в соответствии с процедурами указанных комиссий:</w:t>
            </w:r>
          </w:p>
          <w:p>
            <w:pPr>
              <w:spacing w:after="20"/>
              <w:ind w:left="20"/>
              <w:jc w:val="both"/>
            </w:pPr>
            <w:r>
              <w:rPr>
                <w:rFonts w:ascii="Times New Roman"/>
                <w:b w:val="false"/>
                <w:i w:val="false"/>
                <w:color w:val="000000"/>
                <w:sz w:val="20"/>
              </w:rPr>
              <w:t>
   в срок до 7 календарных дней от даты получения информации о выявлении СННР, в случае, если они привели к смерти или представляли угрозу для жизни;</w:t>
            </w:r>
          </w:p>
          <w:p>
            <w:pPr>
              <w:spacing w:after="20"/>
              <w:ind w:left="20"/>
              <w:jc w:val="both"/>
            </w:pPr>
            <w:r>
              <w:rPr>
                <w:rFonts w:ascii="Times New Roman"/>
                <w:b w:val="false"/>
                <w:i w:val="false"/>
                <w:color w:val="000000"/>
                <w:sz w:val="20"/>
              </w:rPr>
              <w:t xml:space="preserve">
   в срок до 15 календарных дней от даты получения информации о выявлении СННР для остальных серьезных непредвиденных нежелательных реакций. </w:t>
            </w:r>
          </w:p>
          <w:p>
            <w:pPr>
              <w:spacing w:after="20"/>
              <w:ind w:left="20"/>
              <w:jc w:val="both"/>
            </w:pPr>
            <w:r>
              <w:rPr>
                <w:rFonts w:ascii="Times New Roman"/>
                <w:b w:val="false"/>
                <w:i w:val="false"/>
                <w:color w:val="000000"/>
                <w:sz w:val="20"/>
              </w:rPr>
              <w:t xml:space="preserve">
   1.2.2. В случае отсутствия у спонсора полной информации на дату представления срочного сообщения о случае смерти или развитии жизнеугрожающего состояния, спонсором предпринимаются все меры по получению полной информации, которая представляется в форме последующего срочного сообщения о выявленной серьезной непредвиденной нежелательной реакции в срок до 8 календарных дней от даты представления первичного сообщения. </w:t>
            </w:r>
          </w:p>
          <w:p>
            <w:pPr>
              <w:spacing w:after="20"/>
              <w:ind w:left="20"/>
              <w:jc w:val="both"/>
            </w:pPr>
            <w:r>
              <w:rPr>
                <w:rFonts w:ascii="Times New Roman"/>
                <w:b w:val="false"/>
                <w:i w:val="false"/>
                <w:color w:val="000000"/>
                <w:sz w:val="20"/>
              </w:rPr>
              <w:t>
   1.2.3. В случае получения спонсором новой значимой информации по выявленной серьезной непредвиденной нежелательной реакции, данная информация представляется в форме последующего сообщения в течение 15 календарных дней от даты ее получения.</w:t>
            </w:r>
          </w:p>
          <w:p>
            <w:pPr>
              <w:spacing w:after="20"/>
              <w:ind w:left="20"/>
              <w:jc w:val="both"/>
            </w:pPr>
            <w:r>
              <w:rPr>
                <w:rFonts w:ascii="Times New Roman"/>
                <w:b w:val="false"/>
                <w:i w:val="false"/>
                <w:color w:val="000000"/>
                <w:sz w:val="20"/>
              </w:rPr>
              <w:t>
   1.2.4. Требования по представлению информации о серьезных непредвиденных нежелательных реакциях распространяются на исследуемый препарат, включая препарат сравнения и плацебо. Случаи СННР, связанные с приемом плацебо, не подлежат срочному представлению, за исключением случаев, когда данная реакция обусловлена компонентами, входящими в состав плацебо.</w:t>
            </w:r>
          </w:p>
          <w:p>
            <w:pPr>
              <w:spacing w:after="20"/>
              <w:ind w:left="20"/>
              <w:jc w:val="both"/>
            </w:pPr>
            <w:r>
              <w:rPr>
                <w:rFonts w:ascii="Times New Roman"/>
                <w:b w:val="false"/>
                <w:i w:val="false"/>
                <w:color w:val="000000"/>
                <w:sz w:val="20"/>
              </w:rPr>
              <w:t>
   </w:t>
            </w:r>
            <w:r>
              <w:rPr>
                <w:rFonts w:ascii="Times New Roman"/>
                <w:b/>
                <w:i w:val="false"/>
                <w:color w:val="000000"/>
                <w:sz w:val="20"/>
              </w:rPr>
              <w:t>1.3. Требования к информации о серьезной непредвиденной нежелательной реакции</w:t>
            </w:r>
          </w:p>
          <w:p>
            <w:pPr>
              <w:spacing w:after="20"/>
              <w:ind w:left="20"/>
              <w:jc w:val="both"/>
            </w:pPr>
            <w:r>
              <w:rPr>
                <w:rFonts w:ascii="Times New Roman"/>
                <w:b w:val="false"/>
                <w:i w:val="false"/>
                <w:color w:val="000000"/>
                <w:sz w:val="20"/>
              </w:rPr>
              <w:t>
   1.3.1. Требуемая минимальная информация о серьезной непредвиденной нежелательной реакции</w:t>
            </w:r>
          </w:p>
          <w:p>
            <w:pPr>
              <w:spacing w:after="20"/>
              <w:ind w:left="20"/>
              <w:jc w:val="both"/>
            </w:pPr>
            <w:r>
              <w:rPr>
                <w:rFonts w:ascii="Times New Roman"/>
                <w:b w:val="false"/>
                <w:i w:val="false"/>
                <w:color w:val="000000"/>
                <w:sz w:val="20"/>
              </w:rPr>
              <w:t>
   Минимальная информация при представлении в установленные сроки первичного срочного сообщения о выявленной серьезной непредвиденной нежелательной реакции включает:</w:t>
            </w:r>
          </w:p>
          <w:p>
            <w:pPr>
              <w:spacing w:after="20"/>
              <w:ind w:left="20"/>
              <w:jc w:val="both"/>
            </w:pPr>
            <w:r>
              <w:rPr>
                <w:rFonts w:ascii="Times New Roman"/>
                <w:b w:val="false"/>
                <w:i w:val="false"/>
                <w:color w:val="000000"/>
                <w:sz w:val="20"/>
              </w:rPr>
              <w:t xml:space="preserve">
   указание подозреваемого исследуемого препарата; идентификационный код субъекта исследования, у которого развилась нежелательная реакция; </w:t>
            </w:r>
          </w:p>
          <w:p>
            <w:pPr>
              <w:spacing w:after="20"/>
              <w:ind w:left="20"/>
              <w:jc w:val="both"/>
            </w:pPr>
            <w:r>
              <w:rPr>
                <w:rFonts w:ascii="Times New Roman"/>
                <w:b w:val="false"/>
                <w:i w:val="false"/>
                <w:color w:val="000000"/>
                <w:sz w:val="20"/>
              </w:rPr>
              <w:t xml:space="preserve">
   описание нежелательной реакции или ее исхода, которые определены как серьезные и непредвиденные и для которых предполагается наличие причинно-следственной связи с приемом исследуемого препарата; </w:t>
            </w:r>
          </w:p>
          <w:p>
            <w:pPr>
              <w:spacing w:after="20"/>
              <w:ind w:left="20"/>
              <w:jc w:val="both"/>
            </w:pPr>
            <w:r>
              <w:rPr>
                <w:rFonts w:ascii="Times New Roman"/>
                <w:b w:val="false"/>
                <w:i w:val="false"/>
                <w:color w:val="000000"/>
                <w:sz w:val="20"/>
              </w:rPr>
              <w:t xml:space="preserve">
   результат оценки причинно-следственной связи; </w:t>
            </w:r>
          </w:p>
          <w:p>
            <w:pPr>
              <w:spacing w:after="20"/>
              <w:ind w:left="20"/>
              <w:jc w:val="both"/>
            </w:pPr>
            <w:r>
              <w:rPr>
                <w:rFonts w:ascii="Times New Roman"/>
                <w:b w:val="false"/>
                <w:i w:val="false"/>
                <w:color w:val="000000"/>
                <w:sz w:val="20"/>
              </w:rPr>
              <w:t>
   источник получения информации о нежелательной реакции; идентификационный номер сообщения о нежелательной реакции, присвоенный спонсором;</w:t>
            </w:r>
          </w:p>
          <w:p>
            <w:pPr>
              <w:spacing w:after="20"/>
              <w:ind w:left="20"/>
              <w:jc w:val="both"/>
            </w:pPr>
            <w:r>
              <w:rPr>
                <w:rFonts w:ascii="Times New Roman"/>
                <w:b w:val="false"/>
                <w:i w:val="false"/>
                <w:color w:val="000000"/>
                <w:sz w:val="20"/>
              </w:rPr>
              <w:t xml:space="preserve">
   номер протокола исследования. </w:t>
            </w:r>
          </w:p>
          <w:p>
            <w:pPr>
              <w:spacing w:after="20"/>
              <w:ind w:left="20"/>
              <w:jc w:val="both"/>
            </w:pPr>
            <w:r>
              <w:rPr>
                <w:rFonts w:ascii="Times New Roman"/>
                <w:b w:val="false"/>
                <w:i w:val="false"/>
                <w:color w:val="000000"/>
                <w:sz w:val="20"/>
              </w:rPr>
              <w:t>
   1.3.2. Полная информация о серьезной непредвиденной нежелательной реакции</w:t>
            </w:r>
          </w:p>
          <w:p>
            <w:pPr>
              <w:spacing w:after="20"/>
              <w:ind w:left="20"/>
              <w:jc w:val="both"/>
            </w:pPr>
            <w:r>
              <w:rPr>
                <w:rFonts w:ascii="Times New Roman"/>
                <w:b w:val="false"/>
                <w:i w:val="false"/>
                <w:color w:val="000000"/>
                <w:sz w:val="20"/>
              </w:rPr>
              <w:t>
   Следует обеспечить последующий сбор и представление полной информации о случае СННР, которая соответствует требованиям руководства Международной конференции по гармонизации "Управление данными по безопасности – элементы данных для передачи сообщений об индивидуальных случаях нежелательных реакций" Е2B.</w:t>
            </w:r>
          </w:p>
          <w:p>
            <w:pPr>
              <w:spacing w:after="20"/>
              <w:ind w:left="20"/>
              <w:jc w:val="both"/>
            </w:pPr>
            <w:r>
              <w:rPr>
                <w:rFonts w:ascii="Times New Roman"/>
                <w:b w:val="false"/>
                <w:i w:val="false"/>
                <w:color w:val="000000"/>
                <w:sz w:val="20"/>
              </w:rPr>
              <w:t>
   </w:t>
            </w:r>
            <w:r>
              <w:rPr>
                <w:rFonts w:ascii="Times New Roman"/>
                <w:b/>
                <w:i w:val="false"/>
                <w:color w:val="000000"/>
                <w:sz w:val="20"/>
              </w:rPr>
              <w:t>1.4. Справочная информация по безопасности</w:t>
            </w:r>
          </w:p>
          <w:p>
            <w:pPr>
              <w:spacing w:after="20"/>
              <w:ind w:left="20"/>
              <w:jc w:val="both"/>
            </w:pPr>
            <w:r>
              <w:rPr>
                <w:rFonts w:ascii="Times New Roman"/>
                <w:b w:val="false"/>
                <w:i w:val="false"/>
                <w:color w:val="000000"/>
                <w:sz w:val="20"/>
              </w:rPr>
              <w:t>
   1.4.1. Справочная информация по безопасности исследуемого препарата</w:t>
            </w:r>
          </w:p>
          <w:p>
            <w:pPr>
              <w:spacing w:after="20"/>
              <w:ind w:left="20"/>
              <w:jc w:val="both"/>
            </w:pPr>
            <w:r>
              <w:rPr>
                <w:rFonts w:ascii="Times New Roman"/>
                <w:b w:val="false"/>
                <w:i w:val="false"/>
                <w:color w:val="000000"/>
                <w:sz w:val="20"/>
              </w:rPr>
              <w:t>
   В целях определения предвиденности выявленной в ходе проведения клинического исследования СНР на исследуемый препарат используется действующая на дату выявления СНР версия БИ.</w:t>
            </w:r>
          </w:p>
          <w:p>
            <w:pPr>
              <w:spacing w:after="20"/>
              <w:ind w:left="20"/>
              <w:jc w:val="both"/>
            </w:pPr>
            <w:r>
              <w:rPr>
                <w:rFonts w:ascii="Times New Roman"/>
                <w:b w:val="false"/>
                <w:i w:val="false"/>
                <w:color w:val="000000"/>
                <w:sz w:val="20"/>
              </w:rPr>
              <w:t>
   1.4.2. Справочная информация по безопасности зарегистрированного лекарственного препарата</w:t>
            </w:r>
          </w:p>
          <w:p>
            <w:pPr>
              <w:spacing w:after="20"/>
              <w:ind w:left="20"/>
              <w:jc w:val="both"/>
            </w:pPr>
            <w:r>
              <w:rPr>
                <w:rFonts w:ascii="Times New Roman"/>
                <w:b w:val="false"/>
                <w:i w:val="false"/>
                <w:color w:val="000000"/>
                <w:sz w:val="20"/>
              </w:rPr>
              <w:t>
   В целях определения предвиденности выявленной в ходе проведения клинического исследования серьезной нежелательной реакции на исследуемый препарат, который зарегистрирован на территории страны выявления СНР, используется действующая на дату выявления нежелательной реакции версия инструкции по медицинскому применению.</w:t>
            </w:r>
          </w:p>
          <w:p>
            <w:pPr>
              <w:spacing w:after="20"/>
              <w:ind w:left="20"/>
              <w:jc w:val="both"/>
            </w:pPr>
            <w:r>
              <w:rPr>
                <w:rFonts w:ascii="Times New Roman"/>
                <w:b w:val="false"/>
                <w:i w:val="false"/>
                <w:color w:val="000000"/>
                <w:sz w:val="20"/>
              </w:rPr>
              <w:t>
   </w:t>
            </w:r>
            <w:r>
              <w:rPr>
                <w:rFonts w:ascii="Times New Roman"/>
                <w:b/>
                <w:i w:val="false"/>
                <w:color w:val="000000"/>
                <w:sz w:val="20"/>
              </w:rPr>
              <w:t>1.5. Представление иной информации по безопасности</w:t>
            </w:r>
          </w:p>
          <w:p>
            <w:pPr>
              <w:spacing w:after="20"/>
              <w:ind w:left="20"/>
              <w:jc w:val="both"/>
            </w:pPr>
            <w:r>
              <w:rPr>
                <w:rFonts w:ascii="Times New Roman"/>
                <w:b w:val="false"/>
                <w:i w:val="false"/>
                <w:color w:val="000000"/>
                <w:sz w:val="20"/>
              </w:rPr>
              <w:t>
   Спонсор в срок до 15 календарных дней в срочном порядке представляет в экспертную организацию Республики Казахстан и Комиссии по вопросам этики соответствующих клинических центров в соответствии с процедурами указанных комиссий иную информацию по безопасности, которая изменяет оценку соотношения польза-риск исследуемого препарата либо служить основанием для изменений в рекомендациях по его назначению, а также основанием для пересмотра возможности дальнейшего проведения исследования:</w:t>
            </w:r>
          </w:p>
          <w:p>
            <w:pPr>
              <w:spacing w:after="20"/>
              <w:ind w:left="20"/>
              <w:jc w:val="both"/>
            </w:pPr>
            <w:r>
              <w:rPr>
                <w:rFonts w:ascii="Times New Roman"/>
                <w:b w:val="false"/>
                <w:i w:val="false"/>
                <w:color w:val="000000"/>
                <w:sz w:val="20"/>
              </w:rPr>
              <w:t>
   1.5.1. о клинически значимом превышении ожидаемой частоты и изменении характера ожидаемых серьезных нежелательных реакций;</w:t>
            </w:r>
          </w:p>
          <w:p>
            <w:pPr>
              <w:spacing w:after="20"/>
              <w:ind w:left="20"/>
              <w:jc w:val="both"/>
            </w:pPr>
            <w:r>
              <w:rPr>
                <w:rFonts w:ascii="Times New Roman"/>
                <w:b w:val="false"/>
                <w:i w:val="false"/>
                <w:color w:val="000000"/>
                <w:sz w:val="20"/>
              </w:rPr>
              <w:t>
   1.5.2. о серьезных непредвиденных нежелательных реакциях, развившихся у пациента после завершения его участия в клиническом исследовании;</w:t>
            </w:r>
          </w:p>
          <w:p>
            <w:pPr>
              <w:spacing w:after="20"/>
              <w:ind w:left="20"/>
              <w:jc w:val="both"/>
            </w:pPr>
            <w:r>
              <w:rPr>
                <w:rFonts w:ascii="Times New Roman"/>
                <w:b w:val="false"/>
                <w:i w:val="false"/>
                <w:color w:val="000000"/>
                <w:sz w:val="20"/>
              </w:rPr>
              <w:t>
   1.5.3. о новых данных, связанных с проведением клинического исследования или с разработкой исследуемого препарата, которые могут повлиять на безопасность пациентов, таких как:</w:t>
            </w:r>
          </w:p>
          <w:p>
            <w:pPr>
              <w:spacing w:after="20"/>
              <w:ind w:left="20"/>
              <w:jc w:val="both"/>
            </w:pPr>
            <w:r>
              <w:rPr>
                <w:rFonts w:ascii="Times New Roman"/>
                <w:b w:val="false"/>
                <w:i w:val="false"/>
                <w:color w:val="000000"/>
                <w:sz w:val="20"/>
              </w:rPr>
              <w:t>
   серьезные нежелательные явления, связанные с процедурой проведения исследования, на основании которой требуется внесение изменений в протокол проведения исследования;</w:t>
            </w:r>
          </w:p>
          <w:p>
            <w:pPr>
              <w:spacing w:after="20"/>
              <w:ind w:left="20"/>
              <w:jc w:val="both"/>
            </w:pPr>
            <w:r>
              <w:rPr>
                <w:rFonts w:ascii="Times New Roman"/>
                <w:b w:val="false"/>
                <w:i w:val="false"/>
                <w:color w:val="000000"/>
                <w:sz w:val="20"/>
              </w:rPr>
              <w:t>
   отсутствие эффективности исследуемого препарата, применяемого при патологии, представляющей угрозу для жизни;</w:t>
            </w:r>
          </w:p>
          <w:p>
            <w:pPr>
              <w:spacing w:after="20"/>
              <w:ind w:left="20"/>
              <w:jc w:val="both"/>
            </w:pPr>
            <w:r>
              <w:rPr>
                <w:rFonts w:ascii="Times New Roman"/>
                <w:b w:val="false"/>
                <w:i w:val="false"/>
                <w:color w:val="000000"/>
                <w:sz w:val="20"/>
              </w:rPr>
              <w:t>
   новые важные данные по безопасности, полученные в ходе недавно завершившихся исследований на животных, в том числе выявленный канцерогенный эффект и аналогичные по тяжести и важности эффекты;</w:t>
            </w:r>
          </w:p>
          <w:p>
            <w:pPr>
              <w:spacing w:after="20"/>
              <w:ind w:left="20"/>
              <w:jc w:val="both"/>
            </w:pPr>
            <w:r>
              <w:rPr>
                <w:rFonts w:ascii="Times New Roman"/>
                <w:b w:val="false"/>
                <w:i w:val="false"/>
                <w:color w:val="000000"/>
                <w:sz w:val="20"/>
              </w:rPr>
              <w:t>
   преждевременное прекращение или приостановка исследования в другой стране (странах), обусловленные изменением в оценке безопасности аналогичного исследуемого препарата;</w:t>
            </w:r>
          </w:p>
          <w:p>
            <w:pPr>
              <w:spacing w:after="20"/>
              <w:ind w:left="20"/>
              <w:jc w:val="both"/>
            </w:pPr>
            <w:r>
              <w:rPr>
                <w:rFonts w:ascii="Times New Roman"/>
                <w:b w:val="false"/>
                <w:i w:val="false"/>
                <w:color w:val="000000"/>
                <w:sz w:val="20"/>
              </w:rPr>
              <w:t>
   иные данные по безопасности, которые изменяют соотношение польза-риск для субъектов исследования;</w:t>
            </w:r>
          </w:p>
          <w:p>
            <w:pPr>
              <w:spacing w:after="20"/>
              <w:ind w:left="20"/>
              <w:jc w:val="both"/>
            </w:pPr>
            <w:r>
              <w:rPr>
                <w:rFonts w:ascii="Times New Roman"/>
                <w:b w:val="false"/>
                <w:i w:val="false"/>
                <w:color w:val="000000"/>
                <w:sz w:val="20"/>
              </w:rPr>
              <w:t>
   1.5.4. о рекомендациях Группы по независимой оценке результатов клинического исследования в отношении оценки безопасности исследуемого препарата.</w:t>
            </w:r>
          </w:p>
          <w:p>
            <w:pPr>
              <w:spacing w:after="20"/>
              <w:ind w:left="20"/>
              <w:jc w:val="both"/>
            </w:pPr>
            <w:r>
              <w:rPr>
                <w:rFonts w:ascii="Times New Roman"/>
                <w:b w:val="false"/>
                <w:i w:val="false"/>
                <w:color w:val="000000"/>
                <w:sz w:val="20"/>
              </w:rPr>
              <w:t>
   </w:t>
            </w:r>
            <w:r>
              <w:rPr>
                <w:rFonts w:ascii="Times New Roman"/>
                <w:b/>
                <w:i w:val="false"/>
                <w:color w:val="000000"/>
                <w:sz w:val="20"/>
              </w:rPr>
              <w:t>1.6. Форма представления информации по безопасности</w:t>
            </w:r>
          </w:p>
          <w:p>
            <w:pPr>
              <w:spacing w:after="20"/>
              <w:ind w:left="20"/>
              <w:jc w:val="both"/>
            </w:pPr>
            <w:r>
              <w:rPr>
                <w:rFonts w:ascii="Times New Roman"/>
                <w:b w:val="false"/>
                <w:i w:val="false"/>
                <w:color w:val="000000"/>
                <w:sz w:val="20"/>
              </w:rPr>
              <w:t>
   1.6.1. Форма представления информации о серьезных непредвиденных нежелательных реакциях в экспертную организацию Республики Казахстан и Комиссию по вопросам этики.</w:t>
            </w:r>
          </w:p>
          <w:p>
            <w:pPr>
              <w:spacing w:after="20"/>
              <w:ind w:left="20"/>
              <w:jc w:val="both"/>
            </w:pPr>
            <w:r>
              <w:rPr>
                <w:rFonts w:ascii="Times New Roman"/>
                <w:b w:val="false"/>
                <w:i w:val="false"/>
                <w:color w:val="000000"/>
                <w:sz w:val="20"/>
              </w:rPr>
              <w:t>
   Информация о СННР представляется в экспертную организацию Республики Казахстан и Комиссию по вопросам этики спонсором в форме сообщения о нежелательной реакции. Формат сообщений соответствует руководству Международной конференции по гармонизации "Управление данными по безопасности – элементы данных для передачи сообщений об индивидуальных случаях нежелательных реакций" Е2B.</w:t>
            </w:r>
          </w:p>
          <w:p>
            <w:pPr>
              <w:spacing w:after="20"/>
              <w:ind w:left="20"/>
              <w:jc w:val="both"/>
            </w:pPr>
            <w:r>
              <w:rPr>
                <w:rFonts w:ascii="Times New Roman"/>
                <w:b w:val="false"/>
                <w:i w:val="false"/>
                <w:color w:val="000000"/>
                <w:sz w:val="20"/>
              </w:rPr>
              <w:t>
   1.6.2. Форма представления информации о СННР исследователям</w:t>
            </w:r>
          </w:p>
          <w:p>
            <w:pPr>
              <w:spacing w:after="20"/>
              <w:ind w:left="20"/>
              <w:jc w:val="both"/>
            </w:pPr>
            <w:r>
              <w:rPr>
                <w:rFonts w:ascii="Times New Roman"/>
                <w:b w:val="false"/>
                <w:i w:val="false"/>
                <w:color w:val="000000"/>
                <w:sz w:val="20"/>
              </w:rPr>
              <w:t>
   Информация о СННР представляется исследователям в обобщенном виде в форме перечисления с кратким описанием нежелательных реакций за период, продолжительность которого определяется профилем безопасности исследуемого препарата и количеством выявляемых СННР. Данный список сопровождается кратким заключением по текущей оценке профиля безопасности за отчетный период.</w:t>
            </w:r>
          </w:p>
          <w:p>
            <w:pPr>
              <w:spacing w:after="20"/>
              <w:ind w:left="20"/>
              <w:jc w:val="both"/>
            </w:pPr>
            <w:r>
              <w:rPr>
                <w:rFonts w:ascii="Times New Roman"/>
                <w:b w:val="false"/>
                <w:i w:val="false"/>
                <w:color w:val="000000"/>
                <w:sz w:val="20"/>
              </w:rPr>
              <w:t>
   1.6.3. Форма представления иной информации по безопасности</w:t>
            </w:r>
          </w:p>
          <w:p>
            <w:pPr>
              <w:spacing w:after="20"/>
              <w:ind w:left="20"/>
              <w:jc w:val="both"/>
            </w:pPr>
            <w:r>
              <w:rPr>
                <w:rFonts w:ascii="Times New Roman"/>
                <w:b w:val="false"/>
                <w:i w:val="false"/>
                <w:color w:val="000000"/>
                <w:sz w:val="20"/>
              </w:rPr>
              <w:t>
Иная информация по безопасности согласно пункт 1.5. настоящего приложения представляется в экспертную организацию Республики Казахстан и Комиссию по вопросам этики спонсором в письменном виде с указанием названия клинического исследования, номера протокола исследования и краткого описания новой информации по безопасности.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 Область распространения требования по представлению информации по безопасности </w:t>
            </w:r>
          </w:p>
          <w:p>
            <w:pPr>
              <w:spacing w:after="20"/>
              <w:ind w:left="20"/>
              <w:jc w:val="both"/>
            </w:pPr>
            <w:r>
              <w:rPr>
                <w:rFonts w:ascii="Times New Roman"/>
                <w:b w:val="false"/>
                <w:i w:val="false"/>
                <w:color w:val="000000"/>
                <w:sz w:val="20"/>
              </w:rPr>
              <w:t>
   1.7.1. Требования п.п. 1.2.-1.5. настоящего приложения по представлению информации по выявленным СННР и иной информации по безопасности исследуемого препарата распространяются в отношении клинических исследований, одобренных к проведению на территории Республики Казахстан на все клинические центры, в которых спонсором либо его партнером на договорной основе выполняется клиническое исследование исследуемого препарата, включая клинические центры, расположенные не на территории Республики Казахстан.</w:t>
            </w:r>
          </w:p>
          <w:p>
            <w:pPr>
              <w:spacing w:after="20"/>
              <w:ind w:left="20"/>
              <w:jc w:val="both"/>
            </w:pPr>
            <w:r>
              <w:rPr>
                <w:rFonts w:ascii="Times New Roman"/>
                <w:b w:val="false"/>
                <w:i w:val="false"/>
                <w:color w:val="000000"/>
                <w:sz w:val="20"/>
              </w:rPr>
              <w:t>
   1.7.2. Требования пункта1.2 настоящего приложения по представлению информации по выявленным СННР распространяется на выполняемые спонсором либо его партнером на договорной основе клинические исследования, в которых исследуемый препарат включает одно и то же действующее вещество, вне зависимости от лекарственной формы, дозировки, режима дозирования и показаний к применению.</w:t>
            </w:r>
          </w:p>
          <w:p>
            <w:pPr>
              <w:spacing w:after="20"/>
              <w:ind w:left="20"/>
              <w:jc w:val="both"/>
            </w:pPr>
            <w:r>
              <w:rPr>
                <w:rFonts w:ascii="Times New Roman"/>
                <w:b w:val="false"/>
                <w:i w:val="false"/>
                <w:color w:val="000000"/>
                <w:sz w:val="20"/>
              </w:rPr>
              <w:t>
   </w:t>
            </w:r>
            <w:r>
              <w:rPr>
                <w:rFonts w:ascii="Times New Roman"/>
                <w:b/>
                <w:i w:val="false"/>
                <w:color w:val="000000"/>
                <w:sz w:val="20"/>
              </w:rPr>
              <w:t>1.8. Серьезные нежелательные реакции, не связанные с исследуемым препаратом</w:t>
            </w:r>
          </w:p>
          <w:p>
            <w:pPr>
              <w:spacing w:after="20"/>
              <w:ind w:left="20"/>
              <w:jc w:val="both"/>
            </w:pPr>
            <w:r>
              <w:rPr>
                <w:rFonts w:ascii="Times New Roman"/>
                <w:b w:val="false"/>
                <w:i w:val="false"/>
                <w:color w:val="000000"/>
                <w:sz w:val="20"/>
              </w:rPr>
              <w:t>
   Информацию о СНР, которые выявлены при проведении клинического исследования и для которых определяется взаимосвязь с назначением не исследуемого препарата, а иных назначаемых лекарственных препаратов (при исключении реакции взаимодействия с исследуемым препаратом), спонсору следует представлять в экспертную организацию Республики Казахстан или соответствующим владельцам регистрационных удостоверений в соответствии с действующим законодательством.</w:t>
            </w:r>
          </w:p>
          <w:p>
            <w:pPr>
              <w:spacing w:after="20"/>
              <w:ind w:left="20"/>
              <w:jc w:val="both"/>
            </w:pPr>
            <w:r>
              <w:rPr>
                <w:rFonts w:ascii="Times New Roman"/>
                <w:b w:val="false"/>
                <w:i w:val="false"/>
                <w:color w:val="000000"/>
                <w:sz w:val="20"/>
              </w:rPr>
              <w:t>
   </w:t>
            </w:r>
            <w:r>
              <w:rPr>
                <w:rFonts w:ascii="Times New Roman"/>
                <w:b/>
                <w:i w:val="false"/>
                <w:color w:val="000000"/>
                <w:sz w:val="20"/>
              </w:rPr>
              <w:t>1.9. Раскрытие рандомизационного кода</w:t>
            </w:r>
          </w:p>
          <w:p>
            <w:pPr>
              <w:spacing w:after="20"/>
              <w:ind w:left="20"/>
              <w:jc w:val="both"/>
            </w:pPr>
            <w:r>
              <w:rPr>
                <w:rFonts w:ascii="Times New Roman"/>
                <w:b w:val="false"/>
                <w:i w:val="false"/>
                <w:color w:val="000000"/>
                <w:sz w:val="20"/>
              </w:rPr>
              <w:t>
   1.9.1. Требования по раскрытию рандомизационного кода в случае СННР</w:t>
            </w:r>
          </w:p>
          <w:p>
            <w:pPr>
              <w:spacing w:after="20"/>
              <w:ind w:left="20"/>
              <w:jc w:val="both"/>
            </w:pPr>
            <w:r>
              <w:rPr>
                <w:rFonts w:ascii="Times New Roman"/>
                <w:b w:val="false"/>
                <w:i w:val="false"/>
                <w:color w:val="000000"/>
                <w:sz w:val="20"/>
              </w:rPr>
              <w:t xml:space="preserve">
   В случае получения сообщения о нежелательном явлении, которое оценивается как СННР, спонсором выполняется раскрытие рандомизационного кода непосредственно по субъекту исследования, у которого развилась данная нежелательная реакция. Спонсором выполняется требование п.п. 1.2. настоящего приложения по срочному представлению информации о выявленной СННР в экспертную организацию с учетом результатов раскрытия кода рандомизации. При этом спонсором сохраняется ослепление по таким случаям для лиц, ответственных за дальнейшее проведение клинического исследования (мониторов, исследователей), а также ответственных за обработку данных. Информация по нежелательным реакциям с раскрытием рандомизационных кодов субъектов исследования доступна лицам, ответственным за выполнение требований по представлению информации о нежелательных реакциях в экспертную организацию Республики Казахстан, представителям уполномоченного органа Республики Казахстан, членам Комиссии по вопросам этики, членам Группы по независимой оценке результатов клинического исследования или иным лицам, ответственным за выполнение постоянной оценки безопасности в ходе проведения клинического исследования. Для исследователей раскрытие рандомизационного кода в ходе выполнения клинического исследования выполняется только в случае, если это представляется необходимым для обеспечения безопасности субъекта исследования. </w:t>
            </w:r>
          </w:p>
          <w:p>
            <w:pPr>
              <w:spacing w:after="20"/>
              <w:ind w:left="20"/>
              <w:jc w:val="both"/>
            </w:pPr>
            <w:r>
              <w:rPr>
                <w:rFonts w:ascii="Times New Roman"/>
                <w:b w:val="false"/>
                <w:i w:val="false"/>
                <w:color w:val="000000"/>
                <w:sz w:val="20"/>
              </w:rPr>
              <w:t>
   1.9.2. Результаты раскрытия рандомизационного кода соответствующим образом отражаются в базах данных спонсора и уполномоченных органов. Обновление информации по безопасности в БИ выполняется на основании анализа данных с раскрытым кодом лечения.</w:t>
            </w:r>
          </w:p>
          <w:p>
            <w:pPr>
              <w:spacing w:after="20"/>
              <w:ind w:left="20"/>
              <w:jc w:val="both"/>
            </w:pPr>
            <w:r>
              <w:rPr>
                <w:rFonts w:ascii="Times New Roman"/>
                <w:b w:val="false"/>
                <w:i w:val="false"/>
                <w:color w:val="000000"/>
                <w:sz w:val="20"/>
              </w:rPr>
              <w:t>
   1.9.3. Особые популяции</w:t>
            </w:r>
          </w:p>
          <w:p>
            <w:pPr>
              <w:spacing w:after="20"/>
              <w:ind w:left="20"/>
              <w:jc w:val="both"/>
            </w:pPr>
            <w:r>
              <w:rPr>
                <w:rFonts w:ascii="Times New Roman"/>
                <w:b w:val="false"/>
                <w:i w:val="false"/>
                <w:color w:val="000000"/>
                <w:sz w:val="20"/>
              </w:rPr>
              <w:t xml:space="preserve">
   При проведении клинических исследований с участием популяции, для которой характерен высокий уровень осложнений и смертности, в случаях, когда конечные точки по оценке эффективности могут являться одновременно СННР, либо когда смерть или иной серьезный неблагоприятный исход является конечной точкой по оценке эффективности исследуемого препарата, достоверность результатов клинического исследования нарушается при систематическом раскрытии рандомизационных кодов. В этих, либо подобных случаях, спонсору при получении одобрения протокола клинического исследования следует по согласованию с уполномоченным органом определить, какие серьезные явления, обусловленные течением основного заболевания, не будут подлежать систематическому раскрытию рандомизационных кодов и срочному представлению информации в экспертную организацию. В этих случаях обязательным является назначение и обеспечение функционирования Группы по независимой оценке результатов клинического исследования с целью выполнения постоянной оценки и анализа данных по безопасности выполняемого клинического исследования и определения рекомендаций для спонсора в части возможности дальнейшего проведения клинического исследования, внесения изменений в протокол исследования или остановки клинического исследования.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1.10. Ежегодное представление информации по безопасности</w:t>
            </w:r>
          </w:p>
          <w:p>
            <w:pPr>
              <w:spacing w:after="20"/>
              <w:ind w:left="20"/>
              <w:jc w:val="both"/>
            </w:pPr>
            <w:r>
              <w:rPr>
                <w:rFonts w:ascii="Times New Roman"/>
                <w:b w:val="false"/>
                <w:i w:val="false"/>
                <w:color w:val="000000"/>
                <w:sz w:val="20"/>
              </w:rPr>
              <w:t>
   Спонсор в течение всего срока клинического исследования ежегодно представляет в экспертную организацию Республики Казахстан, на территории которого проводится клиническое исследование исследуемого препарата, периодический отчет по безопасности исследуемого препарата, содержание которого отвечает требованиям, приведенным в приложении 3.1 “Требования к периодическому отчету по безопасности разрабатываемого лекарственного препарата” настоящего Стандарта.</w:t>
            </w:r>
          </w:p>
          <w:p>
            <w:pPr>
              <w:spacing w:after="20"/>
              <w:ind w:left="20"/>
              <w:jc w:val="both"/>
            </w:pPr>
            <w:r>
              <w:rPr>
                <w:rFonts w:ascii="Times New Roman"/>
                <w:b w:val="false"/>
                <w:i w:val="false"/>
                <w:color w:val="000000"/>
                <w:sz w:val="20"/>
              </w:rPr>
              <w:t>
   Информация по периодическому отчету по безопасности исследуемого препарата представляется в Комиссию по вопросам этики в форме краткого изложения основного содержания отчета с приложением структурированного перечня серьезных нежелательных реакций согласно приложению 3.1 “Требования к периодическому отчету по безопасности разрабатываемого лекарственного препарата” настоящего Стандарта.</w:t>
            </w:r>
          </w:p>
          <w:p>
            <w:pPr>
              <w:spacing w:after="20"/>
              <w:ind w:left="20"/>
              <w:jc w:val="both"/>
            </w:pPr>
            <w:r>
              <w:rPr>
                <w:rFonts w:ascii="Times New Roman"/>
                <w:b w:val="false"/>
                <w:i w:val="false"/>
                <w:color w:val="000000"/>
                <w:sz w:val="20"/>
              </w:rPr>
              <w:t>
   </w:t>
            </w:r>
            <w:r>
              <w:rPr>
                <w:rFonts w:ascii="Times New Roman"/>
                <w:b/>
                <w:i w:val="false"/>
                <w:color w:val="000000"/>
                <w:sz w:val="20"/>
              </w:rPr>
              <w:t>2. Обязанности исследователя по представлению информации о выявленных в ходе клинического исследования нежелательных реакциях.</w:t>
            </w:r>
          </w:p>
          <w:p>
            <w:pPr>
              <w:spacing w:after="20"/>
              <w:ind w:left="20"/>
              <w:jc w:val="both"/>
            </w:pPr>
            <w:r>
              <w:rPr>
                <w:rFonts w:ascii="Times New Roman"/>
                <w:b w:val="false"/>
                <w:i w:val="false"/>
                <w:color w:val="000000"/>
                <w:sz w:val="20"/>
              </w:rPr>
              <w:t>
   2.1. Представление информации по безопасности спонсору</w:t>
            </w:r>
          </w:p>
          <w:p>
            <w:pPr>
              <w:spacing w:after="20"/>
              <w:ind w:left="20"/>
              <w:jc w:val="both"/>
            </w:pPr>
            <w:r>
              <w:rPr>
                <w:rFonts w:ascii="Times New Roman"/>
                <w:b w:val="false"/>
                <w:i w:val="false"/>
                <w:color w:val="000000"/>
                <w:sz w:val="20"/>
              </w:rPr>
              <w:t>
   2.1.1. Исследователь незамедлительно, в срок не более 24 часов от даты выявления (либо получения информации о выявлении), представляет спонсору информацию обо всех серьезных нежелательных явлениях, кроме тех серьезных нежелательных явлений, которые определены в протоколе или в другом документе ( в БИ), как не требующие немедленного уведомления.</w:t>
            </w:r>
          </w:p>
          <w:p>
            <w:pPr>
              <w:spacing w:after="20"/>
              <w:ind w:left="20"/>
              <w:jc w:val="both"/>
            </w:pPr>
            <w:r>
              <w:rPr>
                <w:rFonts w:ascii="Times New Roman"/>
                <w:b w:val="false"/>
                <w:i w:val="false"/>
                <w:color w:val="000000"/>
                <w:sz w:val="20"/>
              </w:rPr>
              <w:t>
   После представления срочного сообщения о СНЯ исследователь представляет спонсору детальное сообщение с подробной информацией по серьезному нежелательному явлению, позволяющей спонсору сделать оценку необходимости пересмотра соотношения польза-риск клинического исследования.</w:t>
            </w:r>
          </w:p>
          <w:p>
            <w:pPr>
              <w:spacing w:after="20"/>
              <w:ind w:left="20"/>
              <w:jc w:val="both"/>
            </w:pPr>
            <w:r>
              <w:rPr>
                <w:rFonts w:ascii="Times New Roman"/>
                <w:b w:val="false"/>
                <w:i w:val="false"/>
                <w:color w:val="000000"/>
                <w:sz w:val="20"/>
              </w:rPr>
              <w:t>
   2.1.2. Исследователь представляет спонсору информацию о нежелательных реакциях и отклонениях лабораторных показателей, которые определены в протоколе исследования как критические для оценки безопасности, в сроки определяемые протоколом клинического исследования.</w:t>
            </w:r>
          </w:p>
          <w:p>
            <w:pPr>
              <w:spacing w:after="20"/>
              <w:ind w:left="20"/>
              <w:jc w:val="both"/>
            </w:pPr>
            <w:r>
              <w:rPr>
                <w:rFonts w:ascii="Times New Roman"/>
                <w:b w:val="false"/>
                <w:i w:val="false"/>
                <w:color w:val="000000"/>
                <w:sz w:val="20"/>
              </w:rPr>
              <w:t>
   2.2. Представление информации по безопасности в экспертную организацию Республики Казахстан</w:t>
            </w:r>
          </w:p>
          <w:p>
            <w:pPr>
              <w:spacing w:after="20"/>
              <w:ind w:left="20"/>
              <w:jc w:val="both"/>
            </w:pPr>
            <w:r>
              <w:rPr>
                <w:rFonts w:ascii="Times New Roman"/>
                <w:b w:val="false"/>
                <w:i w:val="false"/>
                <w:color w:val="000000"/>
                <w:sz w:val="20"/>
              </w:rPr>
              <w:t>
   Дополнительные требования по представлению информации о выявленных СНР на исследуемый препарат, не рассмотренные в рамках настоящего документа, определяются действующим законодательством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1.1.</w:t>
            </w:r>
          </w:p>
          <w:p>
            <w:pPr>
              <w:spacing w:after="20"/>
              <w:ind w:left="20"/>
              <w:jc w:val="both"/>
            </w:pPr>
            <w:r>
              <w:rPr>
                <w:rFonts w:ascii="Times New Roman"/>
                <w:b w:val="false"/>
                <w:i w:val="false"/>
                <w:color w:val="000000"/>
                <w:sz w:val="20"/>
              </w:rPr>
              <w:t>
</w:t>
            </w:r>
            <w:r>
              <w:rPr>
                <w:rFonts w:ascii="Times New Roman"/>
                <w:b/>
                <w:i w:val="false"/>
                <w:color w:val="000000"/>
                <w:sz w:val="20"/>
              </w:rPr>
              <w:t>к Приложению 1</w:t>
            </w:r>
          </w:p>
          <w:p>
            <w:pPr>
              <w:spacing w:after="20"/>
              <w:ind w:left="20"/>
              <w:jc w:val="both"/>
            </w:pPr>
            <w:r>
              <w:rPr>
                <w:rFonts w:ascii="Times New Roman"/>
                <w:b w:val="false"/>
                <w:i w:val="false"/>
                <w:color w:val="000000"/>
                <w:sz w:val="20"/>
              </w:rPr>
              <w:t>
</w:t>
            </w:r>
            <w:r>
              <w:rPr>
                <w:rFonts w:ascii="Times New Roman"/>
                <w:b/>
                <w:i w:val="false"/>
                <w:color w:val="000000"/>
                <w:sz w:val="20"/>
              </w:rPr>
              <w:t>"Порядок представления информации</w:t>
            </w:r>
          </w:p>
          <w:p>
            <w:pPr>
              <w:spacing w:after="20"/>
              <w:ind w:left="20"/>
              <w:jc w:val="both"/>
            </w:pPr>
            <w:r>
              <w:rPr>
                <w:rFonts w:ascii="Times New Roman"/>
                <w:b w:val="false"/>
                <w:i w:val="false"/>
                <w:color w:val="000000"/>
                <w:sz w:val="20"/>
              </w:rPr>
              <w:t>
</w:t>
            </w:r>
            <w:r>
              <w:rPr>
                <w:rFonts w:ascii="Times New Roman"/>
                <w:b/>
                <w:i w:val="false"/>
                <w:color w:val="000000"/>
                <w:sz w:val="20"/>
              </w:rPr>
              <w:t>по безопасности в ходе клинических исследований"</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ТРЕБОВАНИЯ К ПЕРИОДИЧЕСКОМУ ОТЧЕТУ ПО БЕЗОПАСНОСТИ РАЗРАБАТЫВАЕМОГО ЛЕКАРСТВЕННОГО ПРЕПАРАТА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Термины и определения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Важный идентифицированный риск и важный потенциальный риск </w:t>
            </w:r>
            <w:r>
              <w:rPr>
                <w:rFonts w:ascii="Times New Roman"/>
                <w:b w:val="false"/>
                <w:i w:val="false"/>
                <w:color w:val="000000"/>
                <w:sz w:val="20"/>
              </w:rPr>
              <w:t>– идентифицированный риск или потенциальный риск, который оказывает влияние на соотношение польза-риск лекарственного препарата или имеет последствия для общественного здравоохранения.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Дата окончания сбора данных - </w:t>
            </w:r>
            <w:r>
              <w:rPr>
                <w:rFonts w:ascii="Times New Roman"/>
                <w:b w:val="false"/>
                <w:i w:val="false"/>
                <w:color w:val="000000"/>
                <w:sz w:val="20"/>
              </w:rPr>
              <w:t>дата завершения сбора данных для включения в периодический отчет по безопасности исследуемого препарата.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1.3. Завершенное клиническое исследование- </w:t>
            </w:r>
            <w:r>
              <w:rPr>
                <w:rFonts w:ascii="Times New Roman"/>
                <w:b w:val="false"/>
                <w:i w:val="false"/>
                <w:color w:val="000000"/>
                <w:sz w:val="20"/>
              </w:rPr>
              <w:t xml:space="preserve">клиническое исследование, по результатам которого составлен итоговый отчет клинического исследования.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 Идентифицированный риск – </w:t>
            </w:r>
            <w:r>
              <w:rPr>
                <w:rFonts w:ascii="Times New Roman"/>
                <w:b w:val="false"/>
                <w:i w:val="false"/>
                <w:color w:val="000000"/>
                <w:sz w:val="20"/>
              </w:rPr>
              <w:t>нежелательное последствие фармакотерапии, для которого получено адекватное доказательство наличия взаимосвязи с подозреваемым лекарственным препаратом.</w:t>
            </w:r>
          </w:p>
          <w:p>
            <w:pPr>
              <w:spacing w:after="20"/>
              <w:ind w:left="20"/>
              <w:jc w:val="both"/>
            </w:pPr>
            <w:r>
              <w:rPr>
                <w:rFonts w:ascii="Times New Roman"/>
                <w:b w:val="false"/>
                <w:i w:val="false"/>
                <w:color w:val="000000"/>
                <w:sz w:val="20"/>
              </w:rPr>
              <w:t>
   </w:t>
            </w:r>
            <w:r>
              <w:rPr>
                <w:rFonts w:ascii="Times New Roman"/>
                <w:b/>
                <w:i w:val="false"/>
                <w:color w:val="000000"/>
                <w:sz w:val="20"/>
              </w:rPr>
              <w:t>1.5. Интервенционное клиническое исследование</w:t>
            </w:r>
            <w:r>
              <w:rPr>
                <w:rFonts w:ascii="Times New Roman"/>
                <w:b w:val="false"/>
                <w:i w:val="false"/>
                <w:color w:val="000000"/>
                <w:sz w:val="20"/>
              </w:rPr>
              <w:t xml:space="preserve"> – клиническое исследование, в котором субъектам исследования выполняется проспективное назначение одного или нескольких медицинских вмешательств в виде профилактического вмешательства, назначения лекарственных препаратов, выполнения хирургических вмешательств, поведенческой терапии и других с целью оценки влияния данных вмешательств на показатели состояния здоровья.</w:t>
            </w:r>
          </w:p>
          <w:p>
            <w:pPr>
              <w:spacing w:after="20"/>
              <w:ind w:left="20"/>
              <w:jc w:val="both"/>
            </w:pPr>
            <w:r>
              <w:rPr>
                <w:rFonts w:ascii="Times New Roman"/>
                <w:b w:val="false"/>
                <w:i w:val="false"/>
                <w:color w:val="000000"/>
                <w:sz w:val="20"/>
              </w:rPr>
              <w:t>
   </w:t>
            </w:r>
            <w:r>
              <w:rPr>
                <w:rFonts w:ascii="Times New Roman"/>
                <w:b/>
                <w:i w:val="false"/>
                <w:color w:val="000000"/>
                <w:sz w:val="20"/>
              </w:rPr>
              <w:t>1.6. Исследуемый препарат –</w:t>
            </w:r>
            <w:r>
              <w:rPr>
                <w:rFonts w:ascii="Times New Roman"/>
                <w:b w:val="false"/>
                <w:i w:val="false"/>
                <w:color w:val="000000"/>
                <w:sz w:val="20"/>
              </w:rPr>
              <w:t xml:space="preserve"> согласно </w:t>
            </w:r>
            <w:r>
              <w:rPr>
                <w:rFonts w:ascii="Times New Roman"/>
                <w:b w:val="false"/>
                <w:i w:val="false"/>
                <w:color w:val="000000"/>
                <w:sz w:val="20"/>
              </w:rPr>
              <w:t>Приложения 3</w:t>
            </w:r>
            <w:r>
              <w:rPr>
                <w:rFonts w:ascii="Times New Roman"/>
                <w:b w:val="false"/>
                <w:i w:val="false"/>
                <w:color w:val="000000"/>
                <w:sz w:val="20"/>
              </w:rPr>
              <w:t xml:space="preserve"> “Порядок представления информации по безопасности в ходе клинических исследований”, под исследуемым препаратом понимается препарат, находящийся в разработке. В рамках данного Приложения термин имеет более узкое значение и не включает препараты сравнения и плацебо.</w:t>
            </w:r>
          </w:p>
          <w:p>
            <w:pPr>
              <w:spacing w:after="20"/>
              <w:ind w:left="20"/>
              <w:jc w:val="both"/>
            </w:pPr>
            <w:r>
              <w:rPr>
                <w:rFonts w:ascii="Times New Roman"/>
                <w:b w:val="false"/>
                <w:i w:val="false"/>
                <w:color w:val="000000"/>
                <w:sz w:val="20"/>
              </w:rPr>
              <w:t>
   </w:t>
            </w:r>
            <w:r>
              <w:rPr>
                <w:rFonts w:ascii="Times New Roman"/>
                <w:b/>
                <w:i w:val="false"/>
                <w:color w:val="000000"/>
                <w:sz w:val="20"/>
              </w:rPr>
              <w:t>1.7. Международная дата одобрения разрабатываемого лекарственного препарата (МДОРЛП) -</w:t>
            </w:r>
            <w:r>
              <w:rPr>
                <w:rFonts w:ascii="Times New Roman"/>
                <w:b w:val="false"/>
                <w:i w:val="false"/>
                <w:color w:val="000000"/>
                <w:sz w:val="20"/>
              </w:rPr>
              <w:t xml:space="preserve"> дата первого одобрения для проведения интервенционного клинического исследования в любой из стран мира.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1.8. Нежелательные явления, представляющие особый интерес - </w:t>
            </w:r>
            <w:r>
              <w:rPr>
                <w:rFonts w:ascii="Times New Roman"/>
                <w:b w:val="false"/>
                <w:i w:val="false"/>
                <w:color w:val="000000"/>
                <w:sz w:val="20"/>
              </w:rPr>
              <w:t>нежелательное явление, имеющее особый научный и медицинский интерес применительно к исследуемому препарату или исследовательской программе спонсора, требующее непрерывного мониторинга и незамедлительного информирования спонсора со стороны исследователя. Данные нежелательные явления могут потребовать дальнейшего изучения с целью надлежащей характеристики и оценки. В зависимости от характера нежелательного явления, представляющего особый интерес, требуется срочное представление информации от спонсора третьим сторонам. </w:t>
            </w:r>
          </w:p>
          <w:p>
            <w:pPr>
              <w:spacing w:after="20"/>
              <w:ind w:left="20"/>
              <w:jc w:val="both"/>
            </w:pPr>
            <w:r>
              <w:rPr>
                <w:rFonts w:ascii="Times New Roman"/>
                <w:b w:val="false"/>
                <w:i w:val="false"/>
                <w:color w:val="000000"/>
                <w:sz w:val="20"/>
              </w:rPr>
              <w:t>
   </w:t>
            </w:r>
            <w:r>
              <w:rPr>
                <w:rFonts w:ascii="Times New Roman"/>
                <w:b/>
                <w:i w:val="false"/>
                <w:color w:val="000000"/>
                <w:sz w:val="20"/>
              </w:rPr>
              <w:t>1.9. Неинтервенционное клиническое исследование</w:t>
            </w:r>
            <w:r>
              <w:rPr>
                <w:rFonts w:ascii="Times New Roman"/>
                <w:b w:val="false"/>
                <w:i w:val="false"/>
                <w:color w:val="000000"/>
                <w:sz w:val="20"/>
              </w:rPr>
              <w:t> </w:t>
            </w:r>
            <w:r>
              <w:rPr>
                <w:rFonts w:ascii="Times New Roman"/>
                <w:b/>
                <w:i w:val="false"/>
                <w:color w:val="000000"/>
                <w:sz w:val="20"/>
              </w:rPr>
              <w:t xml:space="preserve">– </w:t>
            </w:r>
            <w:r>
              <w:rPr>
                <w:rFonts w:ascii="Times New Roman"/>
                <w:b w:val="false"/>
                <w:i w:val="false"/>
                <w:color w:val="000000"/>
                <w:sz w:val="20"/>
              </w:rPr>
              <w:t>исследование (испытание), которое соответствует следующим требованиям:</w:t>
            </w:r>
          </w:p>
          <w:p>
            <w:pPr>
              <w:spacing w:after="20"/>
              <w:ind w:left="20"/>
              <w:jc w:val="both"/>
            </w:pPr>
            <w:r>
              <w:rPr>
                <w:rFonts w:ascii="Times New Roman"/>
                <w:b w:val="false"/>
                <w:i w:val="false"/>
                <w:color w:val="000000"/>
                <w:sz w:val="20"/>
              </w:rPr>
              <w:t>
   а) лекарственный препарат назначается в соответствии с инструкцией по медицинскому применению;</w:t>
            </w:r>
          </w:p>
          <w:p>
            <w:pPr>
              <w:spacing w:after="20"/>
              <w:ind w:left="20"/>
              <w:jc w:val="both"/>
            </w:pPr>
            <w:r>
              <w:rPr>
                <w:rFonts w:ascii="Times New Roman"/>
                <w:b w:val="false"/>
                <w:i w:val="false"/>
                <w:color w:val="000000"/>
                <w:sz w:val="20"/>
              </w:rPr>
              <w:t xml:space="preserve">
   б) решение о назначении пациенту определенного лечения не принимается заранее согласно протоколу исследования, но соответствует принятой практике, и назначение лекарственного препарата четко отделено от решения о включении пациента в исследование; </w:t>
            </w:r>
          </w:p>
          <w:p>
            <w:pPr>
              <w:spacing w:after="20"/>
              <w:ind w:left="20"/>
              <w:jc w:val="both"/>
            </w:pPr>
            <w:r>
              <w:rPr>
                <w:rFonts w:ascii="Times New Roman"/>
                <w:b w:val="false"/>
                <w:i w:val="false"/>
                <w:color w:val="000000"/>
                <w:sz w:val="20"/>
              </w:rPr>
              <w:t>
   в) к пациентам не применяются какие-либо дополнительные диагностические или контрольные процедуры, а для анализа полученных данных используют эпидемиологические методы.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1.10. Ожидаемая эффективность (польза) – </w:t>
            </w:r>
            <w:r>
              <w:rPr>
                <w:rFonts w:ascii="Times New Roman"/>
                <w:b w:val="false"/>
                <w:i w:val="false"/>
                <w:color w:val="000000"/>
                <w:sz w:val="20"/>
              </w:rPr>
              <w:t>эффективность (польза), которая еще не была установлена для исследуемого продукта, но ожидается, исходя из имеющихся знаний об эффективности (пользе) данного класса лекарственных препаратов, либо данных предшествующих клинических или доклинических исследований.</w:t>
            </w:r>
          </w:p>
          <w:p>
            <w:pPr>
              <w:spacing w:after="20"/>
              <w:ind w:left="20"/>
              <w:jc w:val="both"/>
            </w:pPr>
            <w:r>
              <w:rPr>
                <w:rFonts w:ascii="Times New Roman"/>
                <w:b w:val="false"/>
                <w:i w:val="false"/>
                <w:color w:val="000000"/>
                <w:sz w:val="20"/>
              </w:rPr>
              <w:t>
   </w:t>
            </w:r>
            <w:r>
              <w:rPr>
                <w:rFonts w:ascii="Times New Roman"/>
                <w:b/>
                <w:i w:val="false"/>
                <w:color w:val="000000"/>
                <w:sz w:val="20"/>
              </w:rPr>
              <w:t>1.11. Программа клинической разработки -</w:t>
            </w:r>
            <w:r>
              <w:rPr>
                <w:rFonts w:ascii="Times New Roman"/>
                <w:b w:val="false"/>
                <w:i w:val="false"/>
                <w:color w:val="000000"/>
                <w:sz w:val="20"/>
              </w:rPr>
              <w:t xml:space="preserve"> совокупность клинических исследований одного и того же исследуемого препарата, вне зависимости от показаний к назначению и лекарственной формы.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1.12. Продолжающееся клиническое исследование- </w:t>
            </w:r>
            <w:r>
              <w:rPr>
                <w:rFonts w:ascii="Times New Roman"/>
                <w:b w:val="false"/>
                <w:i w:val="false"/>
                <w:color w:val="000000"/>
                <w:sz w:val="20"/>
              </w:rPr>
              <w:t xml:space="preserve">клиническое исследование, с начавшимся включением субъектов исследования, вне зависимости от его приостановки или завершения анализа, по результатам которого не подготовлен заключительный отчет. </w:t>
            </w:r>
          </w:p>
          <w:p>
            <w:pPr>
              <w:spacing w:after="20"/>
              <w:ind w:left="20"/>
              <w:jc w:val="both"/>
            </w:pPr>
            <w:r>
              <w:rPr>
                <w:rFonts w:ascii="Times New Roman"/>
                <w:b w:val="false"/>
                <w:i w:val="false"/>
                <w:color w:val="000000"/>
                <w:sz w:val="20"/>
              </w:rPr>
              <w:t>
   </w:t>
            </w:r>
            <w:r>
              <w:rPr>
                <w:rFonts w:ascii="Times New Roman"/>
                <w:b/>
                <w:i w:val="false"/>
                <w:color w:val="000000"/>
                <w:sz w:val="20"/>
              </w:rPr>
              <w:t>1.13. Потенциальный риск -</w:t>
            </w:r>
            <w:r>
              <w:rPr>
                <w:rFonts w:ascii="Times New Roman"/>
                <w:b w:val="false"/>
                <w:i w:val="false"/>
                <w:color w:val="000000"/>
                <w:sz w:val="20"/>
              </w:rPr>
              <w:t xml:space="preserve"> нежелательное последствие фармакотерапии, в отношении которого имеются основания для подозрений по наличию взаимосвязи с лекарственным препаратом, однако данная взаимосвязь надлежащим образом не была подтверждена.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1.14. Регистр - </w:t>
            </w:r>
            <w:r>
              <w:rPr>
                <w:rFonts w:ascii="Times New Roman"/>
                <w:b w:val="false"/>
                <w:i w:val="false"/>
                <w:color w:val="000000"/>
                <w:sz w:val="20"/>
              </w:rPr>
              <w:t>совокупность данных по пациентам, характеризующихся каким-либо одинаковым признаком. Данный признак представляет собой заболевание (регистр по заболеванию) или специфическое воздействие (лекарственный регистр). Регистр направлен на проспективный сбор определенной совокупности данных по пациентам с использованием стандартизованного опросника. Лекарственные регистры направлены на сбор данных на протяжении определенного времени по популяции, подвергающейся воздействию изучаемого лекарственного средства и (или) по определенной популяции. Пациенты могут быть включены в когортное исследование для сбора данных о нежелательных явлениях с применением стандартизированных опросников. Регистры могут быть полезными для усиления сигнала, особенно для редких нежелательных реакций.</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1.15. Сигнал - </w:t>
            </w:r>
            <w:r>
              <w:rPr>
                <w:rFonts w:ascii="Times New Roman"/>
                <w:b w:val="false"/>
                <w:i w:val="false"/>
                <w:color w:val="000000"/>
                <w:sz w:val="20"/>
              </w:rPr>
              <w:t>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1.16. Спонсор-исследователь - </w:t>
            </w:r>
            <w:r>
              <w:rPr>
                <w:rFonts w:ascii="Times New Roman"/>
                <w:b w:val="false"/>
                <w:i w:val="false"/>
                <w:color w:val="000000"/>
                <w:sz w:val="20"/>
              </w:rPr>
              <w:t>физическое лицо, которое инициирует и выполняет клиническое исследование самостоятельно либо с иными исследователями и под непосредственным руководством которого выполняется назначение, выдача или использование исследуемого препарата субъектами исследования. В обязанности спонсора-исследователя входят обязанности как спонсора, так и исследователя.</w:t>
            </w:r>
          </w:p>
          <w:p>
            <w:pPr>
              <w:spacing w:after="20"/>
              <w:ind w:left="20"/>
              <w:jc w:val="both"/>
            </w:pPr>
            <w:r>
              <w:rPr>
                <w:rFonts w:ascii="Times New Roman"/>
                <w:b w:val="false"/>
                <w:i w:val="false"/>
                <w:color w:val="000000"/>
                <w:sz w:val="20"/>
              </w:rPr>
              <w:t>
   </w:t>
            </w:r>
            <w:r>
              <w:rPr>
                <w:rFonts w:ascii="Times New Roman"/>
                <w:b/>
                <w:i w:val="false"/>
                <w:color w:val="000000"/>
                <w:sz w:val="20"/>
              </w:rPr>
              <w:t>2. Введение</w:t>
            </w:r>
          </w:p>
          <w:p>
            <w:pPr>
              <w:spacing w:after="20"/>
              <w:ind w:left="20"/>
              <w:jc w:val="both"/>
            </w:pPr>
            <w:r>
              <w:rPr>
                <w:rFonts w:ascii="Times New Roman"/>
                <w:b w:val="false"/>
                <w:i w:val="false"/>
                <w:color w:val="000000"/>
                <w:sz w:val="20"/>
              </w:rPr>
              <w:t>
   Периодический анализ информации по безопасности при выполнении клинической разработки исследуемого препарата имеет решающее значение для непрерывной оценки риска субъектов исследования. Важным является обеспечение регулярного информирования уполномоченного органа Республики Казахстан и иных заинтересованных сторон (Комиссии по вопросам этики) в отношении результатов данного анализа и получения данных в отношении профиля безопасности исследуемого препарата, а также уведомления в отношении действия, принятых в отношении возникающих вопросов по безопасности. Периодический отчет по безопасности разрабатываемого (исследуемого) лекарственного препарата (РОБ) является стандартом для периодической отчетности по разрабатываемым (исследуемым) препаратам (включая зарегистрированные препараты, по которым продолжается выполнение разработки).</w:t>
            </w:r>
          </w:p>
          <w:p>
            <w:pPr>
              <w:spacing w:after="20"/>
              <w:ind w:left="20"/>
              <w:jc w:val="both"/>
            </w:pPr>
            <w:r>
              <w:rPr>
                <w:rFonts w:ascii="Times New Roman"/>
                <w:b w:val="false"/>
                <w:i w:val="false"/>
                <w:color w:val="000000"/>
                <w:sz w:val="20"/>
              </w:rPr>
              <w:t>
   Основной целью РОБ является представление исчерпывающего и глубокого ежегодного обзора и оценки информации по безопасности исследуемого препарата, которая была собрана на протяжении отчетного периода вне зависимости от его регистрационного статуса посредством: (1) оценки возможных отличий полученной за отчетный период спонсором информации по безопасности от предшествующих знаний по профилю безопасности исследуемого продукта; (2) описание новых выявленных аспектов профиля безопасности, которые могут оказать влияние на обеспечение безопасности субъектов исследования; (3) обобщение данных по текущей оценке и управлению идентифицированными и потенциальными рисками; (4) представление обновления по состоянию клинического изучения или программы разработки и результатов исследования.</w:t>
            </w:r>
          </w:p>
          <w:p>
            <w:pPr>
              <w:spacing w:after="20"/>
              <w:ind w:left="20"/>
              <w:jc w:val="both"/>
            </w:pPr>
            <w:r>
              <w:rPr>
                <w:rFonts w:ascii="Times New Roman"/>
                <w:b w:val="false"/>
                <w:i w:val="false"/>
                <w:color w:val="000000"/>
                <w:sz w:val="20"/>
              </w:rPr>
              <w:t>
   РОБ представляет уполномоченным органам информацию, позволяющую подтвердить обеспечение спонсором надлежащего мониторинга и оценки данных по профилю безопасности исследуемого препарата. В РОБ подлежат отражению все новые аспекты профиля безопасности, выявленные за отчетный период. РОБ не используется в целях первичного уведомления о значимых новых данных по безопасности либо в качестве способа выявления новых аспектов профиля безопасности.</w:t>
            </w:r>
          </w:p>
          <w:p>
            <w:pPr>
              <w:spacing w:after="20"/>
              <w:ind w:left="20"/>
              <w:jc w:val="both"/>
            </w:pPr>
            <w:r>
              <w:rPr>
                <w:rFonts w:ascii="Times New Roman"/>
                <w:b w:val="false"/>
                <w:i w:val="false"/>
                <w:color w:val="000000"/>
                <w:sz w:val="20"/>
              </w:rPr>
              <w:t>
   Основной включаемой в РОБ информацией являются данные и результаты клинических исследований лекарственных препаратов и биологических веществ, вне зависимости от их регистрационного статуса. В случае продолжения клинического изучения после регистрации лекарственного препарата, РОБ включает также данные пострегистрационных исследований. РОБ направлен на оценку исследуемого (разрабатываемого) препарата, информация по препаратам сравнения и плацебо в него включается только в случае безопасности субъектов исследования.</w:t>
            </w:r>
          </w:p>
          <w:p>
            <w:pPr>
              <w:spacing w:after="20"/>
              <w:ind w:left="20"/>
              <w:jc w:val="both"/>
            </w:pPr>
            <w:r>
              <w:rPr>
                <w:rFonts w:ascii="Times New Roman"/>
                <w:b w:val="false"/>
                <w:i w:val="false"/>
                <w:color w:val="000000"/>
                <w:sz w:val="20"/>
              </w:rPr>
              <w:t>
   В РОБ включается информация по безопасности, получаемая в ходе всех продолжающихся клинических исследований и иных исследований, выполняемых или завершенных спонсором на протяжении отчетного периода, включая:</w:t>
            </w:r>
          </w:p>
          <w:p>
            <w:pPr>
              <w:spacing w:after="20"/>
              <w:ind w:left="20"/>
              <w:jc w:val="both"/>
            </w:pPr>
            <w:r>
              <w:rPr>
                <w:rFonts w:ascii="Times New Roman"/>
                <w:b w:val="false"/>
                <w:i w:val="false"/>
                <w:color w:val="000000"/>
                <w:sz w:val="20"/>
              </w:rPr>
              <w:t>
   клинические исследования разрабатываемого (исследуемого) препарата (фармакологические исследования у человека, терапевтические поисковые исследования и терапевтические подтверждающие исследования [Фазы I-III]);</w:t>
            </w:r>
          </w:p>
          <w:p>
            <w:pPr>
              <w:spacing w:after="20"/>
              <w:ind w:left="20"/>
              <w:jc w:val="both"/>
            </w:pPr>
            <w:r>
              <w:rPr>
                <w:rFonts w:ascii="Times New Roman"/>
                <w:b w:val="false"/>
                <w:i w:val="false"/>
                <w:color w:val="000000"/>
                <w:sz w:val="20"/>
              </w:rPr>
              <w:t>
   клинические исследования зарегистрированного лекарственного препарата по одобренным показаниям (исследование терапевтического применения [Фаза IV]);</w:t>
            </w:r>
          </w:p>
          <w:p>
            <w:pPr>
              <w:spacing w:after="20"/>
              <w:ind w:left="20"/>
              <w:jc w:val="both"/>
            </w:pPr>
            <w:r>
              <w:rPr>
                <w:rFonts w:ascii="Times New Roman"/>
                <w:b w:val="false"/>
                <w:i w:val="false"/>
                <w:color w:val="000000"/>
                <w:sz w:val="20"/>
              </w:rPr>
              <w:t>
   терапевтическое применение исследуемого препарата (программы расширенного доступа, программы применения в связи с исключительными обстоятельствами из соображений сострадания, программы сострадательного доступа, программы индивидуального доступа по запросу врача);</w:t>
            </w:r>
          </w:p>
          <w:p>
            <w:pPr>
              <w:spacing w:after="20"/>
              <w:ind w:left="20"/>
              <w:jc w:val="both"/>
            </w:pPr>
            <w:r>
              <w:rPr>
                <w:rFonts w:ascii="Times New Roman"/>
                <w:b w:val="false"/>
                <w:i w:val="false"/>
                <w:color w:val="000000"/>
                <w:sz w:val="20"/>
              </w:rPr>
              <w:t>
   клинические исследования, проводимые для поддержки изменений процесса производства лекарственного средства.</w:t>
            </w:r>
          </w:p>
          <w:p>
            <w:pPr>
              <w:spacing w:after="20"/>
              <w:ind w:left="20"/>
              <w:jc w:val="both"/>
            </w:pPr>
            <w:r>
              <w:rPr>
                <w:rFonts w:ascii="Times New Roman"/>
                <w:b w:val="false"/>
                <w:i w:val="false"/>
                <w:color w:val="000000"/>
                <w:sz w:val="20"/>
              </w:rPr>
              <w:t>
   РОБ также включает иные данные, которые являются значимыми в отношении безопасности разрабатываемого (исследуемого) препарата, в том числе следующих данных:</w:t>
            </w:r>
          </w:p>
          <w:p>
            <w:pPr>
              <w:spacing w:after="20"/>
              <w:ind w:left="20"/>
              <w:jc w:val="both"/>
            </w:pPr>
            <w:r>
              <w:rPr>
                <w:rFonts w:ascii="Times New Roman"/>
                <w:b w:val="false"/>
                <w:i w:val="false"/>
                <w:color w:val="000000"/>
                <w:sz w:val="20"/>
              </w:rPr>
              <w:t>
   наблюдательных и эпидемиологических исследований;</w:t>
            </w:r>
          </w:p>
          <w:p>
            <w:pPr>
              <w:spacing w:after="20"/>
              <w:ind w:left="20"/>
              <w:jc w:val="both"/>
            </w:pPr>
            <w:r>
              <w:rPr>
                <w:rFonts w:ascii="Times New Roman"/>
                <w:b w:val="false"/>
                <w:i w:val="false"/>
                <w:color w:val="000000"/>
                <w:sz w:val="20"/>
              </w:rPr>
              <w:t xml:space="preserve">
   доклинических исследований (токсикологические исследования и исследования вне живого организма ( </w:t>
            </w:r>
            <w:r>
              <w:rPr>
                <w:rFonts w:ascii="Times New Roman"/>
                <w:b w:val="false"/>
                <w:i/>
                <w:color w:val="000000"/>
                <w:sz w:val="20"/>
              </w:rPr>
              <w:t>in vitro))</w:t>
            </w:r>
            <w:r>
              <w:rPr>
                <w:rFonts w:ascii="Times New Roman"/>
                <w:b w:val="false"/>
                <w:i w:val="false"/>
                <w:color w:val="000000"/>
                <w:sz w:val="20"/>
              </w:rPr>
              <w:t>;</w:t>
            </w:r>
          </w:p>
          <w:p>
            <w:pPr>
              <w:spacing w:after="20"/>
              <w:ind w:left="20"/>
              <w:jc w:val="both"/>
            </w:pPr>
            <w:r>
              <w:rPr>
                <w:rFonts w:ascii="Times New Roman"/>
                <w:b w:val="false"/>
                <w:i w:val="false"/>
                <w:color w:val="000000"/>
                <w:sz w:val="20"/>
              </w:rPr>
              <w:t>
   других РОБ, которые имеют отношение к исследуемому препарату;</w:t>
            </w:r>
          </w:p>
          <w:p>
            <w:pPr>
              <w:spacing w:after="20"/>
              <w:ind w:left="20"/>
              <w:jc w:val="both"/>
            </w:pPr>
            <w:r>
              <w:rPr>
                <w:rFonts w:ascii="Times New Roman"/>
                <w:b w:val="false"/>
                <w:i w:val="false"/>
                <w:color w:val="000000"/>
                <w:sz w:val="20"/>
              </w:rPr>
              <w:t>
   производственных и микробиологических изменений;</w:t>
            </w:r>
          </w:p>
          <w:p>
            <w:pPr>
              <w:spacing w:after="20"/>
              <w:ind w:left="20"/>
              <w:jc w:val="both"/>
            </w:pPr>
            <w:r>
              <w:rPr>
                <w:rFonts w:ascii="Times New Roman"/>
                <w:b w:val="false"/>
                <w:i w:val="false"/>
                <w:color w:val="000000"/>
                <w:sz w:val="20"/>
              </w:rPr>
              <w:t>
   недавно опубликованных в медицинской литературе;</w:t>
            </w:r>
          </w:p>
          <w:p>
            <w:pPr>
              <w:spacing w:after="20"/>
              <w:ind w:left="20"/>
              <w:jc w:val="both"/>
            </w:pPr>
            <w:r>
              <w:rPr>
                <w:rFonts w:ascii="Times New Roman"/>
                <w:b w:val="false"/>
                <w:i w:val="false"/>
                <w:color w:val="000000"/>
                <w:sz w:val="20"/>
              </w:rPr>
              <w:t>
   клинических исследований, по результатам которых была выявлена недостаточная эффективность, что могло оказать непосредственное влияние на безопасность субъектов исследования (ухудшение основного заболевания в случае серьезной или угрожающей жизни патологии);</w:t>
            </w:r>
          </w:p>
          <w:p>
            <w:pPr>
              <w:spacing w:after="20"/>
              <w:ind w:left="20"/>
              <w:jc w:val="both"/>
            </w:pPr>
            <w:r>
              <w:rPr>
                <w:rFonts w:ascii="Times New Roman"/>
                <w:b w:val="false"/>
                <w:i w:val="false"/>
                <w:color w:val="000000"/>
                <w:sz w:val="20"/>
              </w:rPr>
              <w:t>
   иных источников данных по безопасности аналогичного терапевтического класса;</w:t>
            </w:r>
          </w:p>
          <w:p>
            <w:pPr>
              <w:spacing w:after="20"/>
              <w:ind w:left="20"/>
              <w:jc w:val="both"/>
            </w:pPr>
            <w:r>
              <w:rPr>
                <w:rFonts w:ascii="Times New Roman"/>
                <w:b w:val="false"/>
                <w:i w:val="false"/>
                <w:color w:val="000000"/>
                <w:sz w:val="20"/>
              </w:rPr>
              <w:t>
   клинических исследований, проведенных партнерами спонсора по разработке, если это предусмотрено договорными соглашениями.</w:t>
            </w:r>
          </w:p>
          <w:p>
            <w:pPr>
              <w:spacing w:after="20"/>
              <w:ind w:left="20"/>
              <w:jc w:val="both"/>
            </w:pPr>
            <w:r>
              <w:rPr>
                <w:rFonts w:ascii="Times New Roman"/>
                <w:b w:val="false"/>
                <w:i w:val="false"/>
                <w:color w:val="000000"/>
                <w:sz w:val="20"/>
              </w:rPr>
              <w:t>
   </w:t>
            </w:r>
            <w:r>
              <w:rPr>
                <w:rFonts w:ascii="Times New Roman"/>
                <w:b/>
                <w:i w:val="false"/>
                <w:color w:val="000000"/>
                <w:sz w:val="20"/>
              </w:rPr>
              <w:t>3. Общие принципы</w:t>
            </w:r>
          </w:p>
          <w:p>
            <w:pPr>
              <w:spacing w:after="20"/>
              <w:ind w:left="20"/>
              <w:jc w:val="both"/>
            </w:pPr>
            <w:r>
              <w:rPr>
                <w:rFonts w:ascii="Times New Roman"/>
                <w:b w:val="false"/>
                <w:i w:val="false"/>
                <w:color w:val="000000"/>
                <w:sz w:val="20"/>
              </w:rPr>
              <w:t>
   3.1 Единый РОБ для действующего вещества</w:t>
            </w:r>
          </w:p>
          <w:p>
            <w:pPr>
              <w:spacing w:after="20"/>
              <w:ind w:left="20"/>
              <w:jc w:val="both"/>
            </w:pPr>
            <w:r>
              <w:rPr>
                <w:rFonts w:ascii="Times New Roman"/>
                <w:b w:val="false"/>
                <w:i w:val="false"/>
                <w:color w:val="000000"/>
                <w:sz w:val="20"/>
              </w:rPr>
              <w:t>
   С целью обеспечения исчерпывающего анализа и представления данных по безопасности исследуемого препарата спонсор представляет единый РОБ, включающий данные по всем лекарственным формам и дозировкам, показаниям к назначению, исследуемым популяциям. В случаях, когда это не представляется возможным (когда данные недоступны спонсору), следует представить соответствующее объяснение во вводной части отчета.</w:t>
            </w:r>
          </w:p>
          <w:p>
            <w:pPr>
              <w:spacing w:after="20"/>
              <w:ind w:left="20"/>
              <w:jc w:val="both"/>
            </w:pPr>
            <w:r>
              <w:rPr>
                <w:rFonts w:ascii="Times New Roman"/>
                <w:b w:val="false"/>
                <w:i w:val="false"/>
                <w:color w:val="000000"/>
                <w:sz w:val="20"/>
              </w:rPr>
              <w:t>
   В случае, если в разработке исследуемого препарата участвует более одного спонсора, в частности при выполнении совместной разработки или на основании иных договорных соглашений, спонсорами предоставляется единый РОБ.</w:t>
            </w:r>
          </w:p>
          <w:p>
            <w:pPr>
              <w:spacing w:after="20"/>
              <w:ind w:left="20"/>
              <w:jc w:val="both"/>
            </w:pPr>
            <w:r>
              <w:rPr>
                <w:rFonts w:ascii="Times New Roman"/>
                <w:b w:val="false"/>
                <w:i w:val="false"/>
                <w:color w:val="000000"/>
                <w:sz w:val="20"/>
              </w:rPr>
              <w:t>
   3.2 Периодичность представления РОБ и дата окончания сбора данных</w:t>
            </w:r>
          </w:p>
          <w:p>
            <w:pPr>
              <w:spacing w:after="20"/>
              <w:ind w:left="20"/>
              <w:jc w:val="both"/>
            </w:pPr>
            <w:r>
              <w:rPr>
                <w:rFonts w:ascii="Times New Roman"/>
                <w:b w:val="false"/>
                <w:i w:val="false"/>
                <w:color w:val="000000"/>
                <w:sz w:val="20"/>
              </w:rPr>
              <w:t>
   Начало ежегодного периода по представлению отчета определяется в соответствии с МДОРЛП. Месяц и дата МДОРЛП являются датой начала отсчета годового периода для подачи РОБ.</w:t>
            </w:r>
          </w:p>
          <w:p>
            <w:pPr>
              <w:spacing w:after="20"/>
              <w:ind w:left="20"/>
              <w:jc w:val="both"/>
            </w:pPr>
            <w:r>
              <w:rPr>
                <w:rFonts w:ascii="Times New Roman"/>
                <w:b w:val="false"/>
                <w:i w:val="false"/>
                <w:color w:val="000000"/>
                <w:sz w:val="20"/>
              </w:rPr>
              <w:t>
   В случае проведения первого клинического исследования на территории страны, в которой отсутствует официальная процедура одобрения клинического исследования, спонсором назначается соответствующая дата, связанная с началом первого клинического исследования. Для всех стран, в которых выполняются клинические исследования исследуемого препарата, поддерживается и используется единая МДОРЛП при подготовке РОБ.</w:t>
            </w:r>
          </w:p>
          <w:p>
            <w:pPr>
              <w:spacing w:after="20"/>
              <w:ind w:left="20"/>
              <w:jc w:val="both"/>
            </w:pPr>
            <w:r>
              <w:rPr>
                <w:rFonts w:ascii="Times New Roman"/>
                <w:b w:val="false"/>
                <w:i w:val="false"/>
                <w:color w:val="000000"/>
                <w:sz w:val="20"/>
              </w:rPr>
              <w:t xml:space="preserve">
   Датой окончания сбора данных РОБ является последний день отчетного периода, составляющего один год. Для удобства выполнения административных процедур по желанию спонсора датой окончания сбора данных определяется последний день месяца, предшествующего МДОРЛП. </w:t>
            </w:r>
          </w:p>
          <w:p>
            <w:pPr>
              <w:spacing w:after="20"/>
              <w:ind w:left="20"/>
              <w:jc w:val="both"/>
            </w:pPr>
            <w:r>
              <w:rPr>
                <w:rFonts w:ascii="Times New Roman"/>
                <w:b w:val="false"/>
                <w:i w:val="false"/>
                <w:color w:val="000000"/>
                <w:sz w:val="20"/>
              </w:rPr>
              <w:t>
   В случае продолжения выполнения программы клинической разработки лекарственного препарата на территории Республики Казахстан после его государственной регистрации, в соответствии с требованиями законодательства Республики Казахстан, представляются как РОБ, так и периодические отчеты по безопасности исследуемого препарата (ПОБ). По желанию спонсора РОБ подготавливается исходя из международной даты регистрации (МДР), используемой в ПОБ, что позволит синхронизировать даты подачи обоих периодических отчетов. В случае синхронизации дат подачи периодических отчетов, отчетный период для следующего периодического отчета по безопасности исследуемого препарата не превышает один год.</w:t>
            </w:r>
          </w:p>
          <w:p>
            <w:pPr>
              <w:spacing w:after="20"/>
              <w:ind w:left="20"/>
              <w:jc w:val="both"/>
            </w:pPr>
            <w:r>
              <w:rPr>
                <w:rFonts w:ascii="Times New Roman"/>
                <w:b w:val="false"/>
                <w:i w:val="false"/>
                <w:color w:val="000000"/>
                <w:sz w:val="20"/>
              </w:rPr>
              <w:t>
   РОБ представляется уполномоченному органу Республики Казахстан, на территории которых проводятся клинические исследования (испытания) исследуемого препарата, не позднее 60 календарных дней от даты окончания сбора данных.</w:t>
            </w:r>
          </w:p>
          <w:p>
            <w:pPr>
              <w:spacing w:after="20"/>
              <w:ind w:left="20"/>
              <w:jc w:val="both"/>
            </w:pPr>
            <w:r>
              <w:rPr>
                <w:rFonts w:ascii="Times New Roman"/>
                <w:b w:val="false"/>
                <w:i w:val="false"/>
                <w:color w:val="000000"/>
                <w:sz w:val="20"/>
              </w:rPr>
              <w:t>
   3.3 Продолжительность подачи РОБ</w:t>
            </w:r>
          </w:p>
          <w:p>
            <w:pPr>
              <w:spacing w:after="20"/>
              <w:ind w:left="20"/>
              <w:jc w:val="both"/>
            </w:pPr>
            <w:r>
              <w:rPr>
                <w:rFonts w:ascii="Times New Roman"/>
                <w:b w:val="false"/>
                <w:i w:val="false"/>
                <w:color w:val="000000"/>
                <w:sz w:val="20"/>
              </w:rPr>
              <w:t>
   Продолжительность подачи РОБ определяется требованиями законодательства Республики Казахстан. Если в отдельной стране или регионе в соответствии с требованиями локального законодательства прекращается подача РОБ, спонсору следует сделать указание, что заключительный РОБ является последним ежегодным отчетом для исследуемого препарата в Республике Казахстан. Спонсору также следует сделать указание о наличии продолжающихся клинических исследований в других странах.</w:t>
            </w:r>
          </w:p>
          <w:p>
            <w:pPr>
              <w:spacing w:after="20"/>
              <w:ind w:left="20"/>
              <w:jc w:val="both"/>
            </w:pPr>
            <w:r>
              <w:rPr>
                <w:rFonts w:ascii="Times New Roman"/>
                <w:b w:val="false"/>
                <w:i w:val="false"/>
                <w:color w:val="000000"/>
                <w:sz w:val="20"/>
              </w:rPr>
              <w:t>
   3.4 Ответственность за подготовку и представление РОБ</w:t>
            </w:r>
          </w:p>
          <w:p>
            <w:pPr>
              <w:spacing w:after="20"/>
              <w:ind w:left="20"/>
              <w:jc w:val="both"/>
            </w:pPr>
            <w:r>
              <w:rPr>
                <w:rFonts w:ascii="Times New Roman"/>
                <w:b w:val="false"/>
                <w:i w:val="false"/>
                <w:color w:val="000000"/>
                <w:sz w:val="20"/>
              </w:rPr>
              <w:t>
   3.4.1 Ответственность спонсора</w:t>
            </w:r>
          </w:p>
          <w:p>
            <w:pPr>
              <w:spacing w:after="20"/>
              <w:ind w:left="20"/>
              <w:jc w:val="both"/>
            </w:pPr>
            <w:r>
              <w:rPr>
                <w:rFonts w:ascii="Times New Roman"/>
                <w:b w:val="false"/>
                <w:i w:val="false"/>
                <w:color w:val="000000"/>
                <w:sz w:val="20"/>
              </w:rPr>
              <w:t>
   Спонсор клинического исследования является ответственным за подготовку, содержание и подачу РОБ. Спонсор имеет право делегировать выполнение работ по подготовке РОБ третьей стороне, контрактной исследовательской организации.</w:t>
            </w:r>
          </w:p>
          <w:p>
            <w:pPr>
              <w:spacing w:after="20"/>
              <w:ind w:left="20"/>
              <w:jc w:val="both"/>
            </w:pPr>
            <w:r>
              <w:rPr>
                <w:rFonts w:ascii="Times New Roman"/>
                <w:b w:val="false"/>
                <w:i w:val="false"/>
                <w:color w:val="000000"/>
                <w:sz w:val="20"/>
              </w:rPr>
              <w:t xml:space="preserve">
   В случае, когда спонсор не имеет доступа к информации, включаемой в определенные разделы РОБ, спонсор-исследователь не располагает информацией по аспектам производственного процесса, данным доклинических исследований, информации по регистрации лекарственного препарата, отмечается соответствующее указание в РОБ. </w:t>
            </w:r>
          </w:p>
          <w:p>
            <w:pPr>
              <w:spacing w:after="20"/>
              <w:ind w:left="20"/>
              <w:jc w:val="both"/>
            </w:pPr>
            <w:r>
              <w:rPr>
                <w:rFonts w:ascii="Times New Roman"/>
                <w:b w:val="false"/>
                <w:i w:val="false"/>
                <w:color w:val="000000"/>
                <w:sz w:val="20"/>
              </w:rPr>
              <w:t>
   3.4.2 Ответственность нескольких сторон</w:t>
            </w:r>
          </w:p>
          <w:p>
            <w:pPr>
              <w:spacing w:after="20"/>
              <w:ind w:left="20"/>
              <w:jc w:val="both"/>
            </w:pPr>
            <w:r>
              <w:rPr>
                <w:rFonts w:ascii="Times New Roman"/>
                <w:b w:val="false"/>
                <w:i w:val="false"/>
                <w:color w:val="000000"/>
                <w:sz w:val="20"/>
              </w:rPr>
              <w:t>
   В случае выполнения клинического исследования или программы разработки несколькими спонсорами, стороны организовывают подготовку единого РОБ. Данное требование распространяется при наличии у спонсора официальных договорных взаимоотношений по совместной разработке или лицензионных взаимоотношений с одной или более сторонами, либо в случае выполнения отдельных клинических исследований или программы разработки лекарственного препарата с вовлечением государственных и частных организаций, деловых партнеров или иных сторон. В этих случаях спонсор располагает письменными соглашениями, определяющими порядок обмена данными и детальное распределение обязанностей по подготовке и представлению РОБ.</w:t>
            </w:r>
          </w:p>
          <w:p>
            <w:pPr>
              <w:spacing w:after="20"/>
              <w:ind w:left="20"/>
              <w:jc w:val="both"/>
            </w:pPr>
            <w:r>
              <w:rPr>
                <w:rFonts w:ascii="Times New Roman"/>
                <w:b w:val="false"/>
                <w:i w:val="false"/>
                <w:color w:val="000000"/>
                <w:sz w:val="20"/>
              </w:rPr>
              <w:t>
   В случае, когда организация представления единого РОБ не представляется возможной, несколько спонсоров приходят к соглашению о подаче отдельных РОБ на один и тот же разрабатываемый препарат. Данная ситуация возникает когда различные стороны исследуют разрабатываемый препарат по разным показаниям, по разным способам введения, либо с использованием различных лекарственных форм. В каждом случае, в РОБ приводится обоснование представления отдельных отчетов.</w:t>
            </w:r>
          </w:p>
          <w:p>
            <w:pPr>
              <w:spacing w:after="20"/>
              <w:ind w:left="20"/>
              <w:jc w:val="both"/>
            </w:pPr>
            <w:r>
              <w:rPr>
                <w:rFonts w:ascii="Times New Roman"/>
                <w:b w:val="false"/>
                <w:i w:val="false"/>
                <w:color w:val="000000"/>
                <w:sz w:val="20"/>
              </w:rPr>
              <w:t>
   3.4.3 РОБ для комбинированной терапии</w:t>
            </w:r>
          </w:p>
          <w:p>
            <w:pPr>
              <w:spacing w:after="20"/>
              <w:ind w:left="20"/>
              <w:jc w:val="both"/>
            </w:pPr>
            <w:r>
              <w:rPr>
                <w:rFonts w:ascii="Times New Roman"/>
                <w:b w:val="false"/>
                <w:i w:val="false"/>
                <w:color w:val="000000"/>
                <w:sz w:val="20"/>
              </w:rPr>
              <w:t>
   Поскольку клиническая разработка комбинированной терапии сопряжена с рядом потенциальных сложностей, настоящий Стандарт не предусматривает все возможные аспекты данной ситуации. Спонсору следует определить наиболее приемлемый вариант подготовки РОБ на основании оценки ряда факторов, включая популяцию пациентов, показания к назначению, лекарственную форму, а также условия проведения клинических исследований и законодательство Республики Казахстан. В отчете приводится обоснование выбранного подхода.</w:t>
            </w:r>
          </w:p>
          <w:p>
            <w:pPr>
              <w:spacing w:after="20"/>
              <w:ind w:left="20"/>
              <w:jc w:val="both"/>
            </w:pPr>
            <w:r>
              <w:rPr>
                <w:rFonts w:ascii="Times New Roman"/>
                <w:b w:val="false"/>
                <w:i w:val="false"/>
                <w:color w:val="000000"/>
                <w:sz w:val="20"/>
              </w:rPr>
              <w:t>
   По клиническим исследованиям фиксированных комбинаций представляется единый РОБ (при назначении как минимум двух действующих веществ в фиксированной дозе в одной лекарственной форме). Если спонсор также проводит клинические исследования отдельных компонентов, входящих в состав фиксированной комбинации, отдельные РОБ представляются для каждого компонента. Имеющие отношение данные из каждого РОБ обобщаются в соответствующем разделе других РОБ (смотрите раздел 4.11.5 настоящего Приложения).</w:t>
            </w:r>
          </w:p>
          <w:p>
            <w:pPr>
              <w:spacing w:after="20"/>
              <w:ind w:left="20"/>
              <w:jc w:val="both"/>
            </w:pPr>
            <w:r>
              <w:rPr>
                <w:rFonts w:ascii="Times New Roman"/>
                <w:b w:val="false"/>
                <w:i w:val="false"/>
                <w:color w:val="000000"/>
                <w:sz w:val="20"/>
              </w:rPr>
              <w:t>
   Для исследований, которые включают многокомпонентную терапию, где комбинации лекарственных средств не являются фиксированными, спонсор готовит:</w:t>
            </w:r>
          </w:p>
          <w:p>
            <w:pPr>
              <w:spacing w:after="20"/>
              <w:ind w:left="20"/>
              <w:jc w:val="both"/>
            </w:pPr>
            <w:r>
              <w:rPr>
                <w:rFonts w:ascii="Times New Roman"/>
                <w:b w:val="false"/>
                <w:i w:val="false"/>
                <w:color w:val="000000"/>
                <w:sz w:val="20"/>
              </w:rPr>
              <w:t>
   (1) РОБ для комбинированной терапии;</w:t>
            </w:r>
          </w:p>
          <w:p>
            <w:pPr>
              <w:spacing w:after="20"/>
              <w:ind w:left="20"/>
              <w:jc w:val="both"/>
            </w:pPr>
            <w:r>
              <w:rPr>
                <w:rFonts w:ascii="Times New Roman"/>
                <w:b w:val="false"/>
                <w:i w:val="false"/>
                <w:color w:val="000000"/>
                <w:sz w:val="20"/>
              </w:rPr>
              <w:t>
   (2) РОБ для одного или более индивидуальных компонентов; в данном случае информация по клиническим исследованиям многокомпонентной терапии включается в РОБ на один или все компоненты.</w:t>
            </w:r>
          </w:p>
          <w:p>
            <w:pPr>
              <w:spacing w:after="20"/>
              <w:ind w:left="20"/>
              <w:jc w:val="both"/>
            </w:pPr>
            <w:r>
              <w:rPr>
                <w:rFonts w:ascii="Times New Roman"/>
                <w:b w:val="false"/>
                <w:i w:val="false"/>
                <w:color w:val="000000"/>
                <w:sz w:val="20"/>
              </w:rPr>
              <w:t>
   Примеры стратегии подготовки РОБ для комбинированной терапии: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6"/>
              <w:gridCol w:w="6544"/>
            </w:tblGrid>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терапия, назначаемая в клинических исследованиях</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(А) + зарегистрированный лекарственный препарат (Х, Y, Z)</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РОБ на комбинированную терапию (A + X + Y + Z)</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РОБ на исследуемый препарат (А), включающий данные по комбинированной терапии</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исследуемых препарата (А) + (В)</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РОБ на комбинированную терапию (А + В)</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два отдельных РОБ на (А) и (В), в каждый из которых включаются данные по комбинированной терапии</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(или более) зарегистрированных лекарственных препарата в качестве исследуемой комбинации (X, Y, Z)</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РОБ на комбинированную терапию (X + Y + Z)</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3.5. Справочная информация по безопасности</w:t>
            </w:r>
          </w:p>
          <w:p>
            <w:pPr>
              <w:spacing w:after="20"/>
              <w:ind w:left="20"/>
              <w:jc w:val="both"/>
            </w:pPr>
            <w:r>
              <w:rPr>
                <w:rFonts w:ascii="Times New Roman"/>
                <w:b w:val="false"/>
                <w:i w:val="false"/>
                <w:color w:val="000000"/>
                <w:sz w:val="20"/>
              </w:rPr>
              <w:t>
   В целях определения соответствия получаемой на протяжении отчетного периода информации по безопасности имеющимся данным по профилю безопасности исследуемого препарата используется действующая на начало отчетного периода БИ. В соответствующем разделе РОБ следует сделать указание номера версии и даты БИ, которая используется в качестве справочной информации по безопасности. В случаях, когда согласно законодательству Республики Казахстан БИ не требуется, в качестве справочной информации по безопасности используется соответствующая инструкция по медицинскому применению.</w:t>
            </w:r>
          </w:p>
          <w:p>
            <w:pPr>
              <w:spacing w:after="20"/>
              <w:ind w:left="20"/>
              <w:jc w:val="both"/>
            </w:pPr>
            <w:r>
              <w:rPr>
                <w:rFonts w:ascii="Times New Roman"/>
                <w:b w:val="false"/>
                <w:i w:val="false"/>
                <w:color w:val="000000"/>
                <w:sz w:val="20"/>
              </w:rPr>
              <w:t>
   В качестве справочной информации по безопасности используется один документ. При определенных обстоятельствах в РОБ используется более одного документа в качестве справочной информации по безопасности (в случаях подготовки РОБ для исследуемого препарата, который применялся как в качестве монотерапии, так и в составе комбинированной терапии).</w:t>
            </w:r>
          </w:p>
          <w:p>
            <w:pPr>
              <w:spacing w:after="20"/>
              <w:ind w:left="20"/>
              <w:jc w:val="both"/>
            </w:pPr>
            <w:r>
              <w:rPr>
                <w:rFonts w:ascii="Times New Roman"/>
                <w:b w:val="false"/>
                <w:i w:val="false"/>
                <w:color w:val="000000"/>
                <w:sz w:val="20"/>
              </w:rPr>
              <w:t>
   Если на протяжении отчетного периода выполнялся пересмотр БИ и она не представлялась ранее в соответствующий экспертную организацию, спонсор представляет копию текущей версии БИ в качестве приложения к РОБ.</w:t>
            </w:r>
          </w:p>
          <w:p>
            <w:pPr>
              <w:spacing w:after="20"/>
              <w:ind w:left="20"/>
              <w:jc w:val="both"/>
            </w:pPr>
            <w:r>
              <w:rPr>
                <w:rFonts w:ascii="Times New Roman"/>
                <w:b w:val="false"/>
                <w:i w:val="false"/>
                <w:color w:val="000000"/>
                <w:sz w:val="20"/>
              </w:rPr>
              <w:t>
   </w:t>
            </w:r>
            <w:r>
              <w:rPr>
                <w:rFonts w:ascii="Times New Roman"/>
                <w:b/>
                <w:i w:val="false"/>
                <w:color w:val="000000"/>
                <w:sz w:val="20"/>
              </w:rPr>
              <w:t>4. Требования к составу и содержанию периодического отчета по безопасности исследуемого препарата</w:t>
            </w:r>
          </w:p>
          <w:p>
            <w:pPr>
              <w:spacing w:after="20"/>
              <w:ind w:left="20"/>
              <w:jc w:val="both"/>
            </w:pPr>
            <w:r>
              <w:rPr>
                <w:rFonts w:ascii="Times New Roman"/>
                <w:b w:val="false"/>
                <w:i w:val="false"/>
                <w:color w:val="000000"/>
                <w:sz w:val="20"/>
              </w:rPr>
              <w:t>
   4.1. Титульная страница</w:t>
            </w:r>
          </w:p>
          <w:p>
            <w:pPr>
              <w:spacing w:after="20"/>
              <w:ind w:left="20"/>
              <w:jc w:val="both"/>
            </w:pPr>
            <w:r>
              <w:rPr>
                <w:rFonts w:ascii="Times New Roman"/>
                <w:b w:val="false"/>
                <w:i w:val="false"/>
                <w:color w:val="000000"/>
                <w:sz w:val="20"/>
              </w:rPr>
              <w:t>
   Титульная страница содержит порядковый номер РОБ, название исследуемого препарата, отчетный период, дату составления отчета, названия и адреса спонсора, заявление о конфиденциальности информации, содержащейся в РОБ и предостережение, что РОБ содержит данные с раскрытыми кодами рандомизации.</w:t>
            </w:r>
          </w:p>
          <w:p>
            <w:pPr>
              <w:spacing w:after="20"/>
              <w:ind w:left="20"/>
              <w:jc w:val="both"/>
            </w:pPr>
            <w:r>
              <w:rPr>
                <w:rFonts w:ascii="Times New Roman"/>
                <w:b w:val="false"/>
                <w:i w:val="false"/>
                <w:color w:val="000000"/>
                <w:sz w:val="20"/>
              </w:rPr>
              <w:t>
   4.2. Краткое изложение основного РОБ</w:t>
            </w:r>
          </w:p>
          <w:p>
            <w:pPr>
              <w:spacing w:after="20"/>
              <w:ind w:left="20"/>
              <w:jc w:val="both"/>
            </w:pPr>
            <w:r>
              <w:rPr>
                <w:rFonts w:ascii="Times New Roman"/>
                <w:b w:val="false"/>
                <w:i w:val="false"/>
                <w:color w:val="000000"/>
                <w:sz w:val="20"/>
              </w:rPr>
              <w:t>
   Этот раздел вместе с титульной страницей служит самостоятельным документом, подходящим для подачи в Комиссию по вопросам этики. В раздел включают краткую информацию по наиболее важным данным, имеющимся в отчете: номер отчета и отчетный период, краткая характеристика исследуемого препарата, его механизм действия, фармакотерапевтический класс, показания к применению, способ введения, режим дозирования, лекарственные формы; оценка количества субъектов исследования, подвергшихся воздействию исследуемого препарата; регистрационный статус с указанием количества стран, если он зарегистрирован; краткое изложение обобщенной оценки профиля безопасности; краткое изложение важных рисков; меры, принятые в связи с данными по безопасности, включая существенные изменения в брошюре исследователя; заключение (выводы).</w:t>
            </w:r>
          </w:p>
          <w:p>
            <w:pPr>
              <w:spacing w:after="20"/>
              <w:ind w:left="20"/>
              <w:jc w:val="both"/>
            </w:pPr>
            <w:r>
              <w:rPr>
                <w:rFonts w:ascii="Times New Roman"/>
                <w:b w:val="false"/>
                <w:i w:val="false"/>
                <w:color w:val="000000"/>
                <w:sz w:val="20"/>
              </w:rPr>
              <w:t>
   4.3. Оглавление.</w:t>
            </w:r>
          </w:p>
          <w:p>
            <w:pPr>
              <w:spacing w:after="20"/>
              <w:ind w:left="20"/>
              <w:jc w:val="both"/>
            </w:pPr>
            <w:r>
              <w:rPr>
                <w:rFonts w:ascii="Times New Roman"/>
                <w:b w:val="false"/>
                <w:i w:val="false"/>
                <w:color w:val="000000"/>
                <w:sz w:val="20"/>
              </w:rPr>
              <w:t>
   4.4. Введение</w:t>
            </w:r>
          </w:p>
          <w:p>
            <w:pPr>
              <w:spacing w:after="20"/>
              <w:ind w:left="20"/>
              <w:jc w:val="both"/>
            </w:pPr>
            <w:r>
              <w:rPr>
                <w:rFonts w:ascii="Times New Roman"/>
                <w:b w:val="false"/>
                <w:i w:val="false"/>
                <w:color w:val="000000"/>
                <w:sz w:val="20"/>
              </w:rPr>
              <w:t>
   В раздел включается следующая информация: МДОРЛП или МДР; отчетный период и порядковый номер РОБ; характеристика исследуемого препарата - механизм действия, фармакотерапевтический класс, способ введения, режим дозирования, лекарственные формы; краткое описание показаний к применению и исследуемых популяций; краткое описание характера и временной направленности клинических исследований, включенных в отчет, (все клинические исследования исследуемого препарата); клинические исследования по определенному показанию; исследования комбинированной терапии; краткое описание и пояснения в отношении какой-либо информации, которая не была включена в отчет (непредставление части информации по безопасности партнерами по разработке исследуемого препарата); обоснование представления нескольких РОБ для одного исследуемого препарата.</w:t>
            </w:r>
          </w:p>
          <w:p>
            <w:pPr>
              <w:spacing w:after="20"/>
              <w:ind w:left="20"/>
              <w:jc w:val="both"/>
            </w:pPr>
            <w:r>
              <w:rPr>
                <w:rFonts w:ascii="Times New Roman"/>
                <w:b w:val="false"/>
                <w:i w:val="false"/>
                <w:color w:val="000000"/>
                <w:sz w:val="20"/>
              </w:rPr>
              <w:t>
   4.5. Регистрационный статус в мире</w:t>
            </w:r>
          </w:p>
          <w:p>
            <w:pPr>
              <w:spacing w:after="20"/>
              <w:ind w:left="20"/>
              <w:jc w:val="both"/>
            </w:pPr>
            <w:r>
              <w:rPr>
                <w:rFonts w:ascii="Times New Roman"/>
                <w:b w:val="false"/>
                <w:i w:val="false"/>
                <w:color w:val="000000"/>
                <w:sz w:val="20"/>
              </w:rPr>
              <w:t>
   В разделе представляется краткое изложение состояния по регистрационному статусу,включая: МДР, зарегистрированное показание к применению, одобренные дозы, соответствующие страны.</w:t>
            </w:r>
          </w:p>
          <w:p>
            <w:pPr>
              <w:spacing w:after="20"/>
              <w:ind w:left="20"/>
              <w:jc w:val="both"/>
            </w:pPr>
            <w:r>
              <w:rPr>
                <w:rFonts w:ascii="Times New Roman"/>
                <w:b w:val="false"/>
                <w:i w:val="false"/>
                <w:color w:val="000000"/>
                <w:sz w:val="20"/>
              </w:rPr>
              <w:t>
   4.6. Меры, принятые за отчетный период, в связи с данными по безопасности</w:t>
            </w:r>
          </w:p>
          <w:p>
            <w:pPr>
              <w:spacing w:after="20"/>
              <w:ind w:left="20"/>
              <w:jc w:val="both"/>
            </w:pPr>
            <w:r>
              <w:rPr>
                <w:rFonts w:ascii="Times New Roman"/>
                <w:b w:val="false"/>
                <w:i w:val="false"/>
                <w:color w:val="000000"/>
                <w:sz w:val="20"/>
              </w:rPr>
              <w:t>
   Раздел включает описание мер, принятых за отчетный период спонсором, уполномоченным органом Республики Казахстан, Независимой группой по мониторингу данных, Комиссией по вопросам этики в целях безопасности, которые оказали влияние на проведение определенного клинического исследования или на программу клинической разработки в целом. В разделе указываются основания для принятия мер, а также возможные изменения по ранее принятым мерам (возобновление клинического исследования после приостановки). Меры, принятые в целях безопасности, могут включать, но не ограничиваются следующими примерами: отказ со стороны уполномоченного органа Республики Казахстан или Комиссии по вопросам этики в разрешении проведения клинического исследования по этическим вопросам или аспектам безопасности, частичная или полная приостановка или преждевременное прекращение клинического исследования по причине получения новых данных по безопасности или недостаточной эффективности исследуемого препарата; отзыв исследуемого препарата или препарата сравнения; отказ в государственной регистрации по исследуемым показаниям к применению, включая добровольный отзыв заявления на проведение государственной регистрации; введение мер по управлению рисками - внесение поправок в протокол в связи с аспектами безопасности или эффективности исследуемого препарата, включая изменение режима дозирования, критериев включения или исключения, введение дополнительного мониторинга, ограничение длительности воздействия, ограничения исследуемой популяции или показаний к применению; изменения информированного согласия; изменения состава препарата; введение уполномоченными органами дополнительных требований по представлению информации по безопасности; подготовка дополнительной информации для исследователей и медицинских работников; планирование новых исследований по изучению аспектов профиля безопасности. В случае наличия государственной регистрации, также включаются меры в отношении зарегистрированного лекарственного препарата: отказ со стороны уполномоченных органов в подтверждении регистрации; приостановка регистрации или отзыв с рынка; принятие уполномоченными органами мер по управлению рисками - существенные ограничения в обращении; существенные изменения в инструкции по медицинскому применению, которые могут повлиять на программу клинической разработки; подготовка дополнительной информации и другие меры минимизации риска; назначение уполномоченными органами дополнительных пострегистрационных исследований или иных исследований по оценке аспектов профиля безопасности, включая доклинические исследования.</w:t>
            </w:r>
          </w:p>
          <w:p>
            <w:pPr>
              <w:spacing w:after="20"/>
              <w:ind w:left="20"/>
              <w:jc w:val="both"/>
            </w:pPr>
            <w:r>
              <w:rPr>
                <w:rFonts w:ascii="Times New Roman"/>
                <w:b w:val="false"/>
                <w:i w:val="false"/>
                <w:color w:val="000000"/>
                <w:sz w:val="20"/>
              </w:rPr>
              <w:t>
   В этот раздел также включаются запросы уполномоченных органов, которые вводят определенные ограничения в отношении текущей или планируемой программы разработки исследуемого препарата, требование проведения длительных доклинических исследований до начала долгосрочных клинических исследований, запрос о представлении специфических данных по безопасности до начала педиатрического исследования. Данная информация представляется в форме обобщенного перечня с указанием обновлений по данной информации, если это применимо.</w:t>
            </w:r>
          </w:p>
          <w:p>
            <w:pPr>
              <w:spacing w:after="20"/>
              <w:ind w:left="20"/>
              <w:jc w:val="both"/>
            </w:pPr>
            <w:r>
              <w:rPr>
                <w:rFonts w:ascii="Times New Roman"/>
                <w:b w:val="false"/>
                <w:i w:val="false"/>
                <w:color w:val="000000"/>
                <w:sz w:val="20"/>
              </w:rPr>
              <w:t>
   4.7. Изменения, внесенные в справочную информацию по безопасности исследуемого препарата</w:t>
            </w:r>
          </w:p>
          <w:p>
            <w:pPr>
              <w:spacing w:after="20"/>
              <w:ind w:left="20"/>
              <w:jc w:val="both"/>
            </w:pPr>
            <w:r>
              <w:rPr>
                <w:rFonts w:ascii="Times New Roman"/>
                <w:b w:val="false"/>
                <w:i w:val="false"/>
                <w:color w:val="000000"/>
                <w:sz w:val="20"/>
              </w:rPr>
              <w:t xml:space="preserve">
   Раздел включает перечень изменений, которые были внесены за отчетный период в,БИ или иную справочную информацию по безопасности в связи с новыми аспектами профиля безопасности исследуемого препарата. Данные изменения могут касаться, но не ограничиваются, следующими примерами: изменение критериев исключения, противопоказаний, мер предосторожности и особых указаний, перечня серьезных нежелательных реакций и нежелательных явлений, представляющих особый интерес, лекарственных взаимодействий, а также важные данные, полученные в ходе доклинических исследований. Подробная информация по данным изменениям представляется в соответствующих разделах РОБ. </w:t>
            </w:r>
          </w:p>
          <w:p>
            <w:pPr>
              <w:spacing w:after="20"/>
              <w:ind w:left="20"/>
              <w:jc w:val="both"/>
            </w:pPr>
            <w:r>
              <w:rPr>
                <w:rFonts w:ascii="Times New Roman"/>
                <w:b w:val="false"/>
                <w:i w:val="false"/>
                <w:color w:val="000000"/>
                <w:sz w:val="20"/>
              </w:rPr>
              <w:t>
   4.8. Перечень продолжающихся и завершенных в отчетном периоде клинических исследований</w:t>
            </w:r>
          </w:p>
          <w:p>
            <w:pPr>
              <w:spacing w:after="20"/>
              <w:ind w:left="20"/>
              <w:jc w:val="both"/>
            </w:pPr>
            <w:r>
              <w:rPr>
                <w:rFonts w:ascii="Times New Roman"/>
                <w:b w:val="false"/>
                <w:i w:val="false"/>
                <w:color w:val="000000"/>
                <w:sz w:val="20"/>
              </w:rPr>
              <w:t>
   В разделе представляется краткая информация по продолжающимся и завершенным в отчетном периоде клиническим исследованиям с представлением в приложении к отчету детальной информации по исследованиям в табличной форме по следующим разделам: идентификационный номер и фаза исследования; статус выполнения - продолжающееся исследование; клиническое исследование началось; клиническое исследование началось, но в настоящее время приостановлено; клиническое исследование завершено, но отчет по клиническому исследованию еще не закончен; завершенное исследование и отчет по клиническому исследованию закончен; страны, в которых расположен как минимум один клиническая база; краткое название исследования; дизайн исследования - неконтролируемое, контролируемое, открытое, простое слепое, двойное слепое, в параллельных группах, с перекрестным дизайном и т.д., включая разделение на группы лечения; дозы и режим дозирования исследуемого препарата и препарата(-ов) сравнения; характеристика исследуемой популяции - возраст, пол, показания к применению, особые группы субъектов или пациентов ( пациенты с нарушением функции почек или пациенты с резистентностью к лечению); дата начала клинического исследования - по определению спонсора (первый визит первого включенного пациента или субъекта исследования); планируемый объем включения; оценка кумулятивного числа субъектов или пациентов исследования, получивших лечение в каждой лечебной группе. Приводятся данные по фактическому количеству включенных субъектов исследования в открытых или завершенных клинических исследованиях и (или) оценка, основанная на способе рандомизации для слепых исследований.</w:t>
            </w:r>
          </w:p>
          <w:p>
            <w:pPr>
              <w:spacing w:after="20"/>
              <w:ind w:left="20"/>
              <w:jc w:val="both"/>
            </w:pPr>
            <w:r>
              <w:rPr>
                <w:rFonts w:ascii="Times New Roman"/>
                <w:b w:val="false"/>
                <w:i w:val="false"/>
                <w:color w:val="000000"/>
                <w:sz w:val="20"/>
              </w:rPr>
              <w:t>
   4.9. Оценка количества субъектов, подвергшихся воздействию исследуемого препарата</w:t>
            </w:r>
          </w:p>
          <w:p>
            <w:pPr>
              <w:spacing w:after="20"/>
              <w:ind w:left="20"/>
              <w:jc w:val="both"/>
            </w:pPr>
            <w:r>
              <w:rPr>
                <w:rFonts w:ascii="Times New Roman"/>
                <w:b w:val="false"/>
                <w:i w:val="false"/>
                <w:color w:val="000000"/>
                <w:sz w:val="20"/>
              </w:rPr>
              <w:t>
   Данный раздел РОБ содержит информацию об общем количестве субъектов, подвергшихся воздействию - кумулятивном воздействии, в клинических исследованиях и при терапевтическом применении. Требования по представлению информации в данном разделе включают следующее: данные представляются в табличной форме; в случае наличия существенных различий между клиническими исследованиями в отношении исследуемой дозы, способа введения, исследуемой популяции, данные в таблице соответствующим образом описываются, либо представлены в виде отдельных таблиц; если сводные таблицы серьезных нежелательных явлений представлены отдельно по каждому исследуемому показанию, данные по оценке воздействия также группируются по исследуемым показаниям; в случае наличия существенных расхождений по времени кумулятивного воздействия между клиническими исследованиями или исследуемым препаратом и препаратом сравнения, данные по оценке воздействия рекомендуется представлять в условных единицах "субъект-промежуток времени" - человеко-днях, человеко-месяцах или человеко-годах; данные по воздействию на здоровых добровольцев, в особенности при изучении однократного назначения могут представляться отдельно ввиду их меньшей значимости для оценки профиля безопасности; для зарегистрированных лекарственных препаратов, которые находятся в программе клинической разработки, используется менее точный подход в оценке кумулятивного воздействия в ходе клинических исследований в случае многолетнего терапевтического применения и (или) применения по многочисленным показаниям, спонсор комментирует такие случаи.</w:t>
            </w:r>
          </w:p>
          <w:p>
            <w:pPr>
              <w:spacing w:after="20"/>
              <w:ind w:left="20"/>
              <w:jc w:val="both"/>
            </w:pPr>
            <w:r>
              <w:rPr>
                <w:rFonts w:ascii="Times New Roman"/>
                <w:b w:val="false"/>
                <w:i w:val="false"/>
                <w:color w:val="000000"/>
                <w:sz w:val="20"/>
              </w:rPr>
              <w:t>
   4.9.1. Обобщенная оценка количества субъектов, подвергшихся воздействию исследуемого препарата. в ходе выполнения программы клинической разработки</w:t>
            </w:r>
          </w:p>
          <w:p>
            <w:pPr>
              <w:spacing w:after="20"/>
              <w:ind w:left="20"/>
              <w:jc w:val="both"/>
            </w:pPr>
            <w:r>
              <w:rPr>
                <w:rFonts w:ascii="Times New Roman"/>
                <w:b w:val="false"/>
                <w:i w:val="false"/>
                <w:color w:val="000000"/>
                <w:sz w:val="20"/>
              </w:rPr>
              <w:t>
   Подраздел включает в табличной форме следующую информацию: общее число субъектов в продолжающихся и в завершенных клинических исследованиях; количество субъектов клинических исследований, получивших исследуемый препарат, плацебо и (или) препараты сравнения, начиная с МДОРЛП - в случае слепых продолжающихся исследований число субъектов оценивается исходя из используемого метода рандомизации; кумулятивное количество субъектов клинических исследований, подвергшихся воздействию исследуемого препарата по возрастным группам, полу, расовой принадлежности, при наличии данных; демографические характеристики по отдельным исследованиям особой важности (ключевые исследования III фазы).</w:t>
            </w:r>
          </w:p>
          <w:p>
            <w:pPr>
              <w:spacing w:after="20"/>
              <w:ind w:left="20"/>
              <w:jc w:val="both"/>
            </w:pPr>
            <w:r>
              <w:rPr>
                <w:rFonts w:ascii="Times New Roman"/>
                <w:b w:val="false"/>
                <w:i w:val="false"/>
                <w:color w:val="000000"/>
                <w:sz w:val="20"/>
              </w:rPr>
              <w:t>
   В подразделе приводится указание и обоснование использованного метода оценки обобщенного (кумулятивного) воздействия, а также ограничения данного метода.</w:t>
            </w:r>
          </w:p>
          <w:p>
            <w:pPr>
              <w:spacing w:after="20"/>
              <w:ind w:left="20"/>
              <w:jc w:val="both"/>
            </w:pPr>
            <w:r>
              <w:rPr>
                <w:rFonts w:ascii="Times New Roman"/>
                <w:b w:val="false"/>
                <w:i w:val="false"/>
                <w:color w:val="000000"/>
                <w:sz w:val="20"/>
              </w:rPr>
              <w:t>
   4.9.2. Оценка воздействия при пострегистрационном применении лекарственного препарата</w:t>
            </w:r>
          </w:p>
          <w:p>
            <w:pPr>
              <w:spacing w:after="20"/>
              <w:ind w:left="20"/>
              <w:jc w:val="both"/>
            </w:pPr>
            <w:r>
              <w:rPr>
                <w:rFonts w:ascii="Times New Roman"/>
                <w:b w:val="false"/>
                <w:i w:val="false"/>
                <w:color w:val="000000"/>
                <w:sz w:val="20"/>
              </w:rPr>
              <w:t>
   В случае, если исследуемый препарат зарегистрирован на территории какой-либо страны (стран), спонсором включаются в отчет данные по оценке кумулятивного воздействия на пациентов по результатам пострегистрационного применения, основанные на данных последнего ПОБ или иных источниках данных с указанием и обоснованием использованного метода оценки воздействия.</w:t>
            </w:r>
          </w:p>
          <w:p>
            <w:pPr>
              <w:spacing w:after="20"/>
              <w:ind w:left="20"/>
              <w:jc w:val="both"/>
            </w:pPr>
            <w:r>
              <w:rPr>
                <w:rFonts w:ascii="Times New Roman"/>
                <w:b w:val="false"/>
                <w:i w:val="false"/>
                <w:color w:val="000000"/>
                <w:sz w:val="20"/>
              </w:rPr>
              <w:t>
   4.10. Данные в виде структурированных списков и обобщенных - кумулятивных таблиц</w:t>
            </w:r>
          </w:p>
          <w:p>
            <w:pPr>
              <w:spacing w:after="20"/>
              <w:ind w:left="20"/>
              <w:jc w:val="both"/>
            </w:pPr>
            <w:r>
              <w:rPr>
                <w:rFonts w:ascii="Times New Roman"/>
                <w:b w:val="false"/>
                <w:i w:val="false"/>
                <w:color w:val="000000"/>
                <w:sz w:val="20"/>
              </w:rPr>
              <w:t>
   Этот раздел РОБ содержит структурированные списки серьезных нежелательных реакций, зарегистрированных спонсором за отчетный период, и обобщенные табличные данные по серьезным нежелательным явлениям, которые были зарегистрированы спонсором с МДОРЛП (таблицы включают все СНЯ, а не только СНР для исследуемого препарата и препаратов сравнения). Источником данных в списках и таблицах с раскрытыми рандомизационными кодами могут быть завершенные клинические исследования, а также индивидуальные случаи, в которых была выполнено раскрытие кода рандомизации по причинам, обусловленным безопасностью субъекта исследования. Спонсоры не раскрывают рандомизационные коды с целью подготовки РОБ.</w:t>
            </w:r>
          </w:p>
          <w:p>
            <w:pPr>
              <w:spacing w:after="20"/>
              <w:ind w:left="20"/>
              <w:jc w:val="both"/>
            </w:pPr>
            <w:r>
              <w:rPr>
                <w:rFonts w:ascii="Times New Roman"/>
                <w:b w:val="false"/>
                <w:i w:val="false"/>
                <w:color w:val="000000"/>
                <w:sz w:val="20"/>
              </w:rPr>
              <w:t>
   По усмотрению спонсора для облегчения восприятия и понимания информации в разделе используется графическое отображение определенных аспектов данных по нежелательным реакциям.</w:t>
            </w:r>
          </w:p>
          <w:p>
            <w:pPr>
              <w:spacing w:after="20"/>
              <w:ind w:left="20"/>
              <w:jc w:val="both"/>
            </w:pPr>
            <w:r>
              <w:rPr>
                <w:rFonts w:ascii="Times New Roman"/>
                <w:b w:val="false"/>
                <w:i w:val="false"/>
                <w:color w:val="000000"/>
                <w:sz w:val="20"/>
              </w:rPr>
              <w:t>
   В целом, таблицы СНЯ включают только те термины, которые были использованы для классификации серьезности; таблицы не включают несерьезные нежелательные явления.</w:t>
            </w:r>
          </w:p>
          <w:p>
            <w:pPr>
              <w:spacing w:after="20"/>
              <w:ind w:left="20"/>
              <w:jc w:val="both"/>
            </w:pPr>
            <w:r>
              <w:rPr>
                <w:rFonts w:ascii="Times New Roman"/>
                <w:b w:val="false"/>
                <w:i w:val="false"/>
                <w:color w:val="000000"/>
                <w:sz w:val="20"/>
              </w:rPr>
              <w:t xml:space="preserve">
   Определенные нежелательные явления могут быть исключены из структурированных списков и обобщенных табличных данных, однако по всем сделанным исключениям предоставляются объяснения в отчете. К числу таких нежелательных явлений относятся нежелательные явления, определяемые протоколом клинического исследования как не требующие сбора и ввода данных в базу данных по безопасности, а также являющиеся составляющими конечных точек оценки эффективности летальные исходы, обусловленные прогрессированием основного заболевания, в клинических исследованиях с участием пациентов со злокачественными новообразованиями. </w:t>
            </w:r>
          </w:p>
          <w:p>
            <w:pPr>
              <w:spacing w:after="20"/>
              <w:ind w:left="20"/>
              <w:jc w:val="both"/>
            </w:pPr>
            <w:r>
              <w:rPr>
                <w:rFonts w:ascii="Times New Roman"/>
                <w:b w:val="false"/>
                <w:i w:val="false"/>
                <w:color w:val="000000"/>
                <w:sz w:val="20"/>
              </w:rPr>
              <w:t>
   4.10.1. Справочная информация</w:t>
            </w:r>
          </w:p>
          <w:p>
            <w:pPr>
              <w:spacing w:after="20"/>
              <w:ind w:left="20"/>
              <w:jc w:val="both"/>
            </w:pPr>
            <w:r>
              <w:rPr>
                <w:rFonts w:ascii="Times New Roman"/>
                <w:b w:val="false"/>
                <w:i w:val="false"/>
                <w:color w:val="000000"/>
                <w:sz w:val="20"/>
              </w:rPr>
              <w:t>
   В подразделе указывается версия использованного для кодирования терминологического словаря и название документа с номером его версии, который использовался в качестве справочной информации по безопасности для определения предвиденности при составлении табличных данных, где это требуется в соответствии с законодательством Республики Казахстан.</w:t>
            </w:r>
          </w:p>
          <w:p>
            <w:pPr>
              <w:spacing w:after="20"/>
              <w:ind w:left="20"/>
              <w:jc w:val="both"/>
            </w:pPr>
            <w:r>
              <w:rPr>
                <w:rFonts w:ascii="Times New Roman"/>
                <w:b w:val="false"/>
                <w:i w:val="false"/>
                <w:color w:val="000000"/>
                <w:sz w:val="20"/>
              </w:rPr>
              <w:t>
   4.10.2. Структурированный список серьезных нежелательных реакций за отчетный период</w:t>
            </w:r>
          </w:p>
          <w:p>
            <w:pPr>
              <w:spacing w:after="20"/>
              <w:ind w:left="20"/>
              <w:jc w:val="both"/>
            </w:pPr>
            <w:r>
              <w:rPr>
                <w:rFonts w:ascii="Times New Roman"/>
                <w:b w:val="false"/>
                <w:i w:val="false"/>
                <w:color w:val="000000"/>
                <w:sz w:val="20"/>
              </w:rPr>
              <w:t>
   В подразделе приводится краткое описание принципа включения серьезных нежелательных реакций в список, сами списки серьезных нежелательных реакций, зарегистрированных при проведении клинических исследований за отчетный период, приводятся в приложении к РОБ. Не нужно использовать этот раздел для анализа серьезных нежелательных реакций или выводов. Структурированные списки представляют информацию по всем серьезным нежелательным реакциям (по ослепленным случаям и случаям с раскрытым кодом лечения) из клинических исследований спонсора в отчетный период. Данные в списках группируются первично по клиническим исследованиям и затем по органо-функциональным классам.</w:t>
            </w:r>
          </w:p>
          <w:p>
            <w:pPr>
              <w:spacing w:after="20"/>
              <w:ind w:left="20"/>
              <w:jc w:val="both"/>
            </w:pPr>
            <w:r>
              <w:rPr>
                <w:rFonts w:ascii="Times New Roman"/>
                <w:b w:val="false"/>
                <w:i w:val="false"/>
                <w:color w:val="000000"/>
                <w:sz w:val="20"/>
              </w:rPr>
              <w:t>
   В структурированные списки случаи по каждому отдельному субъекту исследования включают единожды вне зависимости от количества терминов серьезных нежелательных реакций, включенных в описание случая. Если у субъекта исследования развилось более одной серьезной нежелательной реакции, они перечисляются в описании одного случая под названием наиболее серьезной нежелательной реакции - жалобы, симптома или диагноза, согласно оценке спонсора. Если у субъекта исследования развились различные серьезные нежелательные реакции в разное время на протяжении клинического исследования ( с интервалом более недели) данные серьезные нежелательные реакции перечисляются отдельно, и субъект включается в структурированный список более одного раза.</w:t>
            </w:r>
          </w:p>
          <w:p>
            <w:pPr>
              <w:spacing w:after="20"/>
              <w:ind w:left="20"/>
              <w:jc w:val="both"/>
            </w:pPr>
            <w:r>
              <w:rPr>
                <w:rFonts w:ascii="Times New Roman"/>
                <w:b w:val="false"/>
                <w:i w:val="false"/>
                <w:color w:val="000000"/>
                <w:sz w:val="20"/>
              </w:rPr>
              <w:t>
   Информация по серьезным нежелательным реакциям в структурированных списках включает следующие данные: идентификационный номер клинического исследования; идентификационный номер субъекта исследования; идентификационный номера сообщения о серьезной нежелательной реакции по базе данных спонсора; страна выявления серьезной нежелательной реакции; возраст и пол субъекта исследования; указание группы лечения или указание, что данные ослепленные, если не выполнялось раскрытие рандомизационного кода; доза и длительность назначения исследуемого препарата, лекарственная форма и способ введения; дата начала и (или) время от начала приема до развития серьезной нежелательной реакции; даты начала и окончания назначения исследуемого препарата и (или) оценка продолжительности лечения; название или описание серьезной нежелательной реакции - при использовании Медицинского словаря терминологии регулятивной деятельности (MedDRA) следует указывать предпочтительный термин; исход нежелательной реакции (разрешилось, летальный исход, улучшение, разрешилось с остаточными явлениями, неизвестно) в этом пункте следует указывать исход нежелательной реакции у пациента, в случае нескольких нежелательных реакций указывается наихудший исход; оценка причинно-следственной взаимосвязи в случае расхождения во мнениях спонсора и исследователя; сопутствующие лекарственные препараты, если подозревается их прямая связь с нежелательной реакцией или лекарственное взаимодействие; показания, по которым назначался подозреваемый лекарственный препарат; результаты отмены и повторного назначения исследуемого препарата при наличии таковых сведений. Обобщенная информация о выявленных серьезных нежелательных реакциях включает данные слепых и открытых клинических исследований.</w:t>
            </w:r>
          </w:p>
          <w:p>
            <w:pPr>
              <w:spacing w:after="20"/>
              <w:ind w:left="20"/>
              <w:jc w:val="both"/>
            </w:pPr>
            <w:r>
              <w:rPr>
                <w:rFonts w:ascii="Times New Roman"/>
                <w:b w:val="false"/>
                <w:i w:val="false"/>
                <w:color w:val="000000"/>
                <w:sz w:val="20"/>
              </w:rPr>
              <w:t>
   4.10.3. Обобщенные табличные данные о выявленных серьезных нежелательных явлениях</w:t>
            </w:r>
          </w:p>
          <w:p>
            <w:pPr>
              <w:spacing w:after="20"/>
              <w:ind w:left="20"/>
              <w:jc w:val="both"/>
            </w:pPr>
            <w:r>
              <w:rPr>
                <w:rFonts w:ascii="Times New Roman"/>
                <w:b w:val="false"/>
                <w:i w:val="false"/>
                <w:color w:val="000000"/>
                <w:sz w:val="20"/>
              </w:rPr>
              <w:t>
   В подразделе делается отсылка к приложению с обобщенными - кумулятивными табличными данными по выявленным серьезным нежелательным явлениям, полученными спонсором клинических исследований за период от МДОРЛП до даты окончания сбора данных текущего РОБ. В случае отсутствия какой-либо части данных делается пояснение причины. Обобщенные табличные данные о выявленных серьезных нежелательных явлениях приводятся в приложении и формируются с разделением по органо-функциональным классам, по исследуемым препаратам, а также по препаратам сравнения. Если это представляется целесообразным, данные могут быть сгруппированы по отдельным протоколам исследований, показаниям, способам введения или иным категориям. Обобщенная информация о выявленных серьезных нежелательных явлениях включает данные слепых и открытых клинических исследований.</w:t>
            </w:r>
          </w:p>
          <w:p>
            <w:pPr>
              <w:spacing w:after="20"/>
              <w:ind w:left="20"/>
              <w:jc w:val="both"/>
            </w:pPr>
            <w:r>
              <w:rPr>
                <w:rFonts w:ascii="Times New Roman"/>
                <w:b w:val="false"/>
                <w:i w:val="false"/>
                <w:color w:val="000000"/>
                <w:sz w:val="20"/>
              </w:rPr>
              <w:t>
   4.11. Важные данные, полученные в ходе клинических исследований за отчетный период</w:t>
            </w:r>
          </w:p>
          <w:p>
            <w:pPr>
              <w:spacing w:after="20"/>
              <w:ind w:left="20"/>
              <w:jc w:val="both"/>
            </w:pPr>
            <w:r>
              <w:rPr>
                <w:rFonts w:ascii="Times New Roman"/>
                <w:b w:val="false"/>
                <w:i w:val="false"/>
                <w:color w:val="000000"/>
                <w:sz w:val="20"/>
              </w:rPr>
              <w:t>
   4.11.1. Завершенные клинические исследования</w:t>
            </w:r>
          </w:p>
          <w:p>
            <w:pPr>
              <w:spacing w:after="20"/>
              <w:ind w:left="20"/>
              <w:jc w:val="both"/>
            </w:pPr>
            <w:r>
              <w:rPr>
                <w:rFonts w:ascii="Times New Roman"/>
                <w:b w:val="false"/>
                <w:i w:val="false"/>
                <w:color w:val="000000"/>
                <w:sz w:val="20"/>
              </w:rPr>
              <w:t>
   В этом подразделе РОБ в кратком обобщенном виде спонсором приводится информация по новым клинически важным данным, полученным по результатам завершившихся за отчетный период клинических исследований. Информация включает данные, которые подтвердили либо опровергли ранее выявленные важные аспекты профиля безопасности, а также данные по выявленным новым сигналам по безопасности.</w:t>
            </w:r>
          </w:p>
          <w:p>
            <w:pPr>
              <w:spacing w:after="20"/>
              <w:ind w:left="20"/>
              <w:jc w:val="both"/>
            </w:pPr>
            <w:r>
              <w:rPr>
                <w:rFonts w:ascii="Times New Roman"/>
                <w:b w:val="false"/>
                <w:i w:val="false"/>
                <w:color w:val="000000"/>
                <w:sz w:val="20"/>
              </w:rPr>
              <w:t>
   4.11.2. Продолжающиеся клинические исследования</w:t>
            </w:r>
          </w:p>
          <w:p>
            <w:pPr>
              <w:spacing w:after="20"/>
              <w:ind w:left="20"/>
              <w:jc w:val="both"/>
            </w:pPr>
            <w:r>
              <w:rPr>
                <w:rFonts w:ascii="Times New Roman"/>
                <w:b w:val="false"/>
                <w:i w:val="false"/>
                <w:color w:val="000000"/>
                <w:sz w:val="20"/>
              </w:rPr>
              <w:t>
   В этом подразделе РОБ в кратком обобщенном виде спонсором приводится информация по клинически важным данным, выявленным в ходе проведения еще не завершившихся клинических исследований, при проведении промежуточного анализа данных или в результате раскрытия рандомизационных кодов при развитии нежелательных реакций. Информация включает данные, которые подтвердили либо опровергли ранее выявленные важные аспекты профиля безопасности, а также данные по выявленным новым сигналам по безопасности.</w:t>
            </w:r>
          </w:p>
          <w:p>
            <w:pPr>
              <w:spacing w:after="20"/>
              <w:ind w:left="20"/>
              <w:jc w:val="both"/>
            </w:pPr>
            <w:r>
              <w:rPr>
                <w:rFonts w:ascii="Times New Roman"/>
                <w:b w:val="false"/>
                <w:i w:val="false"/>
                <w:color w:val="000000"/>
                <w:sz w:val="20"/>
              </w:rPr>
              <w:t>
   4.11.3. Длительное последующее наблюдение</w:t>
            </w:r>
          </w:p>
          <w:p>
            <w:pPr>
              <w:spacing w:after="20"/>
              <w:ind w:left="20"/>
              <w:jc w:val="both"/>
            </w:pPr>
            <w:r>
              <w:rPr>
                <w:rFonts w:ascii="Times New Roman"/>
                <w:b w:val="false"/>
                <w:i w:val="false"/>
                <w:color w:val="000000"/>
                <w:sz w:val="20"/>
              </w:rPr>
              <w:t>
   В раздел включается информация о результатах длительного последующего наблюдения за субъектами клинического исследования после завершения участия в клиническом исследовании. После завершения программы разработки длительное последующее наблюдение остается единственным продолжающим видом деятельности, в ходе которого получается информация для РОБ. В этом случае только в данном разделе РОБ будет представляться новая информация.</w:t>
            </w:r>
          </w:p>
          <w:p>
            <w:pPr>
              <w:spacing w:after="20"/>
              <w:ind w:left="20"/>
              <w:jc w:val="both"/>
            </w:pPr>
            <w:r>
              <w:rPr>
                <w:rFonts w:ascii="Times New Roman"/>
                <w:b w:val="false"/>
                <w:i w:val="false"/>
                <w:color w:val="000000"/>
                <w:sz w:val="20"/>
              </w:rPr>
              <w:t>
   4.11.4. Иное терапевтическое применение исследуемого препарата</w:t>
            </w:r>
          </w:p>
          <w:p>
            <w:pPr>
              <w:spacing w:after="20"/>
              <w:ind w:left="20"/>
              <w:jc w:val="both"/>
            </w:pPr>
            <w:r>
              <w:rPr>
                <w:rFonts w:ascii="Times New Roman"/>
                <w:b w:val="false"/>
                <w:i w:val="false"/>
                <w:color w:val="000000"/>
                <w:sz w:val="20"/>
              </w:rPr>
              <w:t>
   В подраздел включаются клинически важные данные по безопасности, которые были получены при проведении спонсором специальных протоколов исследований, в ходе которых выполняется организованный сбор и представление информации о нежелательных реакциях (программы расширенного доступа, программы использования в связи с исключительными обстоятельствами из соображений сострадания, программы сострадательного доступа, программы индивидуального доступа по запросу врача и иные).</w:t>
            </w:r>
          </w:p>
          <w:p>
            <w:pPr>
              <w:spacing w:after="20"/>
              <w:ind w:left="20"/>
              <w:jc w:val="both"/>
            </w:pPr>
            <w:r>
              <w:rPr>
                <w:rFonts w:ascii="Times New Roman"/>
                <w:b w:val="false"/>
                <w:i w:val="false"/>
                <w:color w:val="000000"/>
                <w:sz w:val="20"/>
              </w:rPr>
              <w:t>
   4.11.5. Новые данные по безопасности комбинированной терапии</w:t>
            </w:r>
          </w:p>
          <w:p>
            <w:pPr>
              <w:spacing w:after="20"/>
              <w:ind w:left="20"/>
              <w:jc w:val="both"/>
            </w:pPr>
            <w:r>
              <w:rPr>
                <w:rFonts w:ascii="Times New Roman"/>
                <w:b w:val="false"/>
                <w:i w:val="false"/>
                <w:color w:val="000000"/>
                <w:sz w:val="20"/>
              </w:rPr>
              <w:t>
   Если исследуемый препарат разрабатывается также как компонент фиксированной комбинации или многокомпонентных режимов терапии, в данном подразделе РОБ по отдельному компоненту приводятся данные по важной информации по безопасности, полученной при оценке назначения исследуемого препарата в составе комбинации лекарственных препаратов. Если РОБ составляется для комбинированной терапии или фиксированной комбинации, в этот подраздел следует включать информацию по безопасности, полученную из исследований отдельных компонентов.</w:t>
            </w:r>
          </w:p>
          <w:p>
            <w:pPr>
              <w:spacing w:after="20"/>
              <w:ind w:left="20"/>
              <w:jc w:val="both"/>
            </w:pPr>
            <w:r>
              <w:rPr>
                <w:rFonts w:ascii="Times New Roman"/>
                <w:b w:val="false"/>
                <w:i w:val="false"/>
                <w:color w:val="000000"/>
                <w:sz w:val="20"/>
              </w:rPr>
              <w:t>
   4.12. Данные по безопасности, полученные в ходе неинтервенционных исследований</w:t>
            </w:r>
          </w:p>
          <w:p>
            <w:pPr>
              <w:spacing w:after="20"/>
              <w:ind w:left="20"/>
              <w:jc w:val="both"/>
            </w:pPr>
            <w:r>
              <w:rPr>
                <w:rFonts w:ascii="Times New Roman"/>
                <w:b w:val="false"/>
                <w:i w:val="false"/>
                <w:color w:val="000000"/>
                <w:sz w:val="20"/>
              </w:rPr>
              <w:t>
   В раздел включается обобщающая информация по безопасности, полученная спонсором за отчетный период в результате проведения неинтервенционных исследований (наблюдательных исследований, эпидемиологических исследований, регистров и программ активного мониторинга).</w:t>
            </w:r>
          </w:p>
          <w:p>
            <w:pPr>
              <w:spacing w:after="20"/>
              <w:ind w:left="20"/>
              <w:jc w:val="both"/>
            </w:pPr>
            <w:r>
              <w:rPr>
                <w:rFonts w:ascii="Times New Roman"/>
                <w:b w:val="false"/>
                <w:i w:val="false"/>
                <w:color w:val="000000"/>
                <w:sz w:val="20"/>
              </w:rPr>
              <w:t>
   4.13. Данные по безопасности, полученные в ходе других клинических исследований</w:t>
            </w:r>
          </w:p>
          <w:p>
            <w:pPr>
              <w:spacing w:after="20"/>
              <w:ind w:left="20"/>
              <w:jc w:val="both"/>
            </w:pPr>
            <w:r>
              <w:rPr>
                <w:rFonts w:ascii="Times New Roman"/>
                <w:b w:val="false"/>
                <w:i w:val="false"/>
                <w:color w:val="000000"/>
                <w:sz w:val="20"/>
              </w:rPr>
              <w:t>
   В раздел включается обобщающая информация по безопасности, полученная спонсором за отчетный период в результате проведения иных исследований (анализа сводных данных или мета-анализа рандомизированных клинических исследований, данных по безопасности, предоставленных партнерами по разработке исследуемого препарата) либо исследователями, являющихся инициаторами проведения клинического исследования.</w:t>
            </w:r>
          </w:p>
          <w:p>
            <w:pPr>
              <w:spacing w:after="20"/>
              <w:ind w:left="20"/>
              <w:jc w:val="both"/>
            </w:pPr>
            <w:r>
              <w:rPr>
                <w:rFonts w:ascii="Times New Roman"/>
                <w:b w:val="false"/>
                <w:i w:val="false"/>
                <w:color w:val="000000"/>
                <w:sz w:val="20"/>
              </w:rPr>
              <w:t>
   4.14. Данные по безопасности, полученные в ходе пострегистрационного применения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исследуемый препарат зарегистрирован на территории какой-либо страны, в разделе представляется краткая обобщенная информация по основным данным по безопасности, которые были получены в ходе пострегистрационного применения и стали доступны спонсору в отчетном периоде. Особое внимание следует уделить тем данным, которые явились основанием для внесения изменений в инструкцию по медицинскому применению, БИ, информированное согласие или план управления рисками. Данные по безопасности в разделе включают результаты применения как в соответствии с инструкцией по медицинскому применению, так и применения по незарегистрированным показаниям - "вне инструкции", результаты ошибок назначения, случаи передозировки, развития зависимости, применения у особых групп пациентов (у беременных женщин).</w:t>
            </w:r>
          </w:p>
          <w:p>
            <w:pPr>
              <w:spacing w:after="20"/>
              <w:ind w:left="20"/>
              <w:jc w:val="both"/>
            </w:pPr>
            <w:r>
              <w:rPr>
                <w:rFonts w:ascii="Times New Roman"/>
                <w:b w:val="false"/>
                <w:i w:val="false"/>
                <w:color w:val="000000"/>
                <w:sz w:val="20"/>
              </w:rPr>
              <w:t>
   4.15. Данные доклинических исследований</w:t>
            </w:r>
          </w:p>
          <w:p>
            <w:pPr>
              <w:spacing w:after="20"/>
              <w:ind w:left="20"/>
              <w:jc w:val="both"/>
            </w:pPr>
            <w:r>
              <w:rPr>
                <w:rFonts w:ascii="Times New Roman"/>
                <w:b w:val="false"/>
                <w:i w:val="false"/>
                <w:color w:val="000000"/>
                <w:sz w:val="20"/>
              </w:rPr>
              <w:t>
   В разделе приводятся обобщенные данные по наиболее важным сведениям по безопасности, полученным за отчетный период по результатам проведенных или продолжающихся доклинических исследований внутри живого организма (</w:t>
            </w:r>
            <w:r>
              <w:rPr>
                <w:rFonts w:ascii="Times New Roman"/>
                <w:b w:val="false"/>
                <w:i/>
                <w:color w:val="000000"/>
                <w:sz w:val="20"/>
              </w:rPr>
              <w:t>in vivo)</w:t>
            </w:r>
            <w:r>
              <w:rPr>
                <w:rFonts w:ascii="Times New Roman"/>
                <w:b w:val="false"/>
                <w:i w:val="false"/>
                <w:color w:val="000000"/>
                <w:sz w:val="20"/>
              </w:rPr>
              <w:t xml:space="preserve"> и вне живого организма (</w:t>
            </w:r>
            <w:r>
              <w:rPr>
                <w:rFonts w:ascii="Times New Roman"/>
                <w:b w:val="false"/>
                <w:i/>
                <w:color w:val="000000"/>
                <w:sz w:val="20"/>
              </w:rPr>
              <w:t>in vitro)</w:t>
            </w:r>
            <w:r>
              <w:rPr>
                <w:rFonts w:ascii="Times New Roman"/>
                <w:b w:val="false"/>
                <w:i w:val="false"/>
                <w:color w:val="000000"/>
                <w:sz w:val="20"/>
              </w:rPr>
              <w:t xml:space="preserve"> (исследования канцерогенности, репродуктивной токсичности, иммунотоксичности). Оценка влияния доклинических данных на клиническую безопасность выполняется в "Обобщенной оценке профиля безопасности исследуемого препарата".</w:t>
            </w:r>
          </w:p>
          <w:p>
            <w:pPr>
              <w:spacing w:after="20"/>
              <w:ind w:left="20"/>
              <w:jc w:val="both"/>
            </w:pPr>
            <w:r>
              <w:rPr>
                <w:rFonts w:ascii="Times New Roman"/>
                <w:b w:val="false"/>
                <w:i w:val="false"/>
                <w:color w:val="000000"/>
                <w:sz w:val="20"/>
              </w:rPr>
              <w:t>
   4.16. Литературные данные</w:t>
            </w:r>
          </w:p>
          <w:p>
            <w:pPr>
              <w:spacing w:after="20"/>
              <w:ind w:left="20"/>
              <w:jc w:val="both"/>
            </w:pPr>
            <w:r>
              <w:rPr>
                <w:rFonts w:ascii="Times New Roman"/>
                <w:b w:val="false"/>
                <w:i w:val="false"/>
                <w:color w:val="000000"/>
                <w:sz w:val="20"/>
              </w:rPr>
              <w:t>
   В раздел в обобщенном виде включаются новые и важные данные по безопасности, имеющие отношение к исследуемому препарату, которые опубликованы в научной литературе, включены в неопубликованные монографии, были представлены на научных конференциях, либо опубликованы в виде абстрактов и стали доступны спонсору в отчетный период. Данный раздел включает данные клинических и доклинических исследований, а также данные по соединениям аналогичного класса. Спонсор представляет копии абстрактов по данному разделу.</w:t>
            </w:r>
          </w:p>
          <w:p>
            <w:pPr>
              <w:spacing w:after="20"/>
              <w:ind w:left="20"/>
              <w:jc w:val="both"/>
            </w:pPr>
            <w:r>
              <w:rPr>
                <w:rFonts w:ascii="Times New Roman"/>
                <w:b w:val="false"/>
                <w:i w:val="false"/>
                <w:color w:val="000000"/>
                <w:sz w:val="20"/>
              </w:rPr>
              <w:t>
   4.17. Другие РОБ</w:t>
            </w:r>
          </w:p>
          <w:p>
            <w:pPr>
              <w:spacing w:after="20"/>
              <w:ind w:left="20"/>
              <w:jc w:val="both"/>
            </w:pPr>
            <w:r>
              <w:rPr>
                <w:rFonts w:ascii="Times New Roman"/>
                <w:b w:val="false"/>
                <w:i w:val="false"/>
                <w:color w:val="000000"/>
                <w:sz w:val="20"/>
              </w:rPr>
              <w:t>
   Спонсор представляет единый РОБ. Если спонсор готовит несколько РОБ для одного исследуемого препарата (по различным показаниям, программам разработки, лекарственным формам), в данном разделе приводится в обобщенном виде важная информация по безопасности из других РОБ, если она уже не представлена в других разделах настоящего РОБ. В разделе представляются обобщенные данные за отчетный период по значимым сведениям по безопасности, включенными в РОБ, предоставленные другими спонсорами, выполняющими клинические исследования того же исследуемого препарата, в случае их наличия.</w:t>
            </w:r>
          </w:p>
          <w:p>
            <w:pPr>
              <w:spacing w:after="20"/>
              <w:ind w:left="20"/>
              <w:jc w:val="both"/>
            </w:pPr>
            <w:r>
              <w:rPr>
                <w:rFonts w:ascii="Times New Roman"/>
                <w:b w:val="false"/>
                <w:i w:val="false"/>
                <w:color w:val="000000"/>
                <w:sz w:val="20"/>
              </w:rPr>
              <w:t>
   4.18. Данные по недостаточной терапевтической эффективности</w:t>
            </w:r>
          </w:p>
          <w:p>
            <w:pPr>
              <w:spacing w:after="20"/>
              <w:ind w:left="20"/>
              <w:jc w:val="both"/>
            </w:pPr>
            <w:r>
              <w:rPr>
                <w:rFonts w:ascii="Times New Roman"/>
                <w:b w:val="false"/>
                <w:i w:val="false"/>
                <w:color w:val="000000"/>
                <w:sz w:val="20"/>
              </w:rPr>
              <w:t xml:space="preserve">
   В разделе суммируются данные, которые свидетельствуют о недостаточной эффективности исследуемого препарата, либо его меньшей эффективности по сравнению с используемой для лечения серьезных и жизнеугрожающих заболеваний терапией (большее количество нежелательных сердечно-сосудистых явлений в исследовании нового антиагрегантного средства при лечении острого коронарного синдрома) и отражают повышенный риск для субъектов исследования. </w:t>
            </w:r>
          </w:p>
          <w:p>
            <w:pPr>
              <w:spacing w:after="20"/>
              <w:ind w:left="20"/>
              <w:jc w:val="both"/>
            </w:pPr>
            <w:r>
              <w:rPr>
                <w:rFonts w:ascii="Times New Roman"/>
                <w:b w:val="false"/>
                <w:i w:val="false"/>
                <w:color w:val="000000"/>
                <w:sz w:val="20"/>
              </w:rPr>
              <w:t>
   4.19. Иные данные по безопасности, выявленные в ходе клинических исследований</w:t>
            </w:r>
          </w:p>
          <w:p>
            <w:pPr>
              <w:spacing w:after="20"/>
              <w:ind w:left="20"/>
              <w:jc w:val="both"/>
            </w:pPr>
            <w:r>
              <w:rPr>
                <w:rFonts w:ascii="Times New Roman"/>
                <w:b w:val="false"/>
                <w:i w:val="false"/>
                <w:color w:val="000000"/>
                <w:sz w:val="20"/>
              </w:rPr>
              <w:t>
   В этом разделе приводится дополнительная информация по безопасности: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Обобщенные табличные данные по серьезным нежелательным реакциям</w:t>
            </w:r>
          </w:p>
          <w:p>
            <w:pPr>
              <w:spacing w:after="20"/>
              <w:ind w:left="20"/>
              <w:jc w:val="both"/>
            </w:pPr>
            <w:r>
              <w:rPr>
                <w:rFonts w:ascii="Times New Roman"/>
                <w:b w:val="false"/>
                <w:i w:val="false"/>
                <w:color w:val="000000"/>
                <w:sz w:val="20"/>
              </w:rPr>
              <w:t>
   В подразделе приводится информация по всем серьезным нежелательным реакциям путем указания общего количества серьезных нежелательных реакций по а) органо-функциональному классу, б) терминологическим наименованиям нежелательных реакций, с) группе лечения. Следует выделить непредвиденные нежелательные реакции.</w:t>
            </w:r>
          </w:p>
          <w:p>
            <w:pPr>
              <w:spacing w:after="20"/>
              <w:ind w:left="20"/>
              <w:jc w:val="both"/>
            </w:pPr>
            <w:r>
              <w:rPr>
                <w:rFonts w:ascii="Times New Roman"/>
                <w:b w:val="false"/>
                <w:i w:val="false"/>
                <w:color w:val="000000"/>
                <w:sz w:val="20"/>
              </w:rPr>
              <w:t>
   4.19.2. Список субъектов клинических исследований, которые умерли в течение отчетного периода.</w:t>
            </w:r>
          </w:p>
          <w:p>
            <w:pPr>
              <w:spacing w:after="20"/>
              <w:ind w:left="20"/>
              <w:jc w:val="both"/>
            </w:pPr>
            <w:r>
              <w:rPr>
                <w:rFonts w:ascii="Times New Roman"/>
                <w:b w:val="false"/>
                <w:i w:val="false"/>
                <w:color w:val="000000"/>
                <w:sz w:val="20"/>
              </w:rPr>
              <w:t>
   В подразделе приводится информация по субъектам клинических исследований, которые умерли в ходе проведения клинических исследований, которая включает следующие данные: идентификационный номер случая летального исхода, назначенное лечение сохраняется ослепление, причина смерти по каждому субъекту исследования. Все аспекты профиля безопасности, определяемые по результату обзора данных по летальным исходам, надлежащим образом отражаются в разделе обобщенной оценки профиля безопасности исследуемого препарата РОБ.</w:t>
            </w:r>
          </w:p>
          <w:p>
            <w:pPr>
              <w:spacing w:after="20"/>
              <w:ind w:left="20"/>
              <w:jc w:val="both"/>
            </w:pPr>
            <w:r>
              <w:rPr>
                <w:rFonts w:ascii="Times New Roman"/>
                <w:b w:val="false"/>
                <w:i w:val="false"/>
                <w:color w:val="000000"/>
                <w:sz w:val="20"/>
              </w:rPr>
              <w:t>
   4.19.3. Список субъектов клинических исследований, которые были исключены из клинических исследований в связи с развитием нежелательных явлений в течение отчетного периода.</w:t>
            </w:r>
          </w:p>
          <w:p>
            <w:pPr>
              <w:spacing w:after="20"/>
              <w:ind w:left="20"/>
              <w:jc w:val="both"/>
            </w:pPr>
            <w:r>
              <w:rPr>
                <w:rFonts w:ascii="Times New Roman"/>
                <w:b w:val="false"/>
                <w:i w:val="false"/>
                <w:color w:val="000000"/>
                <w:sz w:val="20"/>
              </w:rPr>
              <w:t>
   В подразделе приводится информация по субъектам исследований, которые были исключены из исследований в связи с развитием нежелательных явлений в течение отчетного периода, вне зависимости от установления взаимосвязи с назначением исследуемого препарата. Все аспекты профиля безопасности, определяемые по результату обзора данных по выбытию из клинических исследований, надлежащим образом отражаются в разделе обобщенной оценки профиля безопасности исследуемого препарата РОБ.</w:t>
            </w:r>
          </w:p>
          <w:p>
            <w:pPr>
              <w:spacing w:after="20"/>
              <w:ind w:left="20"/>
              <w:jc w:val="both"/>
            </w:pPr>
            <w:r>
              <w:rPr>
                <w:rFonts w:ascii="Times New Roman"/>
                <w:b w:val="false"/>
                <w:i w:val="false"/>
                <w:color w:val="000000"/>
                <w:sz w:val="20"/>
              </w:rPr>
              <w:t>
   4.19.4. Существенные поправки в протоколы клинических исследований фазы I.</w:t>
            </w:r>
          </w:p>
          <w:p>
            <w:pPr>
              <w:spacing w:after="20"/>
              <w:ind w:left="20"/>
              <w:jc w:val="both"/>
            </w:pPr>
            <w:r>
              <w:rPr>
                <w:rFonts w:ascii="Times New Roman"/>
                <w:b w:val="false"/>
                <w:i w:val="false"/>
                <w:color w:val="000000"/>
                <w:sz w:val="20"/>
              </w:rPr>
              <w:t>
   В разделе описываются существенные изменения в протоколах клинических исследований фазы I, сделанные на протяжении отчетного периода, если они ранее не представлялись как поправки к протоколу.</w:t>
            </w:r>
          </w:p>
          <w:p>
            <w:pPr>
              <w:spacing w:after="20"/>
              <w:ind w:left="20"/>
              <w:jc w:val="both"/>
            </w:pPr>
            <w:r>
              <w:rPr>
                <w:rFonts w:ascii="Times New Roman"/>
                <w:b w:val="false"/>
                <w:i w:val="false"/>
                <w:color w:val="000000"/>
                <w:sz w:val="20"/>
              </w:rPr>
              <w:t>
   4.19.5. Существенные изменения процесса производства.</w:t>
            </w:r>
          </w:p>
          <w:p>
            <w:pPr>
              <w:spacing w:after="20"/>
              <w:ind w:left="20"/>
              <w:jc w:val="both"/>
            </w:pPr>
            <w:r>
              <w:rPr>
                <w:rFonts w:ascii="Times New Roman"/>
                <w:b w:val="false"/>
                <w:i w:val="false"/>
                <w:color w:val="000000"/>
                <w:sz w:val="20"/>
              </w:rPr>
              <w:t>
   Раздел включает краткое описание существенных изменений процесса производства или микробиологических изменений, если таковые имелись, произошедших за отчетный период, с отражением оценки их потенциального влияния на аспекты профиля безопасности в разделе обобщенной оценки профиля безопасности исследуемого препарата РОБ.</w:t>
            </w:r>
          </w:p>
          <w:p>
            <w:pPr>
              <w:spacing w:after="20"/>
              <w:ind w:left="20"/>
              <w:jc w:val="both"/>
            </w:pPr>
            <w:r>
              <w:rPr>
                <w:rFonts w:ascii="Times New Roman"/>
                <w:b w:val="false"/>
                <w:i w:val="false"/>
                <w:color w:val="000000"/>
                <w:sz w:val="20"/>
              </w:rPr>
              <w:t>
   4.19.6. Описание общего исследовательского плана на предстоящий год.</w:t>
            </w:r>
          </w:p>
          <w:p>
            <w:pPr>
              <w:spacing w:after="20"/>
              <w:ind w:left="20"/>
              <w:jc w:val="both"/>
            </w:pPr>
            <w:r>
              <w:rPr>
                <w:rFonts w:ascii="Times New Roman"/>
                <w:b w:val="false"/>
                <w:i w:val="false"/>
                <w:color w:val="000000"/>
                <w:sz w:val="20"/>
              </w:rPr>
              <w:t>
   В разделе приводится краткое описание исследовательского плана, заменяющего план исследования за предшествующий год.</w:t>
            </w:r>
          </w:p>
          <w:p>
            <w:pPr>
              <w:spacing w:after="20"/>
              <w:ind w:left="20"/>
              <w:jc w:val="both"/>
            </w:pPr>
            <w:r>
              <w:rPr>
                <w:rFonts w:ascii="Times New Roman"/>
                <w:b w:val="false"/>
                <w:i w:val="false"/>
                <w:color w:val="000000"/>
                <w:sz w:val="20"/>
              </w:rPr>
              <w:t>
   4.20. Данные, полученные после даты окончания сбора данных РОБ</w:t>
            </w:r>
          </w:p>
          <w:p>
            <w:pPr>
              <w:spacing w:after="20"/>
              <w:ind w:left="20"/>
              <w:jc w:val="both"/>
            </w:pPr>
            <w:r>
              <w:rPr>
                <w:rFonts w:ascii="Times New Roman"/>
                <w:b w:val="false"/>
                <w:i w:val="false"/>
                <w:color w:val="000000"/>
                <w:sz w:val="20"/>
              </w:rPr>
              <w:t>
   Раздел включает обобщенную информацию по потенциально важным данным по безопасности, которые были выявлены после даты окончания сбора данных, но в период подготовки данного РОБ. Потенциально важные данные включают, но не ограничиваются, клинически значимыми новыми сообщениями, важными данными по последующему наблюдению, важными данными доклинических исследований, любыми мерами, принятыми спонсором, уполномоченным органом или Независимой группой по мониторингу данных в связи с изменениями профиля безопасности. Сведения, включенные в данный раздел, учитываются в разделе обобщенной оценки профиля безопасности исследуемого препарата РОБ.</w:t>
            </w:r>
          </w:p>
          <w:p>
            <w:pPr>
              <w:spacing w:after="20"/>
              <w:ind w:left="20"/>
              <w:jc w:val="both"/>
            </w:pPr>
            <w:r>
              <w:rPr>
                <w:rFonts w:ascii="Times New Roman"/>
                <w:b w:val="false"/>
                <w:i w:val="false"/>
                <w:color w:val="000000"/>
                <w:sz w:val="20"/>
              </w:rPr>
              <w:t>
   4.21. Обобщенная оценка профиля безопасности исследуемого препарата</w:t>
            </w:r>
          </w:p>
          <w:p>
            <w:pPr>
              <w:spacing w:after="20"/>
              <w:ind w:left="20"/>
              <w:jc w:val="both"/>
            </w:pPr>
            <w:r>
              <w:rPr>
                <w:rFonts w:ascii="Times New Roman"/>
                <w:b w:val="false"/>
                <w:i w:val="false"/>
                <w:color w:val="000000"/>
                <w:sz w:val="20"/>
              </w:rPr>
              <w:t>
   В разделе приводится обобщенная оценка профиля безопасности исследуемого препарата с объединенным анализом всех имеющих отношение новых клинических, доклинических, эпидемиологических данных, полученных на протяжении отчетного периода, с сопоставлением с прежними сведениями по профилю безопасности исследуемого препарата. Для зарегистрированных лекарственных препаратов оценка включает клинически значимые данные пострегистрационного мониторинга. В разделе не дублируется информация, включенная в предыдущие разделы отчета, однако дается интерпретация новой информации по безопасности и оценка ее влияния на исследуемую популяцию и программу разработки исследуемого препарата. Предоставляется отдельная оценка по направлениям терапевтического применения, путям введения, лекарственным формам и (или) показаниям к применению.</w:t>
            </w:r>
          </w:p>
          <w:p>
            <w:pPr>
              <w:spacing w:after="20"/>
              <w:ind w:left="20"/>
              <w:jc w:val="both"/>
            </w:pPr>
            <w:r>
              <w:rPr>
                <w:rFonts w:ascii="Times New Roman"/>
                <w:b w:val="false"/>
                <w:i w:val="false"/>
                <w:color w:val="000000"/>
                <w:sz w:val="20"/>
              </w:rPr>
              <w:t>
   4.21.1 Оценка рисков</w:t>
            </w:r>
          </w:p>
          <w:p>
            <w:pPr>
              <w:spacing w:after="20"/>
              <w:ind w:left="20"/>
              <w:jc w:val="both"/>
            </w:pPr>
            <w:r>
              <w:rPr>
                <w:rFonts w:ascii="Times New Roman"/>
                <w:b w:val="false"/>
                <w:i w:val="false"/>
                <w:color w:val="000000"/>
                <w:sz w:val="20"/>
              </w:rPr>
              <w:t xml:space="preserve">
   При оценке риска особое внимание уделяется интерпретации данных по новым идентифицированным проблемам по безопасности или значимой новой информации по безопасности. Представляется оценка следующих аспектов профиля безопасности, в случаях, когда это применимо: </w:t>
            </w:r>
          </w:p>
          <w:p>
            <w:pPr>
              <w:spacing w:after="20"/>
              <w:ind w:left="20"/>
              <w:jc w:val="both"/>
            </w:pPr>
            <w:r>
              <w:rPr>
                <w:rFonts w:ascii="Times New Roman"/>
                <w:b w:val="false"/>
                <w:i w:val="false"/>
                <w:color w:val="000000"/>
                <w:sz w:val="20"/>
              </w:rPr>
              <w:t>
   новые выявленные аспекты профиля безопасности в виде детального описания нежелательных явлений или реакций, связанных с применением исследуемого препарата, изменение лабораторных параметров; факторы риска; взаимосвязь с дозами и продолжительностью лечения; обратимость осложнений; факторы, которые могут быть полезны для прогнозирования или предотвращения нежелательных реакций);</w:t>
            </w:r>
          </w:p>
          <w:p>
            <w:pPr>
              <w:spacing w:after="20"/>
              <w:ind w:left="20"/>
              <w:jc w:val="both"/>
            </w:pPr>
            <w:r>
              <w:rPr>
                <w:rFonts w:ascii="Times New Roman"/>
                <w:b w:val="false"/>
                <w:i w:val="false"/>
                <w:color w:val="000000"/>
                <w:sz w:val="20"/>
              </w:rPr>
              <w:t>
   значимые изменения в характеристике ранее зарегистрированных нежелательных реакций (повышение ожидаемой частоты или степени тяжести, утяжеление исходов, установление групп риска развития осложнений);</w:t>
            </w:r>
          </w:p>
          <w:p>
            <w:pPr>
              <w:spacing w:after="20"/>
              <w:ind w:left="20"/>
              <w:jc w:val="both"/>
            </w:pPr>
            <w:r>
              <w:rPr>
                <w:rFonts w:ascii="Times New Roman"/>
                <w:b w:val="false"/>
                <w:i w:val="false"/>
                <w:color w:val="000000"/>
                <w:sz w:val="20"/>
              </w:rPr>
              <w:t>
   симптомы, жалобы, лабораторные изменения, характерные для новых или ранее идентифицированных клинически значимых видов токсичности, таких как гепатотоксичность, кардиотоксичность, включая удлинение интервала QT и результаты специальных исследований QT/QTc (корригированный интервал QT), миелотоксичность, нефротоксичность, легочная токсичность, нейротоксичность, иммуногенность и реакции гиперчувствительности;</w:t>
            </w:r>
          </w:p>
          <w:p>
            <w:pPr>
              <w:spacing w:after="20"/>
              <w:ind w:left="20"/>
              <w:jc w:val="both"/>
            </w:pPr>
            <w:r>
              <w:rPr>
                <w:rFonts w:ascii="Times New Roman"/>
                <w:b w:val="false"/>
                <w:i w:val="false"/>
                <w:color w:val="000000"/>
                <w:sz w:val="20"/>
              </w:rPr>
              <w:t>
   летальные исходы нежелательных явлений;</w:t>
            </w:r>
          </w:p>
          <w:p>
            <w:pPr>
              <w:spacing w:after="20"/>
              <w:ind w:left="20"/>
              <w:jc w:val="both"/>
            </w:pPr>
            <w:r>
              <w:rPr>
                <w:rFonts w:ascii="Times New Roman"/>
                <w:b w:val="false"/>
                <w:i w:val="false"/>
                <w:color w:val="000000"/>
                <w:sz w:val="20"/>
              </w:rPr>
              <w:t>
   остановка клинического исследования по причине развития нежелательных явлений, включая изменения лабораторных параметров или результатов обследований;</w:t>
            </w:r>
          </w:p>
          <w:p>
            <w:pPr>
              <w:spacing w:after="20"/>
              <w:ind w:left="20"/>
              <w:jc w:val="both"/>
            </w:pPr>
            <w:r>
              <w:rPr>
                <w:rFonts w:ascii="Times New Roman"/>
                <w:b w:val="false"/>
                <w:i w:val="false"/>
                <w:color w:val="000000"/>
                <w:sz w:val="20"/>
              </w:rPr>
              <w:t>
   взаимодействия с лекарственными препаратами и иные взаимодействия;</w:t>
            </w:r>
          </w:p>
          <w:p>
            <w:pPr>
              <w:spacing w:after="20"/>
              <w:ind w:left="20"/>
              <w:jc w:val="both"/>
            </w:pPr>
            <w:r>
              <w:rPr>
                <w:rFonts w:ascii="Times New Roman"/>
                <w:b w:val="false"/>
                <w:i w:val="false"/>
                <w:color w:val="000000"/>
                <w:sz w:val="20"/>
              </w:rPr>
              <w:t>
   важные данные по безопасности, полученные в доклинических исследованиях;</w:t>
            </w:r>
          </w:p>
          <w:p>
            <w:pPr>
              <w:spacing w:after="20"/>
              <w:ind w:left="20"/>
              <w:jc w:val="both"/>
            </w:pPr>
            <w:r>
              <w:rPr>
                <w:rFonts w:ascii="Times New Roman"/>
                <w:b w:val="false"/>
                <w:i w:val="false"/>
                <w:color w:val="000000"/>
                <w:sz w:val="20"/>
              </w:rPr>
              <w:t>
   аспекты производственного процесса, которые могут оказать влияние на профиль безопасности;</w:t>
            </w:r>
          </w:p>
          <w:p>
            <w:pPr>
              <w:spacing w:after="20"/>
              <w:ind w:left="20"/>
              <w:jc w:val="both"/>
            </w:pPr>
            <w:r>
              <w:rPr>
                <w:rFonts w:ascii="Times New Roman"/>
                <w:b w:val="false"/>
                <w:i w:val="false"/>
                <w:color w:val="000000"/>
                <w:sz w:val="20"/>
              </w:rPr>
              <w:t>
   недостаточная терапевтическая эффективность, если она представляет дополнительный риск для субъектов клинического исследования;</w:t>
            </w:r>
          </w:p>
          <w:p>
            <w:pPr>
              <w:spacing w:after="20"/>
              <w:ind w:left="20"/>
              <w:jc w:val="both"/>
            </w:pPr>
            <w:r>
              <w:rPr>
                <w:rFonts w:ascii="Times New Roman"/>
                <w:b w:val="false"/>
                <w:i w:val="false"/>
                <w:color w:val="000000"/>
                <w:sz w:val="20"/>
              </w:rPr>
              <w:t>
   наличие дополнительного риска для особых популяционных групп (пожилые пациенты, дети, пациенты с нарушением функции печени или почек) либо иные группы риска (субъекты с медленным или быстрым метаболизмом);</w:t>
            </w:r>
          </w:p>
          <w:p>
            <w:pPr>
              <w:spacing w:after="20"/>
              <w:ind w:left="20"/>
              <w:jc w:val="both"/>
            </w:pPr>
            <w:r>
              <w:rPr>
                <w:rFonts w:ascii="Times New Roman"/>
                <w:b w:val="false"/>
                <w:i w:val="false"/>
                <w:color w:val="000000"/>
                <w:sz w:val="20"/>
              </w:rPr>
              <w:t>
   воздействие в период беременности и лактации и его исходы;</w:t>
            </w:r>
          </w:p>
          <w:p>
            <w:pPr>
              <w:spacing w:after="20"/>
              <w:ind w:left="20"/>
              <w:jc w:val="both"/>
            </w:pPr>
            <w:r>
              <w:rPr>
                <w:rFonts w:ascii="Times New Roman"/>
                <w:b w:val="false"/>
                <w:i w:val="false"/>
                <w:color w:val="000000"/>
                <w:sz w:val="20"/>
              </w:rPr>
              <w:t>
   аспекты безопасности при длительном применении;</w:t>
            </w:r>
          </w:p>
          <w:p>
            <w:pPr>
              <w:spacing w:after="20"/>
              <w:ind w:left="20"/>
              <w:jc w:val="both"/>
            </w:pPr>
            <w:r>
              <w:rPr>
                <w:rFonts w:ascii="Times New Roman"/>
                <w:b w:val="false"/>
                <w:i w:val="false"/>
                <w:color w:val="000000"/>
                <w:sz w:val="20"/>
              </w:rPr>
              <w:t>
   данные по клинически значимым ошибкам применения лекарственного препарата;</w:t>
            </w:r>
          </w:p>
          <w:p>
            <w:pPr>
              <w:spacing w:after="20"/>
              <w:ind w:left="20"/>
              <w:jc w:val="both"/>
            </w:pPr>
            <w:r>
              <w:rPr>
                <w:rFonts w:ascii="Times New Roman"/>
                <w:b w:val="false"/>
                <w:i w:val="false"/>
                <w:color w:val="000000"/>
                <w:sz w:val="20"/>
              </w:rPr>
              <w:t>
   данные по отсутствию приверженности пациентов лечению;</w:t>
            </w:r>
          </w:p>
          <w:p>
            <w:pPr>
              <w:spacing w:after="20"/>
              <w:ind w:left="20"/>
              <w:jc w:val="both"/>
            </w:pPr>
            <w:r>
              <w:rPr>
                <w:rFonts w:ascii="Times New Roman"/>
                <w:b w:val="false"/>
                <w:i w:val="false"/>
                <w:color w:val="000000"/>
                <w:sz w:val="20"/>
              </w:rPr>
              <w:t>
   случаи передозировки и ее коррекции;</w:t>
            </w:r>
          </w:p>
          <w:p>
            <w:pPr>
              <w:spacing w:after="20"/>
              <w:ind w:left="20"/>
              <w:jc w:val="both"/>
            </w:pPr>
            <w:r>
              <w:rPr>
                <w:rFonts w:ascii="Times New Roman"/>
                <w:b w:val="false"/>
                <w:i w:val="false"/>
                <w:color w:val="000000"/>
                <w:sz w:val="20"/>
              </w:rPr>
              <w:t>
   случаи неправильного употребления и злоупотребления;</w:t>
            </w:r>
          </w:p>
          <w:p>
            <w:pPr>
              <w:spacing w:after="20"/>
              <w:ind w:left="20"/>
              <w:jc w:val="both"/>
            </w:pPr>
            <w:r>
              <w:rPr>
                <w:rFonts w:ascii="Times New Roman"/>
                <w:b w:val="false"/>
                <w:i w:val="false"/>
                <w:color w:val="000000"/>
                <w:sz w:val="20"/>
              </w:rPr>
              <w:t>
   аспекты безопасности, связанные с процедурами, предусмотренными протоколом клинического исследования (бронхоскопия, биопсия, установка центрального венозного катетера) либо с проведением или дизайном клинического исследования (недостаточный мониторинг субъектов исследования, слишком длительный период без активной терапии);</w:t>
            </w:r>
          </w:p>
          <w:p>
            <w:pPr>
              <w:spacing w:after="20"/>
              <w:ind w:left="20"/>
              <w:jc w:val="both"/>
            </w:pPr>
            <w:r>
              <w:rPr>
                <w:rFonts w:ascii="Times New Roman"/>
                <w:b w:val="false"/>
                <w:i w:val="false"/>
                <w:color w:val="000000"/>
                <w:sz w:val="20"/>
              </w:rPr>
              <w:t>
   потенциальный риск значимых новых данных по безопасности, выявленных для другого соединения аналогичного класса.</w:t>
            </w:r>
          </w:p>
          <w:p>
            <w:pPr>
              <w:spacing w:after="20"/>
              <w:ind w:left="20"/>
              <w:jc w:val="both"/>
            </w:pPr>
            <w:r>
              <w:rPr>
                <w:rFonts w:ascii="Times New Roman"/>
                <w:b w:val="false"/>
                <w:i w:val="false"/>
                <w:color w:val="000000"/>
                <w:sz w:val="20"/>
              </w:rPr>
              <w:t>
   4.21.2. Оценка соотношения польза-риск</w:t>
            </w:r>
          </w:p>
          <w:p>
            <w:pPr>
              <w:spacing w:after="20"/>
              <w:ind w:left="20"/>
              <w:jc w:val="both"/>
            </w:pPr>
            <w:r>
              <w:rPr>
                <w:rFonts w:ascii="Times New Roman"/>
                <w:b w:val="false"/>
                <w:i w:val="false"/>
                <w:color w:val="000000"/>
                <w:sz w:val="20"/>
              </w:rPr>
              <w:t>
   В подразделе представляется краткое заключение по оценке соотношения совокупного риска, установленного по результатам анализа обобщенных - кумулятивных данных по безопасности, и ожидаемой эффективности (пользы). Следует сделать указание, насколько изменилась оценка соотношения польза-риск исследуемого препарата по сравнению с предшествующим отчетом по безопасности. Данный раздел не предназначен для детальной оценки соотношения польза-риск исследуемого препарата.</w:t>
            </w:r>
          </w:p>
          <w:p>
            <w:pPr>
              <w:spacing w:after="20"/>
              <w:ind w:left="20"/>
              <w:jc w:val="both"/>
            </w:pPr>
            <w:r>
              <w:rPr>
                <w:rFonts w:ascii="Times New Roman"/>
                <w:b w:val="false"/>
                <w:i w:val="false"/>
                <w:color w:val="000000"/>
                <w:sz w:val="20"/>
              </w:rPr>
              <w:t>
   4.22. Обобщенная информация о важных рисках</w:t>
            </w:r>
          </w:p>
          <w:p>
            <w:pPr>
              <w:spacing w:after="20"/>
              <w:ind w:left="20"/>
              <w:jc w:val="both"/>
            </w:pPr>
            <w:r>
              <w:rPr>
                <w:rFonts w:ascii="Times New Roman"/>
                <w:b w:val="false"/>
                <w:i w:val="false"/>
                <w:color w:val="000000"/>
                <w:sz w:val="20"/>
              </w:rPr>
              <w:t>
   В разделе представляется краткая обобщенная информация о важных рисках в форме перечня важных идентифицированных и потенциальных рисков. К числу важных рисков относятся те риски, которые могут привести к дополнительному внесению мер предосторожности, особых указаний или противопоказаний в инструкцию по медицинскому применению. Данные риски могут включать характерные для определенной молекулярной структуры токсические эффекты или проблемы по безопасности, выявленные по результатам накопления данных доклинических и клинических исследований. Каждый из рисков подвергается ежегодной переоценке с анализом всех имеющихся на текущий момент объединенных данных и знаний, при этом особое внимание следует уделить новым данным по безопасности, полученным за отчетный период. Степень детализации описания зависит от стадии разработки лекарственного препарата: на ранних стадиях разработки в обобщенную информацию по важным рискам включается описание индивидуальных случаев, на более поздних этапах, по мере накопления знаний, информация по рискам носит менее детализированный характер.</w:t>
            </w:r>
          </w:p>
          <w:p>
            <w:pPr>
              <w:spacing w:after="20"/>
              <w:ind w:left="20"/>
              <w:jc w:val="both"/>
            </w:pPr>
            <w:r>
              <w:rPr>
                <w:rFonts w:ascii="Times New Roman"/>
                <w:b w:val="false"/>
                <w:i w:val="false"/>
                <w:color w:val="000000"/>
                <w:sz w:val="20"/>
              </w:rPr>
              <w:t>
   Риски, которые были полностью описаны или отвергнуты, остаются в обзоре в виде краткого описания, находки из токсикологических исследований или из ранних клинических исследований, которые не были подтверждены более поздними клиническими данными.</w:t>
            </w:r>
          </w:p>
          <w:p>
            <w:pPr>
              <w:spacing w:after="20"/>
              <w:ind w:left="20"/>
              <w:jc w:val="both"/>
            </w:pPr>
            <w:r>
              <w:rPr>
                <w:rFonts w:ascii="Times New Roman"/>
                <w:b w:val="false"/>
                <w:i w:val="false"/>
                <w:color w:val="000000"/>
                <w:sz w:val="20"/>
              </w:rPr>
              <w:t>
   Информация по данному разделу представлена в форме описания или в форме таблиц.</w:t>
            </w:r>
          </w:p>
          <w:p>
            <w:pPr>
              <w:spacing w:after="20"/>
              <w:ind w:left="20"/>
              <w:jc w:val="both"/>
            </w:pPr>
            <w:r>
              <w:rPr>
                <w:rFonts w:ascii="Times New Roman"/>
                <w:b w:val="false"/>
                <w:i w:val="false"/>
                <w:color w:val="000000"/>
                <w:sz w:val="20"/>
              </w:rPr>
              <w:t>
   4.23. Заключение (выводы)</w:t>
            </w:r>
          </w:p>
          <w:p>
            <w:pPr>
              <w:spacing w:after="20"/>
              <w:ind w:left="20"/>
              <w:jc w:val="both"/>
            </w:pPr>
            <w:r>
              <w:rPr>
                <w:rFonts w:ascii="Times New Roman"/>
                <w:b w:val="false"/>
                <w:i w:val="false"/>
                <w:color w:val="000000"/>
                <w:sz w:val="20"/>
              </w:rPr>
              <w:t>
   Заключение содержит краткое описание всех изменений в имеющихся знаниях по эффективности и безопасности исследуемого препарата, которые произошли за отчетный период и повлияли на оценку, сделанную в предшествующем отчете по безопасности. Заключение включает указание действий, которые были предприняты или планируются с целью надлежащего отражения выявленных новых аспектов профиля безопасности в программе клинической разработки исследуемого препарата.</w:t>
            </w:r>
          </w:p>
          <w:p>
            <w:pPr>
              <w:spacing w:after="20"/>
              <w:ind w:left="20"/>
              <w:jc w:val="both"/>
            </w:pPr>
            <w:r>
              <w:rPr>
                <w:rFonts w:ascii="Times New Roman"/>
                <w:b w:val="false"/>
                <w:i w:val="false"/>
                <w:color w:val="000000"/>
                <w:sz w:val="20"/>
              </w:rPr>
              <w:t>
   4.24. Приложения к отчету</w:t>
            </w:r>
          </w:p>
          <w:p>
            <w:pPr>
              <w:spacing w:after="20"/>
              <w:ind w:left="20"/>
              <w:jc w:val="both"/>
            </w:pPr>
            <w:r>
              <w:rPr>
                <w:rFonts w:ascii="Times New Roman"/>
                <w:b w:val="false"/>
                <w:i w:val="false"/>
                <w:color w:val="000000"/>
                <w:sz w:val="20"/>
              </w:rPr>
              <w:t>
   РОБ содержит следующие приложения:</w:t>
            </w:r>
          </w:p>
          <w:p>
            <w:pPr>
              <w:spacing w:after="20"/>
              <w:ind w:left="20"/>
              <w:jc w:val="both"/>
            </w:pPr>
            <w:r>
              <w:rPr>
                <w:rFonts w:ascii="Times New Roman"/>
                <w:b w:val="false"/>
                <w:i w:val="false"/>
                <w:color w:val="000000"/>
                <w:sz w:val="20"/>
              </w:rPr>
              <w:t>
   брошюра исследователя;</w:t>
            </w:r>
          </w:p>
          <w:p>
            <w:pPr>
              <w:spacing w:after="20"/>
              <w:ind w:left="20"/>
              <w:jc w:val="both"/>
            </w:pPr>
            <w:r>
              <w:rPr>
                <w:rFonts w:ascii="Times New Roman"/>
                <w:b w:val="false"/>
                <w:i w:val="false"/>
                <w:color w:val="000000"/>
                <w:sz w:val="20"/>
              </w:rPr>
              <w:t>
   кумулятивная таблица существенных запросов со стороны уполномоченного органа;</w:t>
            </w:r>
          </w:p>
          <w:p>
            <w:pPr>
              <w:spacing w:after="20"/>
              <w:ind w:left="20"/>
              <w:jc w:val="both"/>
            </w:pPr>
            <w:r>
              <w:rPr>
                <w:rFonts w:ascii="Times New Roman"/>
                <w:b w:val="false"/>
                <w:i w:val="false"/>
                <w:color w:val="000000"/>
                <w:sz w:val="20"/>
              </w:rPr>
              <w:t>
   статус выполнения продолжающихся и завершенных клинических исследований;</w:t>
            </w:r>
          </w:p>
          <w:p>
            <w:pPr>
              <w:spacing w:after="20"/>
              <w:ind w:left="20"/>
              <w:jc w:val="both"/>
            </w:pPr>
            <w:r>
              <w:rPr>
                <w:rFonts w:ascii="Times New Roman"/>
                <w:b w:val="false"/>
                <w:i w:val="false"/>
                <w:color w:val="000000"/>
                <w:sz w:val="20"/>
              </w:rPr>
              <w:t>
   кумулятивные таблицы по демографическим данным;</w:t>
            </w:r>
          </w:p>
          <w:p>
            <w:pPr>
              <w:spacing w:after="20"/>
              <w:ind w:left="20"/>
              <w:jc w:val="both"/>
            </w:pPr>
            <w:r>
              <w:rPr>
                <w:rFonts w:ascii="Times New Roman"/>
                <w:b w:val="false"/>
                <w:i w:val="false"/>
                <w:color w:val="000000"/>
                <w:sz w:val="20"/>
              </w:rPr>
              <w:t>
   структурированные списки по серьезным нежелательным реакциям, выявленным за отчетный период;</w:t>
            </w:r>
          </w:p>
          <w:p>
            <w:pPr>
              <w:spacing w:after="20"/>
              <w:ind w:left="20"/>
              <w:jc w:val="both"/>
            </w:pPr>
            <w:r>
              <w:rPr>
                <w:rFonts w:ascii="Times New Roman"/>
                <w:b w:val="false"/>
                <w:i w:val="false"/>
                <w:color w:val="000000"/>
                <w:sz w:val="20"/>
              </w:rPr>
              <w:t>
   кумулятивные табличные данные о выявленных серьезных нежелательных явлениях;</w:t>
            </w:r>
          </w:p>
          <w:p>
            <w:pPr>
              <w:spacing w:after="20"/>
              <w:ind w:left="20"/>
              <w:jc w:val="both"/>
            </w:pPr>
            <w:r>
              <w:rPr>
                <w:rFonts w:ascii="Times New Roman"/>
                <w:b w:val="false"/>
                <w:i w:val="false"/>
                <w:color w:val="000000"/>
                <w:sz w:val="20"/>
              </w:rPr>
              <w:t>
   научные абстракты (если применимо).</w:t>
            </w:r>
          </w:p>
          <w:p>
            <w:pPr>
              <w:spacing w:after="20"/>
              <w:ind w:left="20"/>
              <w:jc w:val="both"/>
            </w:pPr>
            <w:r>
              <w:rPr>
                <w:rFonts w:ascii="Times New Roman"/>
                <w:b w:val="false"/>
                <w:i w:val="false"/>
                <w:color w:val="000000"/>
                <w:sz w:val="20"/>
              </w:rPr>
              <w:t>
   РОБ содержит следующие приложения:</w:t>
            </w:r>
          </w:p>
          <w:p>
            <w:pPr>
              <w:spacing w:after="20"/>
              <w:ind w:left="20"/>
              <w:jc w:val="both"/>
            </w:pPr>
            <w:r>
              <w:rPr>
                <w:rFonts w:ascii="Times New Roman"/>
                <w:b w:val="false"/>
                <w:i w:val="false"/>
                <w:color w:val="000000"/>
                <w:sz w:val="20"/>
              </w:rPr>
              <w:t>
   кумулятивные табличные данные по всем серьезным нежелательным реакциям;</w:t>
            </w:r>
          </w:p>
          <w:p>
            <w:pPr>
              <w:spacing w:after="20"/>
              <w:ind w:left="20"/>
              <w:jc w:val="both"/>
            </w:pPr>
            <w:r>
              <w:rPr>
                <w:rFonts w:ascii="Times New Roman"/>
                <w:b w:val="false"/>
                <w:i w:val="false"/>
                <w:color w:val="000000"/>
                <w:sz w:val="20"/>
              </w:rPr>
              <w:t>
   список субъектов клинических исследований, которые умерли в течение отчетного периода;</w:t>
            </w:r>
          </w:p>
          <w:p>
            <w:pPr>
              <w:spacing w:after="20"/>
              <w:ind w:left="20"/>
              <w:jc w:val="both"/>
            </w:pPr>
            <w:r>
              <w:rPr>
                <w:rFonts w:ascii="Times New Roman"/>
                <w:b w:val="false"/>
                <w:i w:val="false"/>
                <w:color w:val="000000"/>
                <w:sz w:val="20"/>
              </w:rPr>
              <w:t>
   список субъектов клинических исследований, которые были исключены из клинических исследований в течение отчетного периода;</w:t>
            </w:r>
          </w:p>
          <w:p>
            <w:pPr>
              <w:spacing w:after="20"/>
              <w:ind w:left="20"/>
              <w:jc w:val="both"/>
            </w:pPr>
            <w:r>
              <w:rPr>
                <w:rFonts w:ascii="Times New Roman"/>
                <w:b w:val="false"/>
                <w:i w:val="false"/>
                <w:color w:val="000000"/>
                <w:sz w:val="20"/>
              </w:rPr>
              <w:t>
   существенные изменения протоколов клинических исследований I фазы;</w:t>
            </w:r>
          </w:p>
          <w:p>
            <w:pPr>
              <w:spacing w:after="20"/>
              <w:ind w:left="20"/>
              <w:jc w:val="both"/>
            </w:pPr>
            <w:r>
              <w:rPr>
                <w:rFonts w:ascii="Times New Roman"/>
                <w:b w:val="false"/>
                <w:i w:val="false"/>
                <w:color w:val="000000"/>
                <w:sz w:val="20"/>
              </w:rPr>
              <w:t>
   существенные изменения процесса производства;</w:t>
            </w:r>
          </w:p>
          <w:p>
            <w:pPr>
              <w:spacing w:after="20"/>
              <w:ind w:left="20"/>
              <w:jc w:val="both"/>
            </w:pPr>
            <w:r>
              <w:rPr>
                <w:rFonts w:ascii="Times New Roman"/>
                <w:b w:val="false"/>
                <w:i w:val="false"/>
                <w:color w:val="000000"/>
                <w:sz w:val="20"/>
              </w:rPr>
              <w:t>
   описание общего плана исследований на предстоящий год.</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Примеры таблиц и заголовков таблиц по перечням данных по клиническим исследованиям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Таблица 1. </w:t>
            </w:r>
            <w:r>
              <w:rPr>
                <w:rFonts w:ascii="Times New Roman"/>
                <w:b w:val="false"/>
                <w:i w:val="false"/>
                <w:color w:val="000000"/>
                <w:sz w:val="20"/>
              </w:rPr>
              <w:t>Статус продолжающихся и завершенных клинических исследований.</w:t>
            </w:r>
          </w:p>
          <w:p>
            <w:pPr>
              <w:spacing w:after="20"/>
              <w:ind w:left="20"/>
              <w:jc w:val="both"/>
            </w:pPr>
            <w:r>
              <w:rPr>
                <w:rFonts w:ascii="Times New Roman"/>
                <w:b w:val="false"/>
                <w:i w:val="false"/>
                <w:color w:val="000000"/>
                <w:sz w:val="20"/>
              </w:rPr>
              <w:t>
Обзор продолжающихся клинических исследований [Исследуемый препарат]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634"/>
              <w:gridCol w:w="634"/>
              <w:gridCol w:w="1031"/>
              <w:gridCol w:w="1031"/>
              <w:gridCol w:w="1031"/>
              <w:gridCol w:w="1031"/>
              <w:gridCol w:w="1429"/>
              <w:gridCol w:w="1032"/>
              <w:gridCol w:w="2622"/>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клинического исследования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исследования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исследования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дозирования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Исследуемая популяция</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ПВПП†</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включение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субъектов исследования‡</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ПВПП – первый визит первого пациента</w:t>
            </w:r>
          </w:p>
          <w:p>
            <w:pPr>
              <w:spacing w:after="20"/>
              <w:ind w:left="20"/>
              <w:jc w:val="both"/>
            </w:pPr>
            <w:r>
              <w:rPr>
                <w:rFonts w:ascii="Times New Roman"/>
                <w:b w:val="false"/>
                <w:i w:val="false"/>
                <w:color w:val="000000"/>
                <w:sz w:val="20"/>
              </w:rPr>
              <w:t xml:space="preserve">
‡ На основании общего количества субъектов исследования по состоянию на [дату] и применяемой схемы рандомизации </w:t>
            </w:r>
          </w:p>
          <w:p>
            <w:pPr>
              <w:spacing w:after="20"/>
              <w:ind w:left="20"/>
              <w:jc w:val="both"/>
            </w:pPr>
            <w:r>
              <w:rPr>
                <w:rFonts w:ascii="Times New Roman"/>
                <w:b w:val="false"/>
                <w:i w:val="false"/>
                <w:color w:val="000000"/>
                <w:sz w:val="20"/>
              </w:rPr>
              <w:t>
Обзор завершенных за отчетный период исследований [Исследуемый препарат]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591"/>
              <w:gridCol w:w="591"/>
              <w:gridCol w:w="962"/>
              <w:gridCol w:w="962"/>
              <w:gridCol w:w="962"/>
              <w:gridCol w:w="962"/>
              <w:gridCol w:w="5568"/>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клинического исследования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Сстрана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исследования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исследования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дозирования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Исследуемая популяция</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субъектов (пациентов) по группам лечения (М/Ж)</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Таблица 2.</w:t>
            </w:r>
            <w:r>
              <w:rPr>
                <w:rFonts w:ascii="Times New Roman"/>
                <w:b w:val="false"/>
                <w:i w:val="false"/>
                <w:color w:val="000000"/>
                <w:sz w:val="20"/>
              </w:rPr>
              <w:t xml:space="preserve"> Оценка общего количества субъектов, подвергшихся воздействию исследуемого препарата - оценка кумулятивного воздействия.</w:t>
            </w:r>
          </w:p>
          <w:p>
            <w:pPr>
              <w:spacing w:after="20"/>
              <w:ind w:left="20"/>
              <w:jc w:val="both"/>
            </w:pPr>
            <w:r>
              <w:rPr>
                <w:rFonts w:ascii="Times New Roman"/>
                <w:b w:val="false"/>
                <w:i w:val="false"/>
                <w:color w:val="000000"/>
                <w:sz w:val="20"/>
              </w:rPr>
              <w:t>
Оценка общего количества субъектов, подвергшихся воздействию исследуемого препарата, на основании фактических данных из завершенных клинических исследований и оценке по методу рандомизации из продолжающихся клинических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Таблица 3.</w:t>
            </w:r>
            <w:r>
              <w:rPr>
                <w:rFonts w:ascii="Times New Roman"/>
                <w:b w:val="false"/>
                <w:i w:val="false"/>
                <w:color w:val="000000"/>
                <w:sz w:val="20"/>
              </w:rPr>
              <w:t xml:space="preserve"> Оценка общего количества субъектов, подвергшихся воздействию исследуемого препарата, на основании данных завершенных клинических исследований по возрасту и полу*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2659"/>
              <w:gridCol w:w="2659"/>
              <w:gridCol w:w="2659"/>
            </w:tblGrid>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субъектов</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Данные завершенных клинических исследований по состоянию на [дата]</w:t>
            </w:r>
          </w:p>
          <w:p>
            <w:pPr>
              <w:spacing w:after="20"/>
              <w:ind w:left="20"/>
              <w:jc w:val="both"/>
            </w:pPr>
            <w:r>
              <w:rPr>
                <w:rFonts w:ascii="Times New Roman"/>
                <w:b w:val="false"/>
                <w:i w:val="false"/>
                <w:color w:val="000000"/>
                <w:sz w:val="20"/>
              </w:rPr>
              <w:t>
</w:t>
            </w:r>
            <w:r>
              <w:rPr>
                <w:rFonts w:ascii="Times New Roman"/>
                <w:b/>
                <w:i w:val="false"/>
                <w:color w:val="000000"/>
                <w:sz w:val="20"/>
              </w:rPr>
              <w:t>Таблица 4.</w:t>
            </w:r>
            <w:r>
              <w:rPr>
                <w:rFonts w:ascii="Times New Roman"/>
                <w:b w:val="false"/>
                <w:i w:val="false"/>
                <w:color w:val="000000"/>
                <w:sz w:val="20"/>
              </w:rPr>
              <w:t xml:space="preserve"> Оценка общего количества субъектов, подвергшихся воздействию исследуемого препарата, на основании данных завершенных клинических исследований по расовой принадлежности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8519"/>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Раса</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субъектов исследования</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Азиатская</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Данные завершенных клинических исследований по состоянию на [дата]</w:t>
            </w:r>
          </w:p>
          <w:p>
            <w:pPr>
              <w:spacing w:after="20"/>
              <w:ind w:left="20"/>
              <w:jc w:val="both"/>
            </w:pPr>
            <w:r>
              <w:rPr>
                <w:rFonts w:ascii="Times New Roman"/>
                <w:b w:val="false"/>
                <w:i w:val="false"/>
                <w:color w:val="000000"/>
                <w:sz w:val="20"/>
              </w:rPr>
              <w:t>
</w:t>
            </w:r>
            <w:r>
              <w:rPr>
                <w:rFonts w:ascii="Times New Roman"/>
                <w:b/>
                <w:i w:val="false"/>
                <w:color w:val="000000"/>
                <w:sz w:val="20"/>
              </w:rPr>
              <w:t>Таблица 5.</w:t>
            </w:r>
            <w:r>
              <w:rPr>
                <w:rFonts w:ascii="Times New Roman"/>
                <w:b w:val="false"/>
                <w:i w:val="false"/>
                <w:color w:val="000000"/>
                <w:sz w:val="20"/>
              </w:rPr>
              <w:t xml:space="preserve"> Примеры заголовков обобщенных данных о серьезных нежелательных реакциях - СНР</w:t>
            </w:r>
          </w:p>
          <w:p>
            <w:pPr>
              <w:spacing w:after="20"/>
              <w:ind w:left="20"/>
              <w:jc w:val="both"/>
            </w:pPr>
            <w:r>
              <w:rPr>
                <w:rFonts w:ascii="Times New Roman"/>
                <w:b w:val="false"/>
                <w:i w:val="false"/>
                <w:color w:val="000000"/>
                <w:sz w:val="20"/>
              </w:rPr>
              <w:t>
Структурированный перечень серьезных нежелательных реакций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3874"/>
              <w:gridCol w:w="349"/>
              <w:gridCol w:w="568"/>
              <w:gridCol w:w="349"/>
              <w:gridCol w:w="2320"/>
              <w:gridCol w:w="1251"/>
              <w:gridCol w:w="788"/>
              <w:gridCol w:w="1226"/>
              <w:gridCol w:w="350"/>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клинического исследования</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 сообщения о СНР†/ ИН* субъекта исследования †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Возраст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СНР</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реакции ‡</w:t>
                  </w:r>
                </w:p>
                <w:p>
                  <w:pPr>
                    <w:spacing w:after="20"/>
                    <w:ind w:left="20"/>
                    <w:jc w:val="both"/>
                  </w:pPr>
                  <w:r>
                    <w:rPr>
                      <w:rFonts w:ascii="Times New Roman"/>
                      <w:b w:val="false"/>
                      <w:i w:val="false"/>
                      <w:color w:val="000000"/>
                      <w:sz w:val="20"/>
                    </w:rPr>
                    <w:t>
Период от начала приема до начала реакции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Подозреваемый лекарственный/ исследуемый препарат</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 доза</w:t>
                  </w:r>
                </w:p>
                <w:p>
                  <w:pPr>
                    <w:spacing w:after="20"/>
                    <w:ind w:left="20"/>
                    <w:jc w:val="both"/>
                  </w:pPr>
                  <w:r>
                    <w:rPr>
                      <w:rFonts w:ascii="Times New Roman"/>
                      <w:b w:val="false"/>
                      <w:i w:val="false"/>
                      <w:color w:val="000000"/>
                      <w:sz w:val="20"/>
                    </w:rPr>
                    <w:t>
Способ введения</w:t>
                  </w:r>
                </w:p>
                <w:p>
                  <w:pPr>
                    <w:spacing w:after="20"/>
                    <w:ind w:left="20"/>
                    <w:jc w:val="both"/>
                  </w:pPr>
                  <w:r>
                    <w:rPr>
                      <w:rFonts w:ascii="Times New Roman"/>
                      <w:b w:val="false"/>
                      <w:i w:val="false"/>
                      <w:color w:val="000000"/>
                      <w:sz w:val="20"/>
                    </w:rPr>
                    <w:t>
Лекарственная форма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окончания лечения</w:t>
                  </w:r>
                </w:p>
                <w:p>
                  <w:pPr>
                    <w:spacing w:after="20"/>
                    <w:ind w:left="20"/>
                    <w:jc w:val="both"/>
                  </w:pPr>
                  <w:r>
                    <w:rPr>
                      <w:rFonts w:ascii="Times New Roman"/>
                      <w:b w:val="false"/>
                      <w:i w:val="false"/>
                      <w:color w:val="000000"/>
                      <w:sz w:val="20"/>
                    </w:rPr>
                    <w:t>
Продолжительность лечения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*ИН – идентификационный номер</w:t>
            </w:r>
          </w:p>
          <w:p>
            <w:pPr>
              <w:spacing w:after="20"/>
              <w:ind w:left="20"/>
              <w:jc w:val="both"/>
            </w:pPr>
            <w:r>
              <w:rPr>
                <w:rFonts w:ascii="Times New Roman"/>
                <w:b w:val="false"/>
                <w:i w:val="false"/>
                <w:color w:val="000000"/>
                <w:sz w:val="20"/>
              </w:rPr>
              <w:t>
† Исследование/центр/пациент</w:t>
            </w:r>
          </w:p>
          <w:p>
            <w:pPr>
              <w:spacing w:after="20"/>
              <w:ind w:left="20"/>
              <w:jc w:val="both"/>
            </w:pPr>
            <w:r>
              <w:rPr>
                <w:rFonts w:ascii="Times New Roman"/>
                <w:b w:val="false"/>
                <w:i w:val="false"/>
                <w:color w:val="000000"/>
                <w:sz w:val="20"/>
              </w:rPr>
              <w:t>
‡ Только для первичных сообщений о СНР</w:t>
            </w:r>
          </w:p>
          <w:p>
            <w:pPr>
              <w:spacing w:after="20"/>
              <w:ind w:left="20"/>
              <w:jc w:val="both"/>
            </w:pPr>
            <w:r>
              <w:rPr>
                <w:rFonts w:ascii="Times New Roman"/>
                <w:b w:val="false"/>
                <w:i w:val="false"/>
                <w:color w:val="000000"/>
                <w:sz w:val="20"/>
              </w:rPr>
              <w:t>
</w:t>
            </w:r>
            <w:r>
              <w:rPr>
                <w:rFonts w:ascii="Times New Roman"/>
                <w:b/>
                <w:i w:val="false"/>
                <w:color w:val="000000"/>
                <w:sz w:val="20"/>
              </w:rPr>
              <w:t>Таблица 6.</w:t>
            </w:r>
            <w:r>
              <w:rPr>
                <w:rFonts w:ascii="Times New Roman"/>
                <w:b w:val="false"/>
                <w:i w:val="false"/>
                <w:color w:val="000000"/>
                <w:sz w:val="20"/>
              </w:rPr>
              <w:t xml:space="preserve"> Примеры обобщенных - кумулятивных табличных данных по серьезным нежелательным явлениям</w:t>
            </w:r>
          </w:p>
          <w:p>
            <w:pPr>
              <w:spacing w:after="20"/>
              <w:ind w:left="20"/>
              <w:jc w:val="both"/>
            </w:pPr>
            <w:r>
              <w:rPr>
                <w:rFonts w:ascii="Times New Roman"/>
                <w:b w:val="false"/>
                <w:i w:val="false"/>
                <w:color w:val="000000"/>
                <w:sz w:val="20"/>
              </w:rPr>
              <w:t>
Обобщенная таблица по серьезным нежелательным явлениям - СНЯ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3327"/>
              <w:gridCol w:w="2143"/>
              <w:gridCol w:w="2144"/>
              <w:gridCol w:w="2151"/>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Органо-функциональный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 состоянию до 31 декабря 2009 года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Предпочтительный термин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Ослепленный препарат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активности аланинаминотрансферазы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активности аспартатаминотрансфераз</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со стороны нервной системы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Синкопальное состояние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w:t>
            </w:r>
            <w:r>
              <w:rPr>
                <w:rFonts w:ascii="Times New Roman"/>
                <w:b/>
                <w:i w:val="false"/>
                <w:color w:val="000000"/>
                <w:sz w:val="20"/>
              </w:rPr>
              <w:t>Приложение 2</w:t>
            </w:r>
            <w:r>
              <w:rPr>
                <w:rFonts w:ascii="Times New Roman"/>
                <w:b w:val="false"/>
                <w:i w:val="false"/>
                <w:color w:val="000000"/>
                <w:sz w:val="20"/>
              </w:rPr>
              <w:t xml:space="preserve">   </w:t>
            </w:r>
          </w:p>
          <w:bookmarkEnd w:id="16"/>
          <w:p>
            <w:pPr>
              <w:spacing w:after="20"/>
              <w:ind w:left="20"/>
              <w:jc w:val="both"/>
            </w:pPr>
            <w:r>
              <w:rPr>
                <w:rFonts w:ascii="Times New Roman"/>
                <w:b w:val="false"/>
                <w:i w:val="false"/>
                <w:color w:val="000000"/>
                <w:sz w:val="20"/>
              </w:rPr>
              <w:t>
</w:t>
            </w:r>
            <w:r>
              <w:rPr>
                <w:rFonts w:ascii="Times New Roman"/>
                <w:b/>
                <w:i w:val="false"/>
                <w:color w:val="000000"/>
                <w:sz w:val="20"/>
              </w:rPr>
              <w:t>к Стандарту надлежащей</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клинической практики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Структура и содержание отчета о клиническом исследовании</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Настоящая структура отчета о клиническом исследовании является обобщенной. Она пригодна для описания исследования любого терапевтического, профилактического или диагностического средства, проведенного на пациентах (здоровых добровольцах). В структуре отчета производят интегрированное представление клинического и статистического описания результатов, представления и анализа данных в виде единого отчета, включающего таблицы и рисунки в основном тексте, или в конце текста. Приложения к такому отчету включают: протокол, образцы индивидуальных регистрационных карт, информацию, связанную с исследователями, информацию, связанную с исследуемым препаратом (экспериментальным препаратом), включая препараты сравнения, техническую статистическую документацию, соответствующие публикации, списки данных по пациентам и технические статистические данные, такие как выводы, промежуточные расчеты, анализы и заключения на основе компьютерных данных. Несмотря на то, что приложение в основном относится к исследованиям, эффективности и безопасности, основные принципы составления отчета и его структура могут использоваться при подготовке отчетов по разным видам исследований (клинико-фармакологическим исследованиям). В зависимости от специфики и значимости таких исследований составляется менее детализированный отчет.</w:t>
            </w:r>
          </w:p>
          <w:p>
            <w:pPr>
              <w:spacing w:after="20"/>
              <w:ind w:left="20"/>
              <w:jc w:val="both"/>
            </w:pPr>
            <w:r>
              <w:rPr>
                <w:rFonts w:ascii="Times New Roman"/>
                <w:b w:val="false"/>
                <w:i w:val="false"/>
                <w:color w:val="000000"/>
                <w:sz w:val="20"/>
              </w:rPr>
              <w:t>
   Настоящее приложение предназначено для оказания помощи спонсорам в составлении отчета, который будет являться полным, лишенным двусмысленности, хорошо сформированным и простым для последующего рассмотрения и оценки. В отчете содержится четкое объяснение того, как были выбраны критические особенности дизайна исследования, и достаточно информации о плане, методе и ходе проведения исследования, чтобы не было никакой двусмысленности в том, как было проведено исследование. В отчете и его приложениях также содержится достаточно индивидуальных данных пациентов, в том числе демографических и исходных данных, и деталей описаний аналитических методов, чтобы допустить возможность повторного воспроизведения уполномоченными органами критических анализов. Кроме того, особенно важно, чтобы все анализы, таблицы и цифры, в тексте или как часть таблицы, имели четкую идентификацию группы пациентов, по которым они были составлены.</w:t>
            </w:r>
          </w:p>
          <w:p>
            <w:pPr>
              <w:spacing w:after="20"/>
              <w:ind w:left="20"/>
              <w:jc w:val="both"/>
            </w:pPr>
            <w:r>
              <w:rPr>
                <w:rFonts w:ascii="Times New Roman"/>
                <w:b w:val="false"/>
                <w:i w:val="false"/>
                <w:color w:val="000000"/>
                <w:sz w:val="20"/>
              </w:rPr>
              <w:t>
   В зависимости от процедуры рассмотрения уполномоченными органами, для неконтролируемых исследований или некоторых других исследований, не предназначенных для оценки эффективности, могут быть приемлемыми сокращенные отчеты. По контролируемому исследованию безопасности отчет всегда составляется в полном объеме. Сокращенные отчеты используют обобщенные данные, или являются отчетами, из которых удалены отдельные разделы, не предназначенные для установления эффективности, разделы по неэффективным или неудачным тестам. Аналогичное положение применимо для контролируемых исследований, посвященных изучению показаний для применения препарата, явно не связанных с теми, по которым подается заявка на регистрацию, а также для преждевременно прекращенных исследований. Тем не менее, в этих случаях включается полное описание аспектов безопасности. Если представляется сокращенный отчет, в нем отражается достаточно информации о плане и результатах исследования для того чтобы экспертная организация могла определить необходимость полного отчета. Если возникает вопрос относительно того, какие отчеты необходимы, следует получить предварительную консультацию уполномоченных органов.</w:t>
            </w:r>
          </w:p>
          <w:p>
            <w:pPr>
              <w:spacing w:after="20"/>
              <w:ind w:left="20"/>
              <w:jc w:val="both"/>
            </w:pPr>
            <w:r>
              <w:rPr>
                <w:rFonts w:ascii="Times New Roman"/>
                <w:b w:val="false"/>
                <w:i w:val="false"/>
                <w:color w:val="000000"/>
                <w:sz w:val="20"/>
              </w:rPr>
              <w:t>
   При подробном описании того, как было проведено исследование, допускается повторение его описания в рабочей версии протокола. Однако в ряде случаев допускается представлять методику исследования более кратко в виде отдельного раздела. В каждом разделе, описывающем план и ход проведения исследования, особенно важно указать особенности исследования, которые недостаточно полно описаны в протоколе, и определить, каким образом проводимое исследование отличалось от протокола, и обсудить статистические методы и анализы, используемые для обоснования данных отклонений от запланированного протоколом.</w:t>
            </w:r>
          </w:p>
          <w:p>
            <w:pPr>
              <w:spacing w:after="20"/>
              <w:ind w:left="20"/>
              <w:jc w:val="both"/>
            </w:pPr>
            <w:r>
              <w:rPr>
                <w:rFonts w:ascii="Times New Roman"/>
                <w:b w:val="false"/>
                <w:i w:val="false"/>
                <w:color w:val="000000"/>
                <w:sz w:val="20"/>
              </w:rPr>
              <w:t>
   Полный интегрированный отчет каждого исследования включает максимально подробное изложение отдельных побочных эффектов или аномальных данных лабораторных исследований, но они пересматриваются в рамках общего анализа безопасности всех имеющихся данных при любой подаче досье.</w:t>
            </w:r>
          </w:p>
          <w:p>
            <w:pPr>
              <w:spacing w:after="20"/>
              <w:ind w:left="20"/>
              <w:jc w:val="both"/>
            </w:pPr>
            <w:r>
              <w:rPr>
                <w:rFonts w:ascii="Times New Roman"/>
                <w:b w:val="false"/>
                <w:i w:val="false"/>
                <w:color w:val="000000"/>
                <w:sz w:val="20"/>
              </w:rPr>
              <w:t>
   В отчете содержатся демографические и другие потенциально значимые прогностические характеристики исследуемой популяции, а, в случае если исследование достаточно масштабное, представляются данные по демографическим и другим показателям подгруппы, таким образом, чтобы установить возможные различия в эффективности или безопасности. Однако, чаще всего, реакция подгруппы пациентов рассматривается в рамках укрупненной базы данных, используемой в общем статистическом анализе.</w:t>
            </w:r>
          </w:p>
          <w:p>
            <w:pPr>
              <w:spacing w:after="20"/>
              <w:ind w:left="20"/>
              <w:jc w:val="both"/>
            </w:pPr>
            <w:r>
              <w:rPr>
                <w:rFonts w:ascii="Times New Roman"/>
                <w:b w:val="false"/>
                <w:i w:val="false"/>
                <w:color w:val="000000"/>
                <w:sz w:val="20"/>
              </w:rPr>
              <w:t>
   Под перечнями данных, запрашиваемыми в рамках отчета (обычно в виде приложения), понимают те из них, которые необходимы для подтверждения основных (критических) видов статистического анализа. Перечни данных, которые являются частью отчета, представляются в удобной форме для использования рецензентом, проводящим экспертную оценку отчета. Таким образом, несмотря на то, что желательно включать как можно больше переменных в один список, чтобы ограничить объем информации, это не приводит к снижению ясности (понятности) представляемых данных. Нельзя допускать, чтобы избыток данных сопровождался чрезмерным использованием символов вместо слов или хорошо понятных (общепринятых профессиональных) сокращений, или приводил к представлению изображений в слишком малом для восприятия масштабе. В этом случае предпочтительнее составлять несколько списков данных.</w:t>
            </w:r>
          </w:p>
          <w:p>
            <w:pPr>
              <w:spacing w:after="20"/>
              <w:ind w:left="20"/>
              <w:jc w:val="both"/>
            </w:pPr>
            <w:r>
              <w:rPr>
                <w:rFonts w:ascii="Times New Roman"/>
                <w:b w:val="false"/>
                <w:i w:val="false"/>
                <w:color w:val="000000"/>
                <w:sz w:val="20"/>
              </w:rPr>
              <w:t xml:space="preserve">
   Данные представляются в отчете с различными уровнями детализации: </w:t>
            </w:r>
          </w:p>
          <w:p>
            <w:pPr>
              <w:spacing w:after="20"/>
              <w:ind w:left="20"/>
              <w:jc w:val="both"/>
            </w:pPr>
            <w:r>
              <w:rPr>
                <w:rFonts w:ascii="Times New Roman"/>
                <w:b w:val="false"/>
                <w:i w:val="false"/>
                <w:color w:val="000000"/>
                <w:sz w:val="20"/>
              </w:rPr>
              <w:t xml:space="preserve">
   для иллюстрации важных моментов в текст могут быть помещены числовые данные и таблицы общего характера, отображающие наиболее значимые для данного исследования демографические показатели, показатели эффективности и безопасности; </w:t>
            </w:r>
          </w:p>
          <w:p>
            <w:pPr>
              <w:spacing w:after="20"/>
              <w:ind w:left="20"/>
              <w:jc w:val="both"/>
            </w:pPr>
            <w:r>
              <w:rPr>
                <w:rFonts w:ascii="Times New Roman"/>
                <w:b w:val="false"/>
                <w:i w:val="false"/>
                <w:color w:val="000000"/>
                <w:sz w:val="20"/>
              </w:rPr>
              <w:t xml:space="preserve">
   все прочие сводные показатели, таблицы и перечни демографических данных, показатели эффективности и безопасности; </w:t>
            </w:r>
          </w:p>
          <w:p>
            <w:pPr>
              <w:spacing w:after="20"/>
              <w:ind w:left="20"/>
              <w:jc w:val="both"/>
            </w:pPr>
            <w:r>
              <w:rPr>
                <w:rFonts w:ascii="Times New Roman"/>
                <w:b w:val="false"/>
                <w:i w:val="false"/>
                <w:color w:val="000000"/>
                <w:sz w:val="20"/>
              </w:rPr>
              <w:t xml:space="preserve">
   индивидуальные данные пациентов по отдельным подгруппам представляются в виде перечней данных; </w:t>
            </w:r>
          </w:p>
          <w:p>
            <w:pPr>
              <w:spacing w:after="20"/>
              <w:ind w:left="20"/>
              <w:jc w:val="both"/>
            </w:pPr>
            <w:r>
              <w:rPr>
                <w:rFonts w:ascii="Times New Roman"/>
                <w:b w:val="false"/>
                <w:i w:val="false"/>
                <w:color w:val="000000"/>
                <w:sz w:val="20"/>
              </w:rPr>
              <w:t>
   все индивидуальные данные пациентов.</w:t>
            </w:r>
          </w:p>
          <w:p>
            <w:pPr>
              <w:spacing w:after="20"/>
              <w:ind w:left="20"/>
              <w:jc w:val="both"/>
            </w:pPr>
            <w:r>
              <w:rPr>
                <w:rFonts w:ascii="Times New Roman"/>
                <w:b w:val="false"/>
                <w:i w:val="false"/>
                <w:color w:val="000000"/>
                <w:sz w:val="20"/>
              </w:rPr>
              <w:t>
   В любой таблице, графике или перечне данных, расчетные или производные показатели, если они используются, однозначно и ясно идентифицируются. При этом приводятся подробные разъяснения того, каким образом были рассчитаны или получены данные значения, и какие были сделаны основные предположения.</w:t>
            </w:r>
          </w:p>
          <w:p>
            <w:pPr>
              <w:spacing w:after="20"/>
              <w:ind w:left="20"/>
              <w:jc w:val="both"/>
            </w:pPr>
            <w:r>
              <w:rPr>
                <w:rFonts w:ascii="Times New Roman"/>
                <w:b w:val="false"/>
                <w:i w:val="false"/>
                <w:color w:val="000000"/>
                <w:sz w:val="20"/>
              </w:rPr>
              <w:t>
   Приведенные ниже указания являются максимально детализированными и предназначены для напоминания заявителю о максимальном объеме информации, которая им приводится в отчете таким образом, чтобы после ее представления свести к минимуму запросы дополнительных данных. Тем не менее, в каждом частном случае требования к представлению и (или) анализу данных зависят от конкретной ситуации, изменяются с течением времени, отличаются в зависимости от класса изучаемых препаратов, различаются в разных регионах, и не могут быть описаны в общих чертах в данном документе. Поэтому, при подготовке отчетов необходимо использовать конкретные клинические руководства и обсуждать представление данных и анализов с уполномоченным органом.</w:t>
            </w:r>
          </w:p>
          <w:p>
            <w:pPr>
              <w:spacing w:after="20"/>
              <w:ind w:left="20"/>
              <w:jc w:val="both"/>
            </w:pPr>
            <w:r>
              <w:rPr>
                <w:rFonts w:ascii="Times New Roman"/>
                <w:b w:val="false"/>
                <w:i w:val="false"/>
                <w:color w:val="000000"/>
                <w:sz w:val="20"/>
              </w:rPr>
              <w:t xml:space="preserve">
   В каждом отчете рассматриваются все приведенные ниже разделы (за исключением случаев, когда они совершенно неуместны), хотя определенная последовательность и группировка разделов меняется, если для определенного исследования альтернативный порядок является более логичным. Некоторые данные в приложениях отражают специальные требованиями отдельных уполномоченных органов, и представляются только в соответствующих случаях. При этом требуется соответствующая нумерация разделов. </w:t>
            </w:r>
          </w:p>
          <w:p>
            <w:pPr>
              <w:spacing w:after="20"/>
              <w:ind w:left="20"/>
              <w:jc w:val="both"/>
            </w:pPr>
            <w:r>
              <w:rPr>
                <w:rFonts w:ascii="Times New Roman"/>
                <w:b w:val="false"/>
                <w:i w:val="false"/>
                <w:color w:val="000000"/>
                <w:sz w:val="20"/>
              </w:rPr>
              <w:t>
   В случае крупномасштабных исследований, некоторые положения настоящего приложения являются неприменимыми. При планировании и при составлении отчетов о таких исследованиях рекомендуется связаться с уполномоченными органами для обсуждения соответствующего формата отчета.</w:t>
            </w:r>
          </w:p>
          <w:p>
            <w:pPr>
              <w:spacing w:after="20"/>
              <w:ind w:left="20"/>
              <w:jc w:val="both"/>
            </w:pPr>
            <w:r>
              <w:rPr>
                <w:rFonts w:ascii="Times New Roman"/>
                <w:b w:val="false"/>
                <w:i w:val="false"/>
                <w:color w:val="000000"/>
                <w:sz w:val="20"/>
              </w:rPr>
              <w:t>
   Положения настоящего приложения следует использовать в сочетании с другими документами, регламентирующими проведение клинических исследований и представление результатов о них.</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Титульная страница</w:t>
                  </w:r>
                </w:p>
                <w:p>
                  <w:pPr>
                    <w:spacing w:after="20"/>
                    <w:ind w:left="20"/>
                    <w:jc w:val="both"/>
                  </w:pPr>
                  <w:r>
                    <w:rPr>
                      <w:rFonts w:ascii="Times New Roman"/>
                      <w:b w:val="false"/>
                      <w:i w:val="false"/>
                      <w:color w:val="000000"/>
                      <w:sz w:val="20"/>
                    </w:rPr>
                    <w:t>
  Резюме (краткое описание клинического исследования).</w:t>
                  </w:r>
                </w:p>
                <w:p>
                  <w:pPr>
                    <w:spacing w:after="20"/>
                    <w:ind w:left="20"/>
                    <w:jc w:val="both"/>
                  </w:pPr>
                  <w:r>
                    <w:rPr>
                      <w:rFonts w:ascii="Times New Roman"/>
                      <w:b w:val="false"/>
                      <w:i w:val="false"/>
                      <w:color w:val="000000"/>
                      <w:sz w:val="20"/>
                    </w:rPr>
                    <w:t>
  Содержание отчета по данному клиническому исследованию.</w:t>
                  </w:r>
                </w:p>
                <w:p>
                  <w:pPr>
                    <w:spacing w:after="20"/>
                    <w:ind w:left="20"/>
                    <w:jc w:val="both"/>
                  </w:pPr>
                  <w:r>
                    <w:rPr>
                      <w:rFonts w:ascii="Times New Roman"/>
                      <w:b w:val="false"/>
                      <w:i w:val="false"/>
                      <w:color w:val="000000"/>
                      <w:sz w:val="20"/>
                    </w:rPr>
                    <w:t>
  Перечень сокращений и определение терминов.</w:t>
                  </w:r>
                </w:p>
                <w:p>
                  <w:pPr>
                    <w:spacing w:after="20"/>
                    <w:ind w:left="20"/>
                    <w:jc w:val="both"/>
                  </w:pPr>
                  <w:r>
                    <w:rPr>
                      <w:rFonts w:ascii="Times New Roman"/>
                      <w:b w:val="false"/>
                      <w:i w:val="false"/>
                      <w:color w:val="000000"/>
                      <w:sz w:val="20"/>
                    </w:rPr>
                    <w:t>
  Этические вопросы.</w:t>
                  </w:r>
                </w:p>
                <w:p>
                  <w:pPr>
                    <w:spacing w:after="20"/>
                    <w:ind w:left="20"/>
                    <w:jc w:val="both"/>
                  </w:pPr>
                  <w:r>
                    <w:rPr>
                      <w:rFonts w:ascii="Times New Roman"/>
                      <w:b w:val="false"/>
                      <w:i w:val="false"/>
                      <w:color w:val="000000"/>
                      <w:sz w:val="20"/>
                    </w:rPr>
                    <w:t>
  Исследователи и административная структура исследования.</w:t>
                  </w:r>
                </w:p>
                <w:p>
                  <w:pPr>
                    <w:spacing w:after="20"/>
                    <w:ind w:left="20"/>
                    <w:jc w:val="both"/>
                  </w:pPr>
                  <w:r>
                    <w:rPr>
                      <w:rFonts w:ascii="Times New Roman"/>
                      <w:b w:val="false"/>
                      <w:i w:val="false"/>
                      <w:color w:val="000000"/>
                      <w:sz w:val="20"/>
                    </w:rPr>
                    <w:t>
  Введение.</w:t>
                  </w:r>
                </w:p>
                <w:p>
                  <w:pPr>
                    <w:spacing w:after="20"/>
                    <w:ind w:left="20"/>
                    <w:jc w:val="both"/>
                  </w:pPr>
                  <w:r>
                    <w:rPr>
                      <w:rFonts w:ascii="Times New Roman"/>
                      <w:b w:val="false"/>
                      <w:i w:val="false"/>
                      <w:color w:val="000000"/>
                      <w:sz w:val="20"/>
                    </w:rPr>
                    <w:t>
  Цель и задачи исследования.</w:t>
                  </w:r>
                </w:p>
                <w:p>
                  <w:pPr>
                    <w:spacing w:after="20"/>
                    <w:ind w:left="20"/>
                    <w:jc w:val="both"/>
                  </w:pPr>
                  <w:r>
                    <w:rPr>
                      <w:rFonts w:ascii="Times New Roman"/>
                      <w:b w:val="false"/>
                      <w:i w:val="false"/>
                      <w:color w:val="000000"/>
                      <w:sz w:val="20"/>
                    </w:rPr>
                    <w:t>
  План исследования.</w:t>
                  </w:r>
                </w:p>
                <w:p>
                  <w:pPr>
                    <w:spacing w:after="20"/>
                    <w:ind w:left="20"/>
                    <w:jc w:val="both"/>
                  </w:pPr>
                  <w:r>
                    <w:rPr>
                      <w:rFonts w:ascii="Times New Roman"/>
                      <w:b w:val="false"/>
                      <w:i w:val="false"/>
                      <w:color w:val="000000"/>
                      <w:sz w:val="20"/>
                    </w:rPr>
                    <w:t>
9.1 Общий дизайн и план-описание исследования.</w:t>
                  </w:r>
                </w:p>
                <w:p>
                  <w:pPr>
                    <w:spacing w:after="20"/>
                    <w:ind w:left="20"/>
                    <w:jc w:val="both"/>
                  </w:pPr>
                  <w:r>
                    <w:rPr>
                      <w:rFonts w:ascii="Times New Roman"/>
                      <w:b w:val="false"/>
                      <w:i w:val="false"/>
                      <w:color w:val="000000"/>
                      <w:sz w:val="20"/>
                    </w:rPr>
                    <w:t>
9.2 Обоснование дизайна исследования, в том числе выбора контрольных групп.</w:t>
                  </w:r>
                </w:p>
                <w:p>
                  <w:pPr>
                    <w:spacing w:after="20"/>
                    <w:ind w:left="20"/>
                    <w:jc w:val="both"/>
                  </w:pPr>
                  <w:r>
                    <w:rPr>
                      <w:rFonts w:ascii="Times New Roman"/>
                      <w:b w:val="false"/>
                      <w:i w:val="false"/>
                      <w:color w:val="000000"/>
                      <w:sz w:val="20"/>
                    </w:rPr>
                    <w:t>
9.3 Выбор изучаемой популяции.</w:t>
                  </w:r>
                </w:p>
                <w:p>
                  <w:pPr>
                    <w:spacing w:after="20"/>
                    <w:ind w:left="20"/>
                    <w:jc w:val="both"/>
                  </w:pPr>
                  <w:r>
                    <w:rPr>
                      <w:rFonts w:ascii="Times New Roman"/>
                      <w:b w:val="false"/>
                      <w:i w:val="false"/>
                      <w:color w:val="000000"/>
                      <w:sz w:val="20"/>
                    </w:rPr>
                    <w:t>
9.4 Лечение.</w:t>
                  </w:r>
                </w:p>
                <w:p>
                  <w:pPr>
                    <w:spacing w:after="20"/>
                    <w:ind w:left="20"/>
                    <w:jc w:val="both"/>
                  </w:pPr>
                  <w:r>
                    <w:rPr>
                      <w:rFonts w:ascii="Times New Roman"/>
                      <w:b w:val="false"/>
                      <w:i w:val="false"/>
                      <w:color w:val="000000"/>
                      <w:sz w:val="20"/>
                    </w:rPr>
                    <w:t>
9.5 Данные эффективности и безопасности.</w:t>
                  </w:r>
                </w:p>
                <w:p>
                  <w:pPr>
                    <w:spacing w:after="20"/>
                    <w:ind w:left="20"/>
                    <w:jc w:val="both"/>
                  </w:pPr>
                  <w:r>
                    <w:rPr>
                      <w:rFonts w:ascii="Times New Roman"/>
                      <w:b w:val="false"/>
                      <w:i w:val="false"/>
                      <w:color w:val="000000"/>
                      <w:sz w:val="20"/>
                    </w:rPr>
                    <w:t>
9.6 Контроль качества данных (включая сертификат аудита, если проводился).</w:t>
                  </w:r>
                </w:p>
                <w:p>
                  <w:pPr>
                    <w:spacing w:after="20"/>
                    <w:ind w:left="20"/>
                    <w:jc w:val="both"/>
                  </w:pPr>
                  <w:r>
                    <w:rPr>
                      <w:rFonts w:ascii="Times New Roman"/>
                      <w:b w:val="false"/>
                      <w:i w:val="false"/>
                      <w:color w:val="000000"/>
                      <w:sz w:val="20"/>
                    </w:rPr>
                    <w:t>
9.7 Предусмотренные протоколом статистические методы и определение размера выборки.</w:t>
                  </w:r>
                </w:p>
                <w:p>
                  <w:pPr>
                    <w:spacing w:after="20"/>
                    <w:ind w:left="20"/>
                    <w:jc w:val="both"/>
                  </w:pPr>
                  <w:r>
                    <w:rPr>
                      <w:rFonts w:ascii="Times New Roman"/>
                      <w:b w:val="false"/>
                      <w:i w:val="false"/>
                      <w:color w:val="000000"/>
                      <w:sz w:val="20"/>
                    </w:rPr>
                    <w:t>
9.8 Изменения в ходе проведения исследования или в запланированном анализе.</w:t>
                  </w:r>
                </w:p>
                <w:p>
                  <w:pPr>
                    <w:spacing w:after="20"/>
                    <w:ind w:left="20"/>
                    <w:jc w:val="both"/>
                  </w:pPr>
                  <w:r>
                    <w:rPr>
                      <w:rFonts w:ascii="Times New Roman"/>
                      <w:b w:val="false"/>
                      <w:i w:val="false"/>
                      <w:color w:val="000000"/>
                      <w:sz w:val="20"/>
                    </w:rPr>
                    <w:t>
10. Информация о субъектах исследования.</w:t>
                  </w:r>
                </w:p>
                <w:p>
                  <w:pPr>
                    <w:spacing w:after="20"/>
                    <w:ind w:left="20"/>
                    <w:jc w:val="both"/>
                  </w:pPr>
                  <w:r>
                    <w:rPr>
                      <w:rFonts w:ascii="Times New Roman"/>
                      <w:b w:val="false"/>
                      <w:i w:val="false"/>
                      <w:color w:val="000000"/>
                      <w:sz w:val="20"/>
                    </w:rPr>
                    <w:t>
10.1 Распределение субъектов по группам.</w:t>
                  </w:r>
                </w:p>
                <w:p>
                  <w:pPr>
                    <w:spacing w:after="20"/>
                    <w:ind w:left="20"/>
                    <w:jc w:val="both"/>
                  </w:pPr>
                  <w:r>
                    <w:rPr>
                      <w:rFonts w:ascii="Times New Roman"/>
                      <w:b w:val="false"/>
                      <w:i w:val="false"/>
                      <w:color w:val="000000"/>
                      <w:sz w:val="20"/>
                    </w:rPr>
                    <w:t>
10.2 Отклонения от протокола.</w:t>
                  </w:r>
                </w:p>
                <w:p>
                  <w:pPr>
                    <w:spacing w:after="20"/>
                    <w:ind w:left="20"/>
                    <w:jc w:val="both"/>
                  </w:pPr>
                  <w:r>
                    <w:rPr>
                      <w:rFonts w:ascii="Times New Roman"/>
                      <w:b w:val="false"/>
                      <w:i w:val="false"/>
                      <w:color w:val="000000"/>
                      <w:sz w:val="20"/>
                    </w:rPr>
                    <w:t>
11. Оценка эффективности.</w:t>
                  </w:r>
                </w:p>
                <w:p>
                  <w:pPr>
                    <w:spacing w:after="20"/>
                    <w:ind w:left="20"/>
                    <w:jc w:val="both"/>
                  </w:pPr>
                  <w:r>
                    <w:rPr>
                      <w:rFonts w:ascii="Times New Roman"/>
                      <w:b w:val="false"/>
                      <w:i w:val="false"/>
                      <w:color w:val="000000"/>
                      <w:sz w:val="20"/>
                    </w:rPr>
                    <w:t>
11.1 Группы анализируемых данных.</w:t>
                  </w:r>
                </w:p>
                <w:p>
                  <w:pPr>
                    <w:spacing w:after="20"/>
                    <w:ind w:left="20"/>
                    <w:jc w:val="both"/>
                  </w:pPr>
                  <w:r>
                    <w:rPr>
                      <w:rFonts w:ascii="Times New Roman"/>
                      <w:b w:val="false"/>
                      <w:i w:val="false"/>
                      <w:color w:val="000000"/>
                      <w:sz w:val="20"/>
                    </w:rPr>
                    <w:t>
11.2 Демографические и (или) другие исходные характеристики.</w:t>
                  </w:r>
                </w:p>
                <w:p>
                  <w:pPr>
                    <w:spacing w:after="20"/>
                    <w:ind w:left="20"/>
                    <w:jc w:val="both"/>
                  </w:pPr>
                  <w:r>
                    <w:rPr>
                      <w:rFonts w:ascii="Times New Roman"/>
                      <w:b w:val="false"/>
                      <w:i w:val="false"/>
                      <w:color w:val="000000"/>
                      <w:sz w:val="20"/>
                    </w:rPr>
                    <w:t>
11.3 Показатели оценки соблюдения режима лечения.</w:t>
                  </w:r>
                </w:p>
                <w:p>
                  <w:pPr>
                    <w:spacing w:after="20"/>
                    <w:ind w:left="20"/>
                    <w:jc w:val="both"/>
                  </w:pPr>
                  <w:r>
                    <w:rPr>
                      <w:rFonts w:ascii="Times New Roman"/>
                      <w:b w:val="false"/>
                      <w:i w:val="false"/>
                      <w:color w:val="000000"/>
                      <w:sz w:val="20"/>
                    </w:rPr>
                    <w:t>
11.4 Результаты оценки эффективности и таблицы по индивидуальным данным пациентов.</w:t>
                  </w:r>
                </w:p>
                <w:p>
                  <w:pPr>
                    <w:spacing w:after="20"/>
                    <w:ind w:left="20"/>
                    <w:jc w:val="both"/>
                  </w:pPr>
                  <w:r>
                    <w:rPr>
                      <w:rFonts w:ascii="Times New Roman"/>
                      <w:b w:val="false"/>
                      <w:i w:val="false"/>
                      <w:color w:val="000000"/>
                      <w:sz w:val="20"/>
                    </w:rPr>
                    <w:t>
12. Оценка безопасности.</w:t>
                  </w:r>
                </w:p>
                <w:p>
                  <w:pPr>
                    <w:spacing w:after="20"/>
                    <w:ind w:left="20"/>
                    <w:jc w:val="both"/>
                  </w:pPr>
                  <w:r>
                    <w:rPr>
                      <w:rFonts w:ascii="Times New Roman"/>
                      <w:b w:val="false"/>
                      <w:i w:val="false"/>
                      <w:color w:val="000000"/>
                      <w:sz w:val="20"/>
                    </w:rPr>
                    <w:t>
12.1 Продолжительность воздействия.</w:t>
                  </w:r>
                </w:p>
                <w:p>
                  <w:pPr>
                    <w:spacing w:after="20"/>
                    <w:ind w:left="20"/>
                    <w:jc w:val="both"/>
                  </w:pPr>
                  <w:r>
                    <w:rPr>
                      <w:rFonts w:ascii="Times New Roman"/>
                      <w:b w:val="false"/>
                      <w:i w:val="false"/>
                      <w:color w:val="000000"/>
                      <w:sz w:val="20"/>
                    </w:rPr>
                    <w:t>
12.2 Нежелательные явления.</w:t>
                  </w:r>
                </w:p>
                <w:p>
                  <w:pPr>
                    <w:spacing w:after="20"/>
                    <w:ind w:left="20"/>
                    <w:jc w:val="both"/>
                  </w:pPr>
                  <w:r>
                    <w:rPr>
                      <w:rFonts w:ascii="Times New Roman"/>
                      <w:b w:val="false"/>
                      <w:i w:val="false"/>
                      <w:color w:val="000000"/>
                      <w:sz w:val="20"/>
                    </w:rPr>
                    <w:t>
12.3 Смерть, другие серьезные нежелательные явления, а также серьезные нежелательные реакции.</w:t>
                  </w:r>
                </w:p>
                <w:p>
                  <w:pPr>
                    <w:spacing w:after="20"/>
                    <w:ind w:left="20"/>
                    <w:jc w:val="both"/>
                  </w:pPr>
                  <w:r>
                    <w:rPr>
                      <w:rFonts w:ascii="Times New Roman"/>
                      <w:b w:val="false"/>
                      <w:i w:val="false"/>
                      <w:color w:val="000000"/>
                      <w:sz w:val="20"/>
                    </w:rPr>
                    <w:t>
12.4 Оценка клинико-лабораторных показателей.</w:t>
                  </w:r>
                </w:p>
                <w:p>
                  <w:pPr>
                    <w:spacing w:after="20"/>
                    <w:ind w:left="20"/>
                    <w:jc w:val="both"/>
                  </w:pPr>
                  <w:r>
                    <w:rPr>
                      <w:rFonts w:ascii="Times New Roman"/>
                      <w:b w:val="false"/>
                      <w:i w:val="false"/>
                      <w:color w:val="000000"/>
                      <w:sz w:val="20"/>
                    </w:rPr>
                    <w:t>
12.5 Параметры жизненно важных функций организма, данные объективного исследования и другая информация обследования, которая касается вопросов безопасности.</w:t>
                  </w:r>
                </w:p>
                <w:p>
                  <w:pPr>
                    <w:spacing w:after="20"/>
                    <w:ind w:left="20"/>
                    <w:jc w:val="both"/>
                  </w:pPr>
                  <w:r>
                    <w:rPr>
                      <w:rFonts w:ascii="Times New Roman"/>
                      <w:b w:val="false"/>
                      <w:i w:val="false"/>
                      <w:color w:val="000000"/>
                      <w:sz w:val="20"/>
                    </w:rPr>
                    <w:t>
12.6 Заключение о безопасности.</w:t>
                  </w:r>
                </w:p>
                <w:p>
                  <w:pPr>
                    <w:spacing w:after="20"/>
                    <w:ind w:left="20"/>
                    <w:jc w:val="both"/>
                  </w:pPr>
                  <w:r>
                    <w:rPr>
                      <w:rFonts w:ascii="Times New Roman"/>
                      <w:b w:val="false"/>
                      <w:i w:val="false"/>
                      <w:color w:val="000000"/>
                      <w:sz w:val="20"/>
                    </w:rPr>
                    <w:t>
13. Обсуждение и общее заключение.</w:t>
                  </w:r>
                </w:p>
                <w:p>
                  <w:pPr>
                    <w:spacing w:after="20"/>
                    <w:ind w:left="20"/>
                    <w:jc w:val="both"/>
                  </w:pPr>
                  <w:r>
                    <w:rPr>
                      <w:rFonts w:ascii="Times New Roman"/>
                      <w:b w:val="false"/>
                      <w:i w:val="false"/>
                      <w:color w:val="000000"/>
                      <w:sz w:val="20"/>
                    </w:rPr>
                    <w:t>
14. Таблицы, рисунки, графики, на которые даны ссылки, но которые не вошли в текст отчета.</w:t>
                  </w:r>
                </w:p>
                <w:p>
                  <w:pPr>
                    <w:spacing w:after="20"/>
                    <w:ind w:left="20"/>
                    <w:jc w:val="both"/>
                  </w:pPr>
                  <w:r>
                    <w:rPr>
                      <w:rFonts w:ascii="Times New Roman"/>
                      <w:b w:val="false"/>
                      <w:i w:val="false"/>
                      <w:color w:val="000000"/>
                      <w:sz w:val="20"/>
                    </w:rPr>
                    <w:t>
15. Список литературы.</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w:t>
            </w:r>
            <w:r>
              <w:rPr>
                <w:rFonts w:ascii="Times New Roman"/>
                <w:b/>
                <w:i w:val="false"/>
                <w:color w:val="000000"/>
                <w:sz w:val="20"/>
              </w:rPr>
              <w:t xml:space="preserve">Приложение 2.1 </w:t>
            </w:r>
          </w:p>
          <w:bookmarkEnd w:id="17"/>
          <w:p>
            <w:pPr>
              <w:spacing w:after="20"/>
              <w:ind w:left="20"/>
              <w:jc w:val="both"/>
            </w:pPr>
            <w:r>
              <w:rPr>
                <w:rFonts w:ascii="Times New Roman"/>
                <w:b w:val="false"/>
                <w:i w:val="false"/>
                <w:color w:val="000000"/>
                <w:sz w:val="20"/>
              </w:rPr>
              <w:t>
</w:t>
            </w:r>
            <w:r>
              <w:rPr>
                <w:rFonts w:ascii="Times New Roman"/>
                <w:b/>
                <w:i w:val="false"/>
                <w:color w:val="000000"/>
                <w:sz w:val="20"/>
              </w:rPr>
              <w:t>к Приложению 2</w:t>
            </w:r>
          </w:p>
          <w:p>
            <w:pPr>
              <w:spacing w:after="20"/>
              <w:ind w:left="20"/>
              <w:jc w:val="both"/>
            </w:pPr>
            <w:r>
              <w:rPr>
                <w:rFonts w:ascii="Times New Roman"/>
                <w:b w:val="false"/>
                <w:i w:val="false"/>
                <w:color w:val="000000"/>
                <w:sz w:val="20"/>
              </w:rPr>
              <w:t>
</w:t>
            </w:r>
            <w:r>
              <w:rPr>
                <w:rFonts w:ascii="Times New Roman"/>
                <w:b/>
                <w:i w:val="false"/>
                <w:color w:val="000000"/>
                <w:sz w:val="20"/>
              </w:rPr>
              <w:t>“Структура и содержание отчета</w:t>
            </w:r>
          </w:p>
          <w:p>
            <w:pPr>
              <w:spacing w:after="20"/>
              <w:ind w:left="20"/>
              <w:jc w:val="both"/>
            </w:pPr>
            <w:r>
              <w:rPr>
                <w:rFonts w:ascii="Times New Roman"/>
                <w:b w:val="false"/>
                <w:i w:val="false"/>
                <w:color w:val="000000"/>
                <w:sz w:val="20"/>
              </w:rPr>
              <w:t>
</w:t>
            </w:r>
            <w:r>
              <w:rPr>
                <w:rFonts w:ascii="Times New Roman"/>
                <w:b/>
                <w:i w:val="false"/>
                <w:color w:val="000000"/>
                <w:sz w:val="20"/>
              </w:rPr>
              <w:t>о клиническом исследовании”</w:t>
            </w:r>
          </w:p>
          <w:p>
            <w:pPr>
              <w:spacing w:after="20"/>
              <w:ind w:left="20"/>
              <w:jc w:val="both"/>
            </w:pPr>
            <w:r>
              <w:rPr>
                <w:rFonts w:ascii="Times New Roman"/>
                <w:b w:val="false"/>
                <w:i w:val="false"/>
                <w:color w:val="000000"/>
                <w:sz w:val="20"/>
              </w:rPr>
              <w:t>
</w:t>
            </w:r>
            <w:r>
              <w:rPr>
                <w:rFonts w:ascii="Times New Roman"/>
                <w:b/>
                <w:i w:val="false"/>
                <w:color w:val="000000"/>
                <w:sz w:val="20"/>
              </w:rPr>
              <w:t>Резюме (Краткое описание клинического исследования)</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1167"/>
              <w:gridCol w:w="2327"/>
              <w:gridCol w:w="1492"/>
              <w:gridCol w:w="1740"/>
              <w:gridCol w:w="5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спонсора (компании):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Отдельная таблица исследования, относящаяся к части досье</w:t>
                  </w:r>
                </w:p>
                <w:p>
                  <w:pPr>
                    <w:spacing w:after="20"/>
                    <w:ind w:left="20"/>
                    <w:jc w:val="both"/>
                  </w:pPr>
                  <w:r>
                    <w:rPr>
                      <w:rFonts w:ascii="Times New Roman"/>
                      <w:b w:val="false"/>
                      <w:i w:val="false"/>
                      <w:color w:val="000000"/>
                      <w:sz w:val="20"/>
                    </w:rPr>
                    <w:t>
Том:</w:t>
                  </w:r>
                </w:p>
                <w:p>
                  <w:pPr>
                    <w:spacing w:after="20"/>
                    <w:ind w:left="20"/>
                    <w:jc w:val="both"/>
                  </w:pPr>
                  <w:r>
                    <w:rPr>
                      <w:rFonts w:ascii="Times New Roman"/>
                      <w:b w:val="false"/>
                      <w:i w:val="false"/>
                      <w:color w:val="000000"/>
                      <w:sz w:val="20"/>
                    </w:rPr>
                    <w:t>
Страница: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(Поле используется только уполномоченными органами)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готового препарата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активного ингредиента: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исследования: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база(ы):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(ссылка):</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период (года): (дата начала набора) (дата последнего визита)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разработки: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пациентов (запланированное и проанализированное):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основные критерии для включения: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доза и способ применения, номер серии: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лечения: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 доза и способ применения, номер серии:</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спонсора (компании):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Отдельная таблица исследования, относящаяся к части досье</w:t>
                  </w:r>
                </w:p>
                <w:p>
                  <w:pPr>
                    <w:spacing w:after="20"/>
                    <w:ind w:left="20"/>
                    <w:jc w:val="both"/>
                  </w:pPr>
                  <w:r>
                    <w:rPr>
                      <w:rFonts w:ascii="Times New Roman"/>
                      <w:b w:val="false"/>
                      <w:i w:val="false"/>
                      <w:color w:val="000000"/>
                      <w:sz w:val="20"/>
                    </w:rPr>
                    <w:t>
Том:</w:t>
                  </w:r>
                </w:p>
                <w:p>
                  <w:pPr>
                    <w:spacing w:after="20"/>
                    <w:ind w:left="20"/>
                    <w:jc w:val="both"/>
                  </w:pPr>
                  <w:r>
                    <w:rPr>
                      <w:rFonts w:ascii="Times New Roman"/>
                      <w:b w:val="false"/>
                      <w:i w:val="false"/>
                      <w:color w:val="000000"/>
                      <w:sz w:val="20"/>
                    </w:rPr>
                    <w:t>
Страница: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(Поле используется только уполномоченными органами)</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готового препарата: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активного ингредиента: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p>
                  <w:pPr>
                    <w:spacing w:after="20"/>
                    <w:ind w:left="20"/>
                    <w:jc w:val="both"/>
                  </w:pPr>
                  <w:r>
                    <w:rPr>
                      <w:rFonts w:ascii="Times New Roman"/>
                      <w:b w:val="false"/>
                      <w:i w:val="false"/>
                      <w:color w:val="000000"/>
                      <w:sz w:val="20"/>
                    </w:rPr>
                    <w:t>
</w:t>
                  </w:r>
                  <w:r>
                    <w:rPr>
                      <w:rFonts w:ascii="Times New Roman"/>
                      <w:b/>
                      <w:i w:val="false"/>
                      <w:color w:val="000000"/>
                      <w:sz w:val="20"/>
                    </w:rPr>
                    <w:t>Эффективность:</w:t>
                  </w:r>
                </w:p>
                <w:p>
                  <w:pPr>
                    <w:spacing w:after="20"/>
                    <w:ind w:left="20"/>
                    <w:jc w:val="both"/>
                  </w:pPr>
                  <w:r>
                    <w:rPr>
                      <w:rFonts w:ascii="Times New Roman"/>
                      <w:b w:val="false"/>
                      <w:i w:val="false"/>
                      <w:color w:val="000000"/>
                      <w:sz w:val="20"/>
                    </w:rPr>
                    <w:t>
</w:t>
                  </w:r>
                  <w:r>
                    <w:rPr>
                      <w:rFonts w:ascii="Times New Roman"/>
                      <w:b/>
                      <w:i w:val="false"/>
                      <w:color w:val="000000"/>
                      <w:sz w:val="20"/>
                    </w:rPr>
                    <w:t>Безопасность:</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методы: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 – ВЫВОДЫ</w:t>
                  </w:r>
                </w:p>
                <w:p>
                  <w:pPr>
                    <w:spacing w:after="20"/>
                    <w:ind w:left="20"/>
                    <w:jc w:val="both"/>
                  </w:pPr>
                  <w:r>
                    <w:rPr>
                      <w:rFonts w:ascii="Times New Roman"/>
                      <w:b w:val="false"/>
                      <w:i w:val="false"/>
                      <w:color w:val="000000"/>
                      <w:sz w:val="20"/>
                    </w:rPr>
                    <w:t>
</w:t>
                  </w:r>
                  <w:r>
                    <w:rPr>
                      <w:rFonts w:ascii="Times New Roman"/>
                      <w:b/>
                      <w:i w:val="false"/>
                      <w:color w:val="000000"/>
                      <w:sz w:val="20"/>
                    </w:rPr>
                    <w:t>РЕЗУЛЬТАТЫ ОЦЕНКИ ЭФФЕКТИВНОСТИ:</w:t>
                  </w:r>
                </w:p>
                <w:p>
                  <w:pPr>
                    <w:spacing w:after="20"/>
                    <w:ind w:left="20"/>
                    <w:jc w:val="both"/>
                  </w:pPr>
                  <w:r>
                    <w:rPr>
                      <w:rFonts w:ascii="Times New Roman"/>
                      <w:b w:val="false"/>
                      <w:i w:val="false"/>
                      <w:color w:val="000000"/>
                      <w:sz w:val="20"/>
                    </w:rPr>
                    <w:t>
</w:t>
                  </w:r>
                  <w:r>
                    <w:rPr>
                      <w:rFonts w:ascii="Times New Roman"/>
                      <w:b/>
                      <w:i w:val="false"/>
                      <w:color w:val="000000"/>
                      <w:sz w:val="20"/>
                    </w:rPr>
                    <w:t>РЕЗУЛЬТАТЫ ОЦЕНКИ БЕЗОПАСНОСТИ:</w:t>
                  </w:r>
                </w:p>
                <w:p>
                  <w:pPr>
                    <w:spacing w:after="20"/>
                    <w:ind w:left="20"/>
                    <w:jc w:val="both"/>
                  </w:pPr>
                  <w:r>
                    <w:rPr>
                      <w:rFonts w:ascii="Times New Roman"/>
                      <w:b w:val="false"/>
                      <w:i w:val="false"/>
                      <w:color w:val="000000"/>
                      <w:sz w:val="20"/>
                    </w:rPr>
                    <w:t>
</w:t>
                  </w:r>
                  <w:r>
                    <w:rPr>
                      <w:rFonts w:ascii="Times New Roman"/>
                      <w:b/>
                      <w:i w:val="false"/>
                      <w:color w:val="000000"/>
                      <w:sz w:val="20"/>
                    </w:rPr>
                    <w:t>ЗАКЛЮЧЕНИЕ:</w:t>
                  </w:r>
                  <w:r>
                    <w:rPr>
                      <w:rFonts w:ascii="Times New Roman"/>
                      <w:b w:val="false"/>
                      <w:i w:val="false"/>
                      <w:color w:val="000000"/>
                      <w:sz w:val="20"/>
                    </w:rPr>
                    <w:t> </w:t>
                  </w:r>
                </w:p>
                <w:p>
                  <w:pPr>
                    <w:spacing w:after="20"/>
                    <w:ind w:left="20"/>
                    <w:jc w:val="both"/>
                  </w:pPr>
                  <w:r>
                    <w:rPr>
                      <w:rFonts w:ascii="Times New Roman"/>
                      <w:b w:val="false"/>
                      <w:i w:val="false"/>
                      <w:color w:val="000000"/>
                      <w:sz w:val="20"/>
                    </w:rPr>
                    <w:t>
Дата отчета: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w:t>
            </w:r>
            <w:r>
              <w:rPr>
                <w:rFonts w:ascii="Times New Roman"/>
                <w:b/>
                <w:i w:val="false"/>
                <w:color w:val="000000"/>
                <w:sz w:val="20"/>
              </w:rPr>
              <w:t xml:space="preserve">Приложение 2.2 </w:t>
            </w:r>
          </w:p>
          <w:bookmarkEnd w:id="18"/>
          <w:p>
            <w:pPr>
              <w:spacing w:after="20"/>
              <w:ind w:left="20"/>
              <w:jc w:val="both"/>
            </w:pPr>
            <w:r>
              <w:rPr>
                <w:rFonts w:ascii="Times New Roman"/>
                <w:b w:val="false"/>
                <w:i w:val="false"/>
                <w:color w:val="000000"/>
                <w:sz w:val="20"/>
              </w:rPr>
              <w:t>
</w:t>
            </w:r>
            <w:r>
              <w:rPr>
                <w:rFonts w:ascii="Times New Roman"/>
                <w:b/>
                <w:i w:val="false"/>
                <w:color w:val="000000"/>
                <w:sz w:val="20"/>
              </w:rPr>
              <w:t>к Приложению 2</w:t>
            </w:r>
          </w:p>
          <w:p>
            <w:pPr>
              <w:spacing w:after="20"/>
              <w:ind w:left="20"/>
              <w:jc w:val="both"/>
            </w:pPr>
            <w:r>
              <w:rPr>
                <w:rFonts w:ascii="Times New Roman"/>
                <w:b w:val="false"/>
                <w:i w:val="false"/>
                <w:color w:val="000000"/>
                <w:sz w:val="20"/>
              </w:rPr>
              <w:t>
</w:t>
            </w:r>
            <w:r>
              <w:rPr>
                <w:rFonts w:ascii="Times New Roman"/>
                <w:b/>
                <w:i w:val="false"/>
                <w:color w:val="000000"/>
                <w:sz w:val="20"/>
              </w:rPr>
              <w:t>“Структура и содержание отчета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 клиническом исследовании” </w:t>
            </w:r>
          </w:p>
          <w:p>
            <w:pPr>
              <w:spacing w:after="20"/>
              <w:ind w:left="20"/>
              <w:jc w:val="both"/>
            </w:pPr>
            <w:r>
              <w:rPr>
                <w:rFonts w:ascii="Times New Roman"/>
                <w:b w:val="false"/>
                <w:i w:val="false"/>
                <w:color w:val="000000"/>
                <w:sz w:val="20"/>
              </w:rPr>
              <w:t>
</w:t>
            </w:r>
            <w:r>
              <w:rPr>
                <w:rFonts w:ascii="Times New Roman"/>
                <w:b/>
                <w:i w:val="false"/>
                <w:color w:val="000000"/>
                <w:sz w:val="20"/>
              </w:rPr>
              <w:t>Подписи главного исследователя или исследователя-координатора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ПОДПИСЬ(И) ГЛАВНОГО ИССЛЕДОВАТЕЛЯ</w:t>
            </w:r>
          </w:p>
          <w:p>
            <w:pPr>
              <w:spacing w:after="20"/>
              <w:ind w:left="20"/>
              <w:jc w:val="both"/>
            </w:pPr>
            <w:r>
              <w:rPr>
                <w:rFonts w:ascii="Times New Roman"/>
                <w:b w:val="false"/>
                <w:i w:val="false"/>
                <w:color w:val="000000"/>
                <w:sz w:val="20"/>
              </w:rPr>
              <w:t>
</w:t>
            </w:r>
            <w:r>
              <w:rPr>
                <w:rFonts w:ascii="Times New Roman"/>
                <w:b/>
                <w:i w:val="false"/>
                <w:color w:val="000000"/>
                <w:sz w:val="20"/>
              </w:rPr>
              <w:t>ИЛИ ИССЛЕДОВАТЕЛЯ-КООРДИНАТОРА</w:t>
            </w:r>
          </w:p>
          <w:p>
            <w:pPr>
              <w:spacing w:after="20"/>
              <w:ind w:left="20"/>
              <w:jc w:val="both"/>
            </w:pPr>
            <w:r>
              <w:rPr>
                <w:rFonts w:ascii="Times New Roman"/>
                <w:b w:val="false"/>
                <w:i w:val="false"/>
                <w:color w:val="000000"/>
                <w:sz w:val="20"/>
              </w:rPr>
              <w:t>
</w:t>
            </w:r>
            <w:r>
              <w:rPr>
                <w:rFonts w:ascii="Times New Roman"/>
                <w:b/>
                <w:i w:val="false"/>
                <w:color w:val="000000"/>
                <w:sz w:val="20"/>
              </w:rPr>
              <w:t>ИЛИ ОТВЕТСТВЕННОГО МЕДИЦИНСКОГО СПЕЦИАЛИСТА СО СТОРОНЫ СПОНСОРА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НАЗВАНИЕ ИССЛЕДОВАНИЯ:       ............</w:t>
            </w:r>
          </w:p>
          <w:p>
            <w:pPr>
              <w:spacing w:after="20"/>
              <w:ind w:left="20"/>
              <w:jc w:val="both"/>
            </w:pPr>
            <w:r>
              <w:rPr>
                <w:rFonts w:ascii="Times New Roman"/>
                <w:b w:val="false"/>
                <w:i w:val="false"/>
                <w:color w:val="000000"/>
                <w:sz w:val="20"/>
              </w:rPr>
              <w:t>
ИСПОЛНИТЕЛЬ(И) ИССЛЕДОВАНИЯ: ............ </w:t>
            </w:r>
          </w:p>
          <w:p>
            <w:pPr>
              <w:spacing w:after="20"/>
              <w:ind w:left="20"/>
              <w:jc w:val="both"/>
            </w:pPr>
            <w:r>
              <w:rPr>
                <w:rFonts w:ascii="Times New Roman"/>
                <w:b w:val="false"/>
                <w:i w:val="false"/>
                <w:color w:val="000000"/>
                <w:sz w:val="20"/>
              </w:rPr>
              <w:t>
Прочил (-а) настоящий отчет и, основываясь на моем знании данного исследования, настоящим подтверждаю, что в нем правильно изложены процедуры проведения и результаты исследования.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ИССЛЕДОВАТЕЛЬ:</w:t>
            </w:r>
            <w:r>
              <w:rPr>
                <w:rFonts w:ascii="Times New Roman"/>
                <w:b w:val="false"/>
                <w:i w:val="false"/>
                <w:color w:val="000000"/>
                <w:sz w:val="20"/>
                <w:u w:val="single"/>
              </w:rPr>
              <w:t xml:space="preserve">                        </w:t>
            </w:r>
            <w:r>
              <w:rPr>
                <w:rFonts w:ascii="Times New Roman"/>
                <w:b w:val="false"/>
                <w:i w:val="false"/>
                <w:color w:val="000000"/>
                <w:sz w:val="20"/>
              </w:rPr>
              <w:t xml:space="preserve">ПОДПИСЬ(-И)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ИЛИ ОТВЕТСТВЕННЫЙ</w:t>
            </w:r>
          </w:p>
          <w:p>
            <w:pPr>
              <w:spacing w:after="20"/>
              <w:ind w:left="20"/>
              <w:jc w:val="both"/>
            </w:pPr>
            <w:r>
              <w:rPr>
                <w:rFonts w:ascii="Times New Roman"/>
                <w:b w:val="false"/>
                <w:i w:val="false"/>
                <w:color w:val="000000"/>
                <w:sz w:val="20"/>
              </w:rPr>
              <w:t>
МЕДИЦИНСКИЙ СПЕЦИАЛИСТ</w:t>
            </w:r>
          </w:p>
          <w:p>
            <w:pPr>
              <w:spacing w:after="20"/>
              <w:ind w:left="20"/>
              <w:jc w:val="both"/>
            </w:pPr>
            <w:r>
              <w:rPr>
                <w:rFonts w:ascii="Times New Roman"/>
                <w:b w:val="false"/>
                <w:i w:val="false"/>
                <w:color w:val="000000"/>
                <w:sz w:val="20"/>
              </w:rPr>
              <w:t>
СПОНСОРА</w:t>
            </w:r>
          </w:p>
          <w:p>
            <w:pPr>
              <w:spacing w:after="20"/>
              <w:ind w:left="20"/>
              <w:jc w:val="both"/>
            </w:pPr>
            <w:r>
              <w:rPr>
                <w:rFonts w:ascii="Times New Roman"/>
                <w:b w:val="false"/>
                <w:i w:val="false"/>
                <w:color w:val="000000"/>
                <w:sz w:val="20"/>
              </w:rPr>
              <w:t xml:space="preserve">
ВЛАДЕЛЕЦ ОТЧЕТА:       </w:t>
            </w:r>
            <w:r>
              <w:rPr>
                <w:rFonts w:ascii="Times New Roman"/>
                <w:b w:val="false"/>
                <w:i w:val="false"/>
                <w:color w:val="000000"/>
                <w:sz w:val="20"/>
                <w:u w:val="single"/>
              </w:rPr>
              <w:t xml:space="preserve">                                    </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ДАТА:                     </w:t>
            </w:r>
            <w:r>
              <w:rPr>
                <w:rFonts w:ascii="Times New Roman"/>
                <w:b w:val="false"/>
                <w:i w:val="false"/>
                <w:color w:val="000000"/>
                <w:sz w:val="20"/>
                <w:u w:val="single"/>
              </w:rPr>
              <w:t xml:space="preserv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w:t>
            </w:r>
            <w:r>
              <w:rPr>
                <w:rFonts w:ascii="Times New Roman"/>
                <w:b/>
                <w:i w:val="false"/>
                <w:color w:val="000000"/>
                <w:sz w:val="20"/>
              </w:rPr>
              <w:t>Приложение 2.3</w:t>
            </w:r>
          </w:p>
          <w:bookmarkEnd w:id="19"/>
          <w:p>
            <w:pPr>
              <w:spacing w:after="20"/>
              <w:ind w:left="20"/>
              <w:jc w:val="both"/>
            </w:pPr>
            <w:r>
              <w:rPr>
                <w:rFonts w:ascii="Times New Roman"/>
                <w:b w:val="false"/>
                <w:i w:val="false"/>
                <w:color w:val="000000"/>
                <w:sz w:val="20"/>
              </w:rPr>
              <w:t>
</w:t>
            </w:r>
            <w:r>
              <w:rPr>
                <w:rFonts w:ascii="Times New Roman"/>
                <w:b/>
                <w:i w:val="false"/>
                <w:color w:val="000000"/>
                <w:sz w:val="20"/>
              </w:rPr>
              <w:t>к Приложению 2</w:t>
            </w:r>
          </w:p>
          <w:p>
            <w:pPr>
              <w:spacing w:after="20"/>
              <w:ind w:left="20"/>
              <w:jc w:val="both"/>
            </w:pPr>
            <w:r>
              <w:rPr>
                <w:rFonts w:ascii="Times New Roman"/>
                <w:b w:val="false"/>
                <w:i w:val="false"/>
                <w:color w:val="000000"/>
                <w:sz w:val="20"/>
              </w:rPr>
              <w:t>
</w:t>
            </w:r>
            <w:r>
              <w:rPr>
                <w:rFonts w:ascii="Times New Roman"/>
                <w:b/>
                <w:i w:val="false"/>
                <w:color w:val="000000"/>
                <w:sz w:val="20"/>
              </w:rPr>
              <w:t>“Структура и содержание отчета</w:t>
            </w:r>
          </w:p>
          <w:p>
            <w:pPr>
              <w:spacing w:after="20"/>
              <w:ind w:left="20"/>
              <w:jc w:val="both"/>
            </w:pPr>
            <w:r>
              <w:rPr>
                <w:rFonts w:ascii="Times New Roman"/>
                <w:b w:val="false"/>
                <w:i w:val="false"/>
                <w:color w:val="000000"/>
                <w:sz w:val="20"/>
              </w:rPr>
              <w:t>
</w:t>
            </w:r>
            <w:r>
              <w:rPr>
                <w:rFonts w:ascii="Times New Roman"/>
                <w:b/>
                <w:i w:val="false"/>
                <w:color w:val="000000"/>
                <w:sz w:val="20"/>
              </w:rPr>
              <w:t>о клиническом исследовании” </w:t>
            </w:r>
          </w:p>
          <w:p>
            <w:pPr>
              <w:spacing w:after="20"/>
              <w:ind w:left="20"/>
              <w:jc w:val="both"/>
            </w:pPr>
            <w:r>
              <w:rPr>
                <w:rFonts w:ascii="Times New Roman"/>
                <w:b w:val="false"/>
                <w:i w:val="false"/>
                <w:color w:val="000000"/>
                <w:sz w:val="20"/>
              </w:rPr>
              <w:t>
</w:t>
            </w:r>
            <w:r>
              <w:rPr>
                <w:rFonts w:ascii="Times New Roman"/>
                <w:b/>
                <w:i w:val="false"/>
                <w:color w:val="000000"/>
                <w:sz w:val="20"/>
              </w:rPr>
              <w:t>План клинического исследования и график оценки</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70104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363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1"/>
              <w:gridCol w:w="2393"/>
              <w:gridCol w:w="654"/>
              <w:gridCol w:w="900"/>
              <w:gridCol w:w="900"/>
              <w:gridCol w:w="900"/>
              <w:gridCol w:w="900"/>
              <w:gridCol w:w="1122"/>
            </w:tblGrid>
            <w:tr>
              <w:trPr>
                <w:trHeight w:val="30" w:hRule="atLeast"/>
              </w:trPr>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Недели</w:t>
                  </w:r>
                </w:p>
                <w:p>
                  <w:pPr>
                    <w:spacing w:after="20"/>
                    <w:ind w:left="20"/>
                    <w:jc w:val="both"/>
                  </w:pPr>
                  <w:r>
                    <w:rPr>
                      <w:rFonts w:ascii="Times New Roman"/>
                      <w:b w:val="false"/>
                      <w:i w:val="false"/>
                      <w:color w:val="000000"/>
                      <w:sz w:val="20"/>
                    </w:rPr>
                    <w:t>
Визит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w:t>
                  </w:r>
                </w:p>
              </w:tc>
            </w:tr>
            <w:tr>
              <w:trPr>
                <w:trHeight w:val="30" w:hRule="atLeast"/>
              </w:trPr>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 физической нагрузкой 24 ч</w:t>
                  </w:r>
                </w:p>
                <w:p>
                  <w:pPr>
                    <w:spacing w:after="20"/>
                    <w:ind w:left="20"/>
                    <w:jc w:val="both"/>
                  </w:pPr>
                  <w:r>
                    <w:rPr>
                      <w:rFonts w:ascii="Times New Roman"/>
                      <w:b w:val="false"/>
                      <w:i w:val="false"/>
                      <w:color w:val="000000"/>
                      <w:sz w:val="20"/>
                    </w:rPr>
                    <w:t>
Медицинский анамнез</w:t>
                  </w:r>
                </w:p>
                <w:p>
                  <w:pPr>
                    <w:spacing w:after="20"/>
                    <w:ind w:left="20"/>
                    <w:jc w:val="both"/>
                  </w:pPr>
                  <w:r>
                    <w:rPr>
                      <w:rFonts w:ascii="Times New Roman"/>
                      <w:b w:val="false"/>
                      <w:i w:val="false"/>
                      <w:color w:val="000000"/>
                      <w:sz w:val="20"/>
                    </w:rPr>
                    <w:t>
Физикальное обследование</w:t>
                  </w:r>
                </w:p>
                <w:p>
                  <w:pPr>
                    <w:spacing w:after="20"/>
                    <w:ind w:left="20"/>
                    <w:jc w:val="both"/>
                  </w:pPr>
                  <w:r>
                    <w:rPr>
                      <w:rFonts w:ascii="Times New Roman"/>
                      <w:b w:val="false"/>
                      <w:i w:val="false"/>
                      <w:color w:val="000000"/>
                      <w:sz w:val="20"/>
                    </w:rPr>
                    <w:t>
ЭКГ</w:t>
                  </w:r>
                </w:p>
                <w:p>
                  <w:pPr>
                    <w:spacing w:after="20"/>
                    <w:ind w:left="20"/>
                    <w:jc w:val="both"/>
                  </w:pPr>
                  <w:r>
                    <w:rPr>
                      <w:rFonts w:ascii="Times New Roman"/>
                      <w:b w:val="false"/>
                      <w:i w:val="false"/>
                      <w:color w:val="000000"/>
                      <w:sz w:val="20"/>
                    </w:rPr>
                    <w:t>
Лабораторн. исследования</w:t>
                  </w:r>
                </w:p>
                <w:p>
                  <w:pPr>
                    <w:spacing w:after="20"/>
                    <w:ind w:left="20"/>
                    <w:jc w:val="both"/>
                  </w:pPr>
                  <w:r>
                    <w:rPr>
                      <w:rFonts w:ascii="Times New Roman"/>
                      <w:b w:val="false"/>
                      <w:i w:val="false"/>
                      <w:color w:val="000000"/>
                      <w:sz w:val="20"/>
                    </w:rPr>
                    <w:t>
Нежелательные явления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color w:val="000000"/>
                      <w:sz w:val="20"/>
                    </w:rPr>
                    <w:t xml:space="preserve"> – 14-20 дней после визита 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color w:val="000000"/>
                      <w:sz w:val="20"/>
                    </w:rPr>
                    <w:t xml:space="preserve"> – 1-7 дней после первого дня теста с физической нагрузкой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w:t>
            </w:r>
            <w:r>
              <w:rPr>
                <w:rFonts w:ascii="Times New Roman"/>
                <w:b/>
                <w:i w:val="false"/>
                <w:color w:val="000000"/>
                <w:sz w:val="20"/>
              </w:rPr>
              <w:t xml:space="preserve">Приложение 2.4 </w:t>
            </w:r>
          </w:p>
          <w:bookmarkEnd w:id="20"/>
          <w:p>
            <w:pPr>
              <w:spacing w:after="20"/>
              <w:ind w:left="20"/>
              <w:jc w:val="both"/>
            </w:pPr>
            <w:r>
              <w:rPr>
                <w:rFonts w:ascii="Times New Roman"/>
                <w:b w:val="false"/>
                <w:i w:val="false"/>
                <w:color w:val="000000"/>
                <w:sz w:val="20"/>
              </w:rPr>
              <w:t>
</w:t>
            </w:r>
            <w:r>
              <w:rPr>
                <w:rFonts w:ascii="Times New Roman"/>
                <w:b/>
                <w:i w:val="false"/>
                <w:color w:val="000000"/>
                <w:sz w:val="20"/>
              </w:rPr>
              <w:t>к Приложению 2</w:t>
            </w:r>
          </w:p>
          <w:p>
            <w:pPr>
              <w:spacing w:after="20"/>
              <w:ind w:left="20"/>
              <w:jc w:val="both"/>
            </w:pPr>
            <w:r>
              <w:rPr>
                <w:rFonts w:ascii="Times New Roman"/>
                <w:b w:val="false"/>
                <w:i w:val="false"/>
                <w:color w:val="000000"/>
                <w:sz w:val="20"/>
              </w:rPr>
              <w:t>
</w:t>
            </w:r>
            <w:r>
              <w:rPr>
                <w:rFonts w:ascii="Times New Roman"/>
                <w:b/>
                <w:i w:val="false"/>
                <w:color w:val="000000"/>
                <w:sz w:val="20"/>
              </w:rPr>
              <w:t>“Структура и содержание отчета</w:t>
            </w:r>
          </w:p>
          <w:p>
            <w:pPr>
              <w:spacing w:after="20"/>
              <w:ind w:left="20"/>
              <w:jc w:val="both"/>
            </w:pPr>
            <w:r>
              <w:rPr>
                <w:rFonts w:ascii="Times New Roman"/>
                <w:b w:val="false"/>
                <w:i w:val="false"/>
                <w:color w:val="000000"/>
                <w:sz w:val="20"/>
              </w:rPr>
              <w:t>
</w:t>
            </w:r>
            <w:r>
              <w:rPr>
                <w:rFonts w:ascii="Times New Roman"/>
                <w:b/>
                <w:i w:val="false"/>
                <w:color w:val="000000"/>
                <w:sz w:val="20"/>
              </w:rPr>
              <w:t>о клиническом исследовании”</w:t>
            </w:r>
          </w:p>
          <w:p>
            <w:pPr>
              <w:spacing w:after="20"/>
              <w:ind w:left="20"/>
              <w:jc w:val="both"/>
            </w:pPr>
            <w:r>
              <w:rPr>
                <w:rFonts w:ascii="Times New Roman"/>
                <w:b w:val="false"/>
                <w:i w:val="false"/>
                <w:color w:val="000000"/>
                <w:sz w:val="20"/>
              </w:rPr>
              <w:t>
</w:t>
            </w:r>
            <w:r>
              <w:rPr>
                <w:rFonts w:ascii="Times New Roman"/>
                <w:b/>
                <w:i w:val="false"/>
                <w:color w:val="000000"/>
                <w:sz w:val="20"/>
              </w:rPr>
              <w:t>Дизайн клинического исследования и график его оценки</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7747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294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401"/>
              <w:gridCol w:w="1401"/>
              <w:gridCol w:w="505"/>
              <w:gridCol w:w="518"/>
              <w:gridCol w:w="509"/>
              <w:gridCol w:w="514"/>
              <w:gridCol w:w="8"/>
              <w:gridCol w:w="1015"/>
              <w:gridCol w:w="1024"/>
              <w:gridCol w:w="510"/>
              <w:gridCol w:w="514"/>
              <w:gridCol w:w="510"/>
              <w:gridCol w:w="514"/>
              <w:gridCol w:w="510"/>
              <w:gridCol w:w="514"/>
              <w:gridCol w:w="8"/>
              <w:gridCol w:w="1017"/>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 согласие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Физик.обслед.</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 переменная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 переменная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 явлен.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 тесты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w:t>
            </w:r>
            <w:r>
              <w:rPr>
                <w:rFonts w:ascii="Times New Roman"/>
                <w:b/>
                <w:i w:val="false"/>
                <w:color w:val="000000"/>
                <w:sz w:val="20"/>
              </w:rPr>
              <w:t xml:space="preserve">Приложение 2.5 </w:t>
            </w:r>
          </w:p>
          <w:bookmarkEnd w:id="21"/>
          <w:p>
            <w:pPr>
              <w:spacing w:after="20"/>
              <w:ind w:left="20"/>
              <w:jc w:val="both"/>
            </w:pPr>
            <w:r>
              <w:rPr>
                <w:rFonts w:ascii="Times New Roman"/>
                <w:b w:val="false"/>
                <w:i w:val="false"/>
                <w:color w:val="000000"/>
                <w:sz w:val="20"/>
              </w:rPr>
              <w:t>
</w:t>
            </w:r>
            <w:r>
              <w:rPr>
                <w:rFonts w:ascii="Times New Roman"/>
                <w:b/>
                <w:i w:val="false"/>
                <w:color w:val="000000"/>
                <w:sz w:val="20"/>
              </w:rPr>
              <w:t>к Приложению 2</w:t>
            </w:r>
          </w:p>
          <w:p>
            <w:pPr>
              <w:spacing w:after="20"/>
              <w:ind w:left="20"/>
              <w:jc w:val="both"/>
            </w:pPr>
            <w:r>
              <w:rPr>
                <w:rFonts w:ascii="Times New Roman"/>
                <w:b w:val="false"/>
                <w:i w:val="false"/>
                <w:color w:val="000000"/>
                <w:sz w:val="20"/>
              </w:rPr>
              <w:t>
</w:t>
            </w:r>
            <w:r>
              <w:rPr>
                <w:rFonts w:ascii="Times New Roman"/>
                <w:b/>
                <w:i w:val="false"/>
                <w:color w:val="000000"/>
                <w:sz w:val="20"/>
              </w:rPr>
              <w:t>“Структура и содержание отчета</w:t>
            </w:r>
          </w:p>
          <w:p>
            <w:pPr>
              <w:spacing w:after="20"/>
              <w:ind w:left="20"/>
              <w:jc w:val="both"/>
            </w:pPr>
            <w:r>
              <w:rPr>
                <w:rFonts w:ascii="Times New Roman"/>
                <w:b w:val="false"/>
                <w:i w:val="false"/>
                <w:color w:val="000000"/>
                <w:sz w:val="20"/>
              </w:rPr>
              <w:t>
</w:t>
            </w:r>
            <w:r>
              <w:rPr>
                <w:rFonts w:ascii="Times New Roman"/>
                <w:b/>
                <w:i w:val="false"/>
                <w:color w:val="000000"/>
                <w:sz w:val="20"/>
              </w:rPr>
              <w:t>о клиническом исследовании”</w:t>
            </w:r>
          </w:p>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пациентов</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0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пациентов</w:t>
            </w:r>
            <w:r>
              <w:rPr>
                <w:rFonts w:ascii="Times New Roman"/>
                <w:b w:val="false"/>
                <w:i w:val="false"/>
                <w:color w:val="000000"/>
                <w:sz w:val="20"/>
              </w:rPr>
              <w:t xml:space="preserve">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N=2670 СКРИНИРОВАНО ПАЦИЕНТОВ</w:t>
            </w:r>
          </w:p>
          <w:p>
            <w:pPr>
              <w:spacing w:after="20"/>
              <w:ind w:left="20"/>
              <w:jc w:val="both"/>
            </w:pPr>
            <w:r>
              <w:rPr>
                <w:rFonts w:ascii="Times New Roman"/>
                <w:b w:val="false"/>
                <w:i w:val="false"/>
                <w:color w:val="000000"/>
                <w:sz w:val="20"/>
              </w:rPr>
              <w:t xml:space="preserve">
N=1732 РАНДОМИЗИРОВАНО </w:t>
            </w:r>
          </w:p>
          <w:p>
            <w:pPr>
              <w:spacing w:after="20"/>
              <w:ind w:left="20"/>
              <w:jc w:val="both"/>
            </w:pPr>
            <w:r>
              <w:rPr>
                <w:rFonts w:ascii="Times New Roman"/>
                <w:b w:val="false"/>
                <w:i w:val="false"/>
                <w:color w:val="000000"/>
                <w:sz w:val="20"/>
              </w:rPr>
              <w:t xml:space="preserve">
N=938 ВЫБЫЛИ, ПРИЧИНЫ ВЫБЫТИЯ ПАЦИЕНТОВ ПРИ СКРИНИНГЕ </w:t>
            </w:r>
          </w:p>
          <w:p>
            <w:pPr>
              <w:spacing w:after="20"/>
              <w:ind w:left="20"/>
              <w:jc w:val="both"/>
            </w:pPr>
            <w:r>
              <w:rPr>
                <w:rFonts w:ascii="Times New Roman"/>
                <w:b w:val="false"/>
                <w:i w:val="false"/>
                <w:color w:val="000000"/>
                <w:sz w:val="20"/>
              </w:rPr>
              <w:t>
N=1724 ПАЦИЕНТЫ ПОЛУЧАВШИЕ ЛЕЧЕНИЕ В ДВОЙНОМ СЛЕПОМ ДИЗАЙНЕ</w:t>
            </w:r>
          </w:p>
          <w:p>
            <w:pPr>
              <w:spacing w:after="20"/>
              <w:ind w:left="20"/>
              <w:jc w:val="both"/>
            </w:pPr>
            <w:r>
              <w:rPr>
                <w:rFonts w:ascii="Times New Roman"/>
                <w:b w:val="false"/>
                <w:i w:val="false"/>
                <w:color w:val="000000"/>
                <w:sz w:val="20"/>
              </w:rPr>
              <w:t>
N=8 НЕ ПОЛУЧАЛИ НИКАКОГО ЛЕЧЕНИЯ,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6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w:t>
            </w:r>
            <w:r>
              <w:rPr>
                <w:rFonts w:ascii="Times New Roman"/>
                <w:b/>
                <w:i w:val="false"/>
                <w:color w:val="000000"/>
                <w:sz w:val="20"/>
              </w:rPr>
              <w:t>Приложение 2.6</w:t>
            </w:r>
          </w:p>
          <w:bookmarkEnd w:id="22"/>
          <w:p>
            <w:pPr>
              <w:spacing w:after="20"/>
              <w:ind w:left="20"/>
              <w:jc w:val="both"/>
            </w:pPr>
            <w:r>
              <w:rPr>
                <w:rFonts w:ascii="Times New Roman"/>
                <w:b w:val="false"/>
                <w:i w:val="false"/>
                <w:color w:val="000000"/>
                <w:sz w:val="20"/>
              </w:rPr>
              <w:t>
</w:t>
            </w:r>
            <w:r>
              <w:rPr>
                <w:rFonts w:ascii="Times New Roman"/>
                <w:b/>
                <w:i w:val="false"/>
                <w:color w:val="000000"/>
                <w:sz w:val="20"/>
              </w:rPr>
              <w:t>к Приложению 2</w:t>
            </w:r>
          </w:p>
          <w:p>
            <w:pPr>
              <w:spacing w:after="20"/>
              <w:ind w:left="20"/>
              <w:jc w:val="both"/>
            </w:pPr>
            <w:r>
              <w:rPr>
                <w:rFonts w:ascii="Times New Roman"/>
                <w:b w:val="false"/>
                <w:i w:val="false"/>
                <w:color w:val="000000"/>
                <w:sz w:val="20"/>
              </w:rPr>
              <w:t>
</w:t>
            </w:r>
            <w:r>
              <w:rPr>
                <w:rFonts w:ascii="Times New Roman"/>
                <w:b/>
                <w:i w:val="false"/>
                <w:color w:val="000000"/>
                <w:sz w:val="20"/>
              </w:rPr>
              <w:t>“Структура и содержание отчета</w:t>
            </w:r>
          </w:p>
          <w:p>
            <w:pPr>
              <w:spacing w:after="20"/>
              <w:ind w:left="20"/>
              <w:jc w:val="both"/>
            </w:pPr>
            <w:r>
              <w:rPr>
                <w:rFonts w:ascii="Times New Roman"/>
                <w:b w:val="false"/>
                <w:i w:val="false"/>
                <w:color w:val="000000"/>
                <w:sz w:val="20"/>
              </w:rPr>
              <w:t>
</w:t>
            </w:r>
            <w:r>
              <w:rPr>
                <w:rFonts w:ascii="Times New Roman"/>
                <w:b/>
                <w:i w:val="false"/>
                <w:color w:val="000000"/>
                <w:sz w:val="20"/>
              </w:rPr>
              <w:t>о клиническом исследовании”</w:t>
            </w:r>
          </w:p>
          <w:p>
            <w:pPr>
              <w:spacing w:after="20"/>
              <w:ind w:left="20"/>
              <w:jc w:val="both"/>
            </w:pPr>
            <w:r>
              <w:rPr>
                <w:rFonts w:ascii="Times New Roman"/>
                <w:b w:val="false"/>
                <w:i w:val="false"/>
                <w:color w:val="000000"/>
                <w:sz w:val="20"/>
              </w:rPr>
              <w:t>
</w:t>
            </w:r>
            <w:r>
              <w:rPr>
                <w:rFonts w:ascii="Times New Roman"/>
                <w:b/>
                <w:i w:val="false"/>
                <w:color w:val="000000"/>
                <w:sz w:val="20"/>
              </w:rPr>
              <w:t>Список пациентов, досрочно прекративших прием препарата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ИССЛЕДОВАНИЕ №</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(Идентификация набора данных)</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СПИСОК ПАЦИЕНТОВ, ДОСРОЧНО ВЫБЫВШИХ ИЗ ИССЛЕДОВАНИЯ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568"/>
              <w:gridCol w:w="964"/>
              <w:gridCol w:w="964"/>
              <w:gridCol w:w="1568"/>
              <w:gridCol w:w="964"/>
              <w:gridCol w:w="964"/>
              <w:gridCol w:w="1568"/>
              <w:gridCol w:w="2173"/>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Лечение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Возраст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w:t>
                  </w:r>
                  <w:r>
                    <w:rPr>
                      <w:rFonts w:ascii="Times New Roman"/>
                      <w:b w:val="false"/>
                      <w:i w:val="false"/>
                      <w:color w:val="000000"/>
                      <w:sz w:val="20"/>
                      <w:u w:val="single"/>
                    </w:rPr>
                    <w:t>визит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Длительность</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Доза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w:t>
                  </w:r>
                  <w:r>
                    <w:rPr>
                      <w:rFonts w:ascii="Times New Roman"/>
                      <w:b w:val="false"/>
                      <w:i w:val="false"/>
                      <w:color w:val="000000"/>
                      <w:sz w:val="20"/>
                      <w:u w:val="single"/>
                    </w:rPr>
                    <w:t>лечение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Прекращения</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препарат/экспериментальный препарат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Нежелательная</w:t>
                  </w:r>
                </w:p>
                <w:p>
                  <w:pPr>
                    <w:spacing w:after="20"/>
                    <w:ind w:left="20"/>
                    <w:jc w:val="both"/>
                  </w:pPr>
                  <w:r>
                    <w:rPr>
                      <w:rFonts w:ascii="Times New Roman"/>
                      <w:b w:val="false"/>
                      <w:i w:val="false"/>
                      <w:color w:val="000000"/>
                      <w:sz w:val="20"/>
                    </w:rPr>
                    <w:t>
реакция*</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Неэффективность препарата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Лечение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Возраст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Последний </w:t>
                  </w:r>
                  <w:r>
                    <w:rPr>
                      <w:rFonts w:ascii="Times New Roman"/>
                      <w:b w:val="false"/>
                      <w:i w:val="false"/>
                      <w:color w:val="000000"/>
                      <w:sz w:val="20"/>
                      <w:u w:val="single"/>
                    </w:rPr>
                    <w:t>визит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Длительность</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Доза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w:t>
                  </w:r>
                  <w:r>
                    <w:rPr>
                      <w:rFonts w:ascii="Times New Roman"/>
                      <w:b w:val="false"/>
                      <w:i w:val="false"/>
                      <w:color w:val="000000"/>
                      <w:sz w:val="20"/>
                      <w:u w:val="single"/>
                    </w:rPr>
                    <w:t>Лечение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Прекращения</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Лечение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Возраст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визит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Длительность</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Доза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Сопутствующее </w:t>
                  </w:r>
                  <w:r>
                    <w:rPr>
                      <w:rFonts w:ascii="Times New Roman"/>
                      <w:b w:val="false"/>
                      <w:i w:val="false"/>
                      <w:color w:val="000000"/>
                      <w:sz w:val="20"/>
                      <w:u w:val="single"/>
                    </w:rPr>
                    <w:t>лечение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Прекращения</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*Специфическая реакция, явившаяся причиной прекращения приема </w:t>
            </w:r>
          </w:p>
          <w:p>
            <w:pPr>
              <w:spacing w:after="20"/>
              <w:ind w:left="20"/>
              <w:jc w:val="both"/>
            </w:pPr>
            <w:r>
              <w:rPr>
                <w:rFonts w:ascii="Times New Roman"/>
                <w:b w:val="false"/>
                <w:i w:val="false"/>
                <w:color w:val="000000"/>
                <w:sz w:val="20"/>
              </w:rPr>
              <w:t>
</w:t>
            </w:r>
            <w:r>
              <w:rPr>
                <w:rFonts w:ascii="Times New Roman"/>
                <w:b w:val="false"/>
                <w:i/>
                <w:color w:val="000000"/>
                <w:sz w:val="20"/>
              </w:rPr>
              <w:t>(Повторить для других центров)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w:t>
            </w:r>
            <w:r>
              <w:rPr>
                <w:rFonts w:ascii="Times New Roman"/>
                <w:b/>
                <w:i w:val="false"/>
                <w:color w:val="000000"/>
                <w:sz w:val="20"/>
              </w:rPr>
              <w:t>Приложение 2.7</w:t>
            </w:r>
          </w:p>
          <w:bookmarkEnd w:id="23"/>
          <w:p>
            <w:pPr>
              <w:spacing w:after="20"/>
              <w:ind w:left="20"/>
              <w:jc w:val="both"/>
            </w:pPr>
            <w:r>
              <w:rPr>
                <w:rFonts w:ascii="Times New Roman"/>
                <w:b w:val="false"/>
                <w:i w:val="false"/>
                <w:color w:val="000000"/>
                <w:sz w:val="20"/>
              </w:rPr>
              <w:t>
</w:t>
            </w:r>
            <w:r>
              <w:rPr>
                <w:rFonts w:ascii="Times New Roman"/>
                <w:b/>
                <w:i w:val="false"/>
                <w:color w:val="000000"/>
                <w:sz w:val="20"/>
              </w:rPr>
              <w:t>к Приложению 2</w:t>
            </w:r>
          </w:p>
          <w:p>
            <w:pPr>
              <w:spacing w:after="20"/>
              <w:ind w:left="20"/>
              <w:jc w:val="both"/>
            </w:pPr>
            <w:r>
              <w:rPr>
                <w:rFonts w:ascii="Times New Roman"/>
                <w:b w:val="false"/>
                <w:i w:val="false"/>
                <w:color w:val="000000"/>
                <w:sz w:val="20"/>
              </w:rPr>
              <w:t>
</w:t>
            </w:r>
            <w:r>
              <w:rPr>
                <w:rFonts w:ascii="Times New Roman"/>
                <w:b/>
                <w:i w:val="false"/>
                <w:color w:val="000000"/>
                <w:sz w:val="20"/>
              </w:rPr>
              <w:t>“Структура и содержание отчета</w:t>
            </w:r>
          </w:p>
          <w:p>
            <w:pPr>
              <w:spacing w:after="20"/>
              <w:ind w:left="20"/>
              <w:jc w:val="both"/>
            </w:pPr>
            <w:r>
              <w:rPr>
                <w:rFonts w:ascii="Times New Roman"/>
                <w:b w:val="false"/>
                <w:i w:val="false"/>
                <w:color w:val="000000"/>
                <w:sz w:val="20"/>
              </w:rPr>
              <w:t>
</w:t>
            </w:r>
            <w:r>
              <w:rPr>
                <w:rFonts w:ascii="Times New Roman"/>
                <w:b/>
                <w:i w:val="false"/>
                <w:color w:val="000000"/>
                <w:sz w:val="20"/>
              </w:rPr>
              <w:t>о клиническом исследовании”</w:t>
            </w:r>
          </w:p>
          <w:p>
            <w:pPr>
              <w:spacing w:after="20"/>
              <w:ind w:left="20"/>
              <w:jc w:val="both"/>
            </w:pPr>
            <w:r>
              <w:rPr>
                <w:rFonts w:ascii="Times New Roman"/>
                <w:b w:val="false"/>
                <w:i w:val="false"/>
                <w:color w:val="000000"/>
                <w:sz w:val="20"/>
              </w:rPr>
              <w:t>
</w:t>
            </w:r>
            <w:r>
              <w:rPr>
                <w:rFonts w:ascii="Times New Roman"/>
                <w:b/>
                <w:i w:val="false"/>
                <w:color w:val="000000"/>
                <w:sz w:val="20"/>
              </w:rPr>
              <w:t>СПИСОК ПАЦИЕНТОВ И НАБЛЮДЕНИЙ, ИСКЛЮЧЕННЫХ ИЗ АНАЛИЗА ЭФФЕКТИВНОСТИ</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ИССЛЕДОВАНИЕ №</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(Идентификация набора данных)</w:t>
            </w:r>
          </w:p>
          <w:p>
            <w:pPr>
              <w:spacing w:after="20"/>
              <w:ind w:left="20"/>
              <w:jc w:val="both"/>
            </w:pPr>
            <w:r>
              <w:rPr>
                <w:rFonts w:ascii="Times New Roman"/>
                <w:b w:val="false"/>
                <w:i w:val="false"/>
                <w:color w:val="000000"/>
                <w:sz w:val="20"/>
              </w:rPr>
              <w:t>
</w:t>
            </w:r>
            <w:r>
              <w:rPr>
                <w:rFonts w:ascii="Times New Roman"/>
                <w:b/>
                <w:i w:val="false"/>
                <w:color w:val="000000"/>
                <w:sz w:val="20"/>
              </w:rPr>
              <w:t>СПИСОК ПАЦИЕНТОВ И НАБЛЮДЕНИЙ, ИСКЛЮЧЕННЫХ ИЗ АНАЛИЗА 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1561"/>
              <w:gridCol w:w="1561"/>
              <w:gridCol w:w="2540"/>
              <w:gridCol w:w="1562"/>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Лечение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Возраст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из</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наблюдения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прекращения</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препарат/экспериментальный препарат</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Лечение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Возраст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из</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наблюдения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прекращения</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Лечение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Пациент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Возраст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из</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наблюдения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прекращения</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(Повторить для других центров)</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Справочные таблицы</w:t>
            </w:r>
          </w:p>
          <w:p>
            <w:pPr>
              <w:spacing w:after="20"/>
              <w:ind w:left="20"/>
              <w:jc w:val="both"/>
            </w:pPr>
            <w:r>
              <w:rPr>
                <w:rFonts w:ascii="Times New Roman"/>
                <w:b w:val="false"/>
                <w:i w:val="false"/>
                <w:color w:val="000000"/>
                <w:sz w:val="20"/>
              </w:rPr>
              <w:t>
Краткое обобщение: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w:t>
            </w:r>
            <w:r>
              <w:rPr>
                <w:rFonts w:ascii="Times New Roman"/>
                <w:b/>
                <w:i w:val="false"/>
                <w:color w:val="000000"/>
                <w:sz w:val="20"/>
              </w:rPr>
              <w:t xml:space="preserve">Приложение 2.8 </w:t>
            </w:r>
          </w:p>
          <w:bookmarkEnd w:id="24"/>
          <w:p>
            <w:pPr>
              <w:spacing w:after="20"/>
              <w:ind w:left="20"/>
              <w:jc w:val="both"/>
            </w:pPr>
            <w:r>
              <w:rPr>
                <w:rFonts w:ascii="Times New Roman"/>
                <w:b w:val="false"/>
                <w:i w:val="false"/>
                <w:color w:val="000000"/>
                <w:sz w:val="20"/>
              </w:rPr>
              <w:t>
</w:t>
            </w:r>
            <w:r>
              <w:rPr>
                <w:rFonts w:ascii="Times New Roman"/>
                <w:b/>
                <w:i w:val="false"/>
                <w:color w:val="000000"/>
                <w:sz w:val="20"/>
              </w:rPr>
              <w:t>к Приложению 2</w:t>
            </w:r>
          </w:p>
          <w:p>
            <w:pPr>
              <w:spacing w:after="20"/>
              <w:ind w:left="20"/>
              <w:jc w:val="both"/>
            </w:pPr>
            <w:r>
              <w:rPr>
                <w:rFonts w:ascii="Times New Roman"/>
                <w:b w:val="false"/>
                <w:i w:val="false"/>
                <w:color w:val="000000"/>
                <w:sz w:val="20"/>
              </w:rPr>
              <w:t>
</w:t>
            </w:r>
            <w:r>
              <w:rPr>
                <w:rFonts w:ascii="Times New Roman"/>
                <w:b/>
                <w:i w:val="false"/>
                <w:color w:val="000000"/>
                <w:sz w:val="20"/>
              </w:rPr>
              <w:t>“Структура и содержание отчета</w:t>
            </w:r>
          </w:p>
          <w:p>
            <w:pPr>
              <w:spacing w:after="20"/>
              <w:ind w:left="20"/>
              <w:jc w:val="both"/>
            </w:pPr>
            <w:r>
              <w:rPr>
                <w:rFonts w:ascii="Times New Roman"/>
                <w:b w:val="false"/>
                <w:i w:val="false"/>
                <w:color w:val="000000"/>
                <w:sz w:val="20"/>
              </w:rPr>
              <w:t>
</w:t>
            </w:r>
            <w:r>
              <w:rPr>
                <w:rFonts w:ascii="Times New Roman"/>
                <w:b/>
                <w:i w:val="false"/>
                <w:color w:val="000000"/>
                <w:sz w:val="20"/>
              </w:rPr>
              <w:t>о клиническом исследовании”</w:t>
            </w:r>
          </w:p>
          <w:p>
            <w:pPr>
              <w:spacing w:after="20"/>
              <w:ind w:left="20"/>
              <w:jc w:val="both"/>
            </w:pPr>
            <w:r>
              <w:rPr>
                <w:rFonts w:ascii="Times New Roman"/>
                <w:b w:val="false"/>
                <w:i w:val="false"/>
                <w:color w:val="000000"/>
                <w:sz w:val="20"/>
              </w:rPr>
              <w:t>
</w:t>
            </w:r>
            <w:r>
              <w:rPr>
                <w:rFonts w:ascii="Times New Roman"/>
                <w:b/>
                <w:i w:val="false"/>
                <w:color w:val="000000"/>
                <w:sz w:val="20"/>
              </w:rPr>
              <w:t>КОЛИЧЕСТВО ПАЦИЕНТОВ И НАБЛЮДЕНИЙ, ИСКЛЮЧЕННЫХ ИЗ АНАЛИЗА ЭФФЕКТИВНОСТИ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ИССЛЕДОВАНИЕ №</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(Идентификация набора данных)</w:t>
            </w:r>
          </w:p>
          <w:p>
            <w:pPr>
              <w:spacing w:after="20"/>
              <w:ind w:left="20"/>
              <w:jc w:val="both"/>
            </w:pPr>
            <w:r>
              <w:rPr>
                <w:rFonts w:ascii="Times New Roman"/>
                <w:b w:val="false"/>
                <w:i w:val="false"/>
                <w:color w:val="000000"/>
                <w:sz w:val="20"/>
              </w:rPr>
              <w:t>
</w:t>
            </w:r>
            <w:r>
              <w:rPr>
                <w:rFonts w:ascii="Times New Roman"/>
                <w:b/>
                <w:i w:val="false"/>
                <w:color w:val="000000"/>
                <w:sz w:val="20"/>
              </w:rPr>
              <w:t>ЧИСЛО ПАЦИЕНТОВ, ИСКЛЮЧЕННЫХ ИЗ АНАЛИЗА ЭФФЕКТИВНОСТИ</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Исследуемый препарат/экспериментальный препарат         N =</w:t>
            </w:r>
          </w:p>
          <w:p>
            <w:pPr>
              <w:spacing w:after="20"/>
              <w:ind w:left="20"/>
              <w:jc w:val="both"/>
            </w:pPr>
            <w:r>
              <w:rPr>
                <w:rFonts w:ascii="Times New Roman"/>
                <w:b w:val="false"/>
                <w:i w:val="false"/>
                <w:color w:val="000000"/>
                <w:sz w:val="20"/>
              </w:rPr>
              <w:t>
</w:t>
            </w:r>
            <w:r>
              <w:rPr>
                <w:rFonts w:ascii="Times New Roman"/>
                <w:b/>
                <w:i w:val="false"/>
                <w:color w:val="000000"/>
                <w:sz w:val="20"/>
              </w:rPr>
              <w:t>Неделя</w:t>
            </w:r>
          </w:p>
          <w:p>
            <w:pPr>
              <w:spacing w:after="20"/>
              <w:ind w:left="20"/>
              <w:jc w:val="both"/>
            </w:pPr>
            <w:r>
              <w:rPr>
                <w:rFonts w:ascii="Times New Roman"/>
                <w:b w:val="false"/>
                <w:i w:val="false"/>
                <w:color w:val="000000"/>
                <w:sz w:val="20"/>
              </w:rPr>
              <w:t>
</w:t>
            </w:r>
            <w:r>
              <w:rPr>
                <w:rFonts w:ascii="Times New Roman"/>
                <w:b/>
                <w:i w:val="false"/>
                <w:color w:val="000000"/>
                <w:sz w:val="20"/>
              </w:rPr>
              <w:t>Причина         1                2               4              8</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Итого      </w:t>
            </w:r>
            <w:r>
              <w:rPr>
                <w:rFonts w:ascii="Times New Roman"/>
                <w:b w:val="false"/>
                <w:i w:val="false"/>
                <w:color w:val="000000"/>
                <w:sz w:val="20"/>
              </w:rPr>
              <w:t>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Аналогичные таблицы подготавливаются  для других групп лечения.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w:t>
            </w:r>
            <w:r>
              <w:rPr>
                <w:rFonts w:ascii="Times New Roman"/>
                <w:b/>
                <w:i w:val="false"/>
                <w:color w:val="000000"/>
                <w:sz w:val="20"/>
              </w:rPr>
              <w:t>Приложение 2.9</w:t>
            </w:r>
          </w:p>
          <w:bookmarkEnd w:id="25"/>
          <w:p>
            <w:pPr>
              <w:spacing w:after="20"/>
              <w:ind w:left="20"/>
              <w:jc w:val="both"/>
            </w:pPr>
            <w:r>
              <w:rPr>
                <w:rFonts w:ascii="Times New Roman"/>
                <w:b w:val="false"/>
                <w:i w:val="false"/>
                <w:color w:val="000000"/>
                <w:sz w:val="20"/>
              </w:rPr>
              <w:t>
</w:t>
            </w:r>
            <w:r>
              <w:rPr>
                <w:rFonts w:ascii="Times New Roman"/>
                <w:b/>
                <w:i w:val="false"/>
                <w:color w:val="000000"/>
                <w:sz w:val="20"/>
              </w:rPr>
              <w:t>к Приложению 2</w:t>
            </w:r>
          </w:p>
          <w:p>
            <w:pPr>
              <w:spacing w:after="20"/>
              <w:ind w:left="20"/>
              <w:jc w:val="both"/>
            </w:pPr>
            <w:r>
              <w:rPr>
                <w:rFonts w:ascii="Times New Roman"/>
                <w:b w:val="false"/>
                <w:i w:val="false"/>
                <w:color w:val="000000"/>
                <w:sz w:val="20"/>
              </w:rPr>
              <w:t>
</w:t>
            </w:r>
            <w:r>
              <w:rPr>
                <w:rFonts w:ascii="Times New Roman"/>
                <w:b/>
                <w:i w:val="false"/>
                <w:color w:val="000000"/>
                <w:sz w:val="20"/>
              </w:rPr>
              <w:t>“Структура и содержание отчета</w:t>
            </w:r>
          </w:p>
          <w:p>
            <w:pPr>
              <w:spacing w:after="20"/>
              <w:ind w:left="20"/>
              <w:jc w:val="both"/>
            </w:pPr>
            <w:r>
              <w:rPr>
                <w:rFonts w:ascii="Times New Roman"/>
                <w:b w:val="false"/>
                <w:i w:val="false"/>
                <w:color w:val="000000"/>
                <w:sz w:val="20"/>
              </w:rPr>
              <w:t>
</w:t>
            </w:r>
            <w:r>
              <w:rPr>
                <w:rFonts w:ascii="Times New Roman"/>
                <w:b/>
                <w:i w:val="false"/>
                <w:color w:val="000000"/>
                <w:sz w:val="20"/>
              </w:rPr>
              <w:t>о клиническом исследовании”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СТАТИСТИЧЕСКИЕ АСПЕКТЫ И МЕТОДЫ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Статистические аспекты</w:t>
            </w:r>
          </w:p>
          <w:p>
            <w:pPr>
              <w:spacing w:after="20"/>
              <w:ind w:left="20"/>
              <w:jc w:val="both"/>
            </w:pPr>
            <w:r>
              <w:rPr>
                <w:rFonts w:ascii="Times New Roman"/>
                <w:b w:val="false"/>
                <w:i w:val="false"/>
                <w:color w:val="000000"/>
                <w:sz w:val="20"/>
              </w:rPr>
              <w:t>
   В приложении представляется подробная информация о статистическом анализе, выполненном по каждой первичной переменной эффективности. Отчетные данные включают по крайней мере следующую информацию:</w:t>
            </w:r>
          </w:p>
          <w:p>
            <w:pPr>
              <w:spacing w:after="20"/>
              <w:ind w:left="20"/>
              <w:jc w:val="both"/>
            </w:pPr>
            <w:r>
              <w:rPr>
                <w:rFonts w:ascii="Times New Roman"/>
                <w:b w:val="false"/>
                <w:i w:val="false"/>
                <w:color w:val="000000"/>
                <w:sz w:val="20"/>
              </w:rPr>
              <w:t>
   1) статистическая модель, лежащая в основе анализа, описывается точно и полно с использованием ссылок;</w:t>
            </w:r>
          </w:p>
          <w:p>
            <w:pPr>
              <w:spacing w:after="20"/>
              <w:ind w:left="20"/>
              <w:jc w:val="both"/>
            </w:pPr>
            <w:r>
              <w:rPr>
                <w:rFonts w:ascii="Times New Roman"/>
                <w:b w:val="false"/>
                <w:i w:val="false"/>
                <w:color w:val="000000"/>
                <w:sz w:val="20"/>
              </w:rPr>
              <w:t>
   2) формулировка проверяемого клинического предположения, сформулированная в точных статистических терминах, в виде нулевой и альтернативной гипотезы;</w:t>
            </w:r>
          </w:p>
          <w:p>
            <w:pPr>
              <w:spacing w:after="20"/>
              <w:ind w:left="20"/>
              <w:jc w:val="both"/>
            </w:pPr>
            <w:r>
              <w:rPr>
                <w:rFonts w:ascii="Times New Roman"/>
                <w:b w:val="false"/>
                <w:i w:val="false"/>
                <w:color w:val="000000"/>
                <w:sz w:val="20"/>
              </w:rPr>
              <w:t>
   3) статистические методы, применяемые для оценки эффективности, расчета доверительных интервалов с привидением списка литературы;</w:t>
            </w:r>
          </w:p>
          <w:p>
            <w:pPr>
              <w:spacing w:after="20"/>
              <w:ind w:left="20"/>
              <w:jc w:val="both"/>
            </w:pPr>
            <w:r>
              <w:rPr>
                <w:rFonts w:ascii="Times New Roman"/>
                <w:b w:val="false"/>
                <w:i w:val="false"/>
                <w:color w:val="000000"/>
                <w:sz w:val="20"/>
              </w:rPr>
              <w:t>
   4) допущения, лежащие в основе статистических методов. Следует показать насколько статистически обосновано имеющиеся данные удовлетворяют основным предположениям, особенно если необходимо подтвердить обоснование сделанного вывода. Если большая часть статистического анализа выполнена спонсором, отражаются какие виды анализа были запланированы до получения данных исследования и, если таковых не было, следует указать, как удалось предотвратить системные ошибки в выборе конкретного анализа, используемого как основание для оценки выводов. Особенно важно в случае любого анализа подгрупп, поскольку, если такие анализы заранее не запланированы, они обычно не обеспечивают адекватной основы для окончательных выводов.</w:t>
            </w:r>
          </w:p>
          <w:p>
            <w:pPr>
              <w:spacing w:after="20"/>
              <w:ind w:left="20"/>
              <w:jc w:val="both"/>
            </w:pPr>
            <w:r>
              <w:rPr>
                <w:rFonts w:ascii="Times New Roman"/>
                <w:b w:val="false"/>
                <w:i w:val="false"/>
                <w:color w:val="000000"/>
                <w:sz w:val="20"/>
              </w:rPr>
              <w:t>
   В случае если было выполнено преобразование данных, предоставляется обоснование выбора вида преобразования данных наряду с интерпретацией оценки эффективности лечения, основанного на преобразованных данных.</w:t>
            </w:r>
          </w:p>
          <w:p>
            <w:pPr>
              <w:spacing w:after="20"/>
              <w:ind w:left="20"/>
              <w:jc w:val="both"/>
            </w:pPr>
            <w:r>
              <w:rPr>
                <w:rFonts w:ascii="Times New Roman"/>
                <w:b w:val="false"/>
                <w:i w:val="false"/>
                <w:color w:val="000000"/>
                <w:sz w:val="20"/>
              </w:rPr>
              <w:t>
   Обсуждение целесообразности выбора статистической процедуры и достоверности статистических выводов поможет эксперту уполномоченного органа по оценке статистической части отчета принять решение о том, требуется ли воспроизводить анализ данных для проверки.</w:t>
            </w:r>
          </w:p>
          <w:p>
            <w:pPr>
              <w:spacing w:after="20"/>
              <w:ind w:left="20"/>
              <w:jc w:val="both"/>
            </w:pPr>
            <w:r>
              <w:rPr>
                <w:rFonts w:ascii="Times New Roman"/>
                <w:b w:val="false"/>
                <w:i w:val="false"/>
                <w:color w:val="000000"/>
                <w:sz w:val="20"/>
              </w:rPr>
              <w:t>
   5) Тестовая статистика, лежащая в основе критерия, выборочное распределение тестовой статистики по нулевой гипотезе, значение тестовой статистики, уровень значимости (p-значение), и промежуточные итоговые данные представляются в формате, который позволит эксперту уполномоченного органа по оценке статистической части отчета быстро и качественно проверить результаты анализов. Указываются, какие значения критерия значимости (р-значения) – односторонние или двусторонние выбраны для анализа. При этом предоставляется обоснование для использования одностороннего критерия.</w:t>
            </w:r>
          </w:p>
          <w:p>
            <w:pPr>
              <w:spacing w:after="20"/>
              <w:ind w:left="20"/>
              <w:jc w:val="both"/>
            </w:pPr>
            <w:r>
              <w:rPr>
                <w:rFonts w:ascii="Times New Roman"/>
                <w:b w:val="false"/>
                <w:i w:val="false"/>
                <w:color w:val="000000"/>
                <w:sz w:val="20"/>
              </w:rPr>
              <w:t>
   В отчете с использованием двустороннего t-критерия приводятся значения t-статистики, связанных с ним степеней свободы, p-значения, размер каждой из двух сравниваемых выборок, значения среднего и дисперсии для каждой из выборок и суммарной оценки общей дисперсии. В отчете по мультицентровому исследованию с использованием техники дисперсионного анализа приводятся, как минимум, таблица дисперсионного анализа с показателями для центра, лечения, их взаимодействия, остаточной ошибки и общего итога. При перекрестном дизайне в отчете указывается информация относительно статистик по последовательностям, пациентам в последовательностях, исходным данным в начале каждого периода, в периоде отмывки и его продолжительности, выбывании пациентов в течение каждого периода, лечения, периодов, лечения по периоду взаимодействия, ошибки и общем итоге. Для каждого источника вариации помимо общего итога, таблица включает степени свободы, сумму квадратов, среднее квадратичное отклонение, соответствующий F-критерий, p-значение, и математическое ожидание среднего квадратичного отклонения.</w:t>
            </w:r>
          </w:p>
          <w:p>
            <w:pPr>
              <w:spacing w:after="20"/>
              <w:ind w:left="20"/>
              <w:jc w:val="both"/>
            </w:pPr>
            <w:r>
              <w:rPr>
                <w:rFonts w:ascii="Times New Roman"/>
                <w:b w:val="false"/>
                <w:i w:val="false"/>
                <w:color w:val="000000"/>
                <w:sz w:val="20"/>
              </w:rPr>
              <w:t>
   Промежуточные итоговые данные отображают демографические данные, а также данные об ответной реакции, усредненные или иным способом обобщенные для каждой комбинации условий относительно вида лечения (или другие расчетные характеристики, такие как последовательность) в каждом периоде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2. Формат и технические данные, которые представляются по требованию экспертов уполномоченных органов, оценивающих статистику</w:t>
            </w:r>
          </w:p>
          <w:p>
            <w:pPr>
              <w:spacing w:after="20"/>
              <w:ind w:left="20"/>
              <w:jc w:val="both"/>
            </w:pPr>
            <w:r>
              <w:rPr>
                <w:rFonts w:ascii="Times New Roman"/>
                <w:b w:val="false"/>
                <w:i w:val="false"/>
                <w:color w:val="000000"/>
                <w:sz w:val="20"/>
              </w:rPr>
              <w:t>
   В отчете каждого контролируемого клинического исследования, указываются списки данных (таблицы) о соответствующих данных пациентов, включенных (отобранных) спонсором для статистического анализа и таблиц для обоснования заключений и основных выводов. Эти списки данных необходимы для оценки статистической части отчета уполномоченным органом. Спонсора также могут попросить предоставить эти списки данных по пациентам в виде пригодном для компьютерного считывания.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w:t>
            </w:r>
            <w:r>
              <w:rPr>
                <w:rFonts w:ascii="Times New Roman"/>
                <w:b/>
                <w:i w:val="false"/>
                <w:color w:val="000000"/>
                <w:sz w:val="20"/>
              </w:rPr>
              <w:t xml:space="preserve">Приложение 3    </w:t>
            </w:r>
          </w:p>
          <w:bookmarkEnd w:id="26"/>
          <w:p>
            <w:pPr>
              <w:spacing w:after="20"/>
              <w:ind w:left="20"/>
              <w:jc w:val="both"/>
            </w:pPr>
            <w:r>
              <w:rPr>
                <w:rFonts w:ascii="Times New Roman"/>
                <w:b w:val="false"/>
                <w:i w:val="false"/>
                <w:color w:val="000000"/>
                <w:sz w:val="20"/>
              </w:rPr>
              <w:t>
</w:t>
            </w:r>
            <w:r>
              <w:rPr>
                <w:rFonts w:ascii="Times New Roman"/>
                <w:b/>
                <w:i w:val="false"/>
                <w:color w:val="000000"/>
                <w:sz w:val="20"/>
              </w:rPr>
              <w:t>к Стандарту надлежащей</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клинической практики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ПЕРЕЧЕНЬ ПОПРАВОК К РАЗДЕЛАМ КЛИНИЧЕСКОГО ИССЛЕДОВАНИЯ, КОТОРЫЕ РАССМАТРИВАЮТСЯ КАК СУЩЕСТВЕННЫЕ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внесения изменений в разделы протокола клинического исследования Спонсор для рассмотрения поправки в качестве существенной дает оценку значимости поправки в отношении риска и ожидаемой пользы для пациента исследования, а также научной ценности исследования.</w:t>
            </w:r>
          </w:p>
          <w:p>
            <w:pPr>
              <w:spacing w:after="20"/>
              <w:ind w:left="20"/>
              <w:jc w:val="both"/>
            </w:pPr>
            <w:r>
              <w:rPr>
                <w:rFonts w:ascii="Times New Roman"/>
                <w:b w:val="false"/>
                <w:i w:val="false"/>
                <w:color w:val="000000"/>
                <w:sz w:val="20"/>
              </w:rPr>
              <w:t>
   2. Поправки к разделам клинического исследования считаются существенными, если они могут повлиять:</w:t>
            </w:r>
          </w:p>
          <w:p>
            <w:pPr>
              <w:spacing w:after="20"/>
              <w:ind w:left="20"/>
              <w:jc w:val="both"/>
            </w:pPr>
            <w:r>
              <w:rPr>
                <w:rFonts w:ascii="Times New Roman"/>
                <w:b w:val="false"/>
                <w:i w:val="false"/>
                <w:color w:val="000000"/>
                <w:sz w:val="20"/>
              </w:rPr>
              <w:t>
   2.1. на безопасность или же физическое либо психическое благополучие пациента;</w:t>
            </w:r>
          </w:p>
          <w:p>
            <w:pPr>
              <w:spacing w:after="20"/>
              <w:ind w:left="20"/>
              <w:jc w:val="both"/>
            </w:pPr>
            <w:r>
              <w:rPr>
                <w:rFonts w:ascii="Times New Roman"/>
                <w:b w:val="false"/>
                <w:i w:val="false"/>
                <w:color w:val="000000"/>
                <w:sz w:val="20"/>
              </w:rPr>
              <w:t>
   2.2. на научную ценность исследования.</w:t>
            </w:r>
          </w:p>
          <w:p>
            <w:pPr>
              <w:spacing w:after="20"/>
              <w:ind w:left="20"/>
              <w:jc w:val="both"/>
            </w:pPr>
            <w:r>
              <w:rPr>
                <w:rFonts w:ascii="Times New Roman"/>
                <w:b w:val="false"/>
                <w:i w:val="false"/>
                <w:color w:val="000000"/>
                <w:sz w:val="20"/>
              </w:rPr>
              <w:t>
   3. Существенными поправками к разделам клинического исследования могут являться следующие изменения</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4. Изменения в протоколе исследования (испытания):</w:t>
            </w:r>
          </w:p>
          <w:p>
            <w:pPr>
              <w:spacing w:after="20"/>
              <w:ind w:left="20"/>
              <w:jc w:val="both"/>
            </w:pPr>
            <w:r>
              <w:rPr>
                <w:rFonts w:ascii="Times New Roman"/>
                <w:b w:val="false"/>
                <w:i w:val="false"/>
                <w:color w:val="000000"/>
                <w:sz w:val="20"/>
              </w:rPr>
              <w:t>
   4.1. цель исследования;</w:t>
            </w:r>
          </w:p>
          <w:p>
            <w:pPr>
              <w:spacing w:after="20"/>
              <w:ind w:left="20"/>
              <w:jc w:val="both"/>
            </w:pPr>
            <w:r>
              <w:rPr>
                <w:rFonts w:ascii="Times New Roman"/>
                <w:b w:val="false"/>
                <w:i w:val="false"/>
                <w:color w:val="000000"/>
                <w:sz w:val="20"/>
              </w:rPr>
              <w:t>
   4.2. дизайн исследования;</w:t>
            </w:r>
          </w:p>
          <w:p>
            <w:pPr>
              <w:spacing w:after="20"/>
              <w:ind w:left="20"/>
              <w:jc w:val="both"/>
            </w:pPr>
            <w:r>
              <w:rPr>
                <w:rFonts w:ascii="Times New Roman"/>
                <w:b w:val="false"/>
                <w:i w:val="false"/>
                <w:color w:val="000000"/>
                <w:sz w:val="20"/>
              </w:rPr>
              <w:t>
   4.3. информированное согласие;</w:t>
            </w:r>
          </w:p>
          <w:p>
            <w:pPr>
              <w:spacing w:after="20"/>
              <w:ind w:left="20"/>
              <w:jc w:val="both"/>
            </w:pPr>
            <w:r>
              <w:rPr>
                <w:rFonts w:ascii="Times New Roman"/>
                <w:b w:val="false"/>
                <w:i w:val="false"/>
                <w:color w:val="000000"/>
                <w:sz w:val="20"/>
              </w:rPr>
              <w:t>
   4.4. процедура отбора субъектов (пациентов);</w:t>
            </w:r>
          </w:p>
          <w:p>
            <w:pPr>
              <w:spacing w:after="20"/>
              <w:ind w:left="20"/>
              <w:jc w:val="both"/>
            </w:pPr>
            <w:r>
              <w:rPr>
                <w:rFonts w:ascii="Times New Roman"/>
                <w:b w:val="false"/>
                <w:i w:val="false"/>
                <w:color w:val="000000"/>
                <w:sz w:val="20"/>
              </w:rPr>
              <w:t>
   4.5. показатели эффективности;</w:t>
            </w:r>
          </w:p>
          <w:p>
            <w:pPr>
              <w:spacing w:after="20"/>
              <w:ind w:left="20"/>
              <w:jc w:val="both"/>
            </w:pPr>
            <w:r>
              <w:rPr>
                <w:rFonts w:ascii="Times New Roman"/>
                <w:b w:val="false"/>
                <w:i w:val="false"/>
                <w:color w:val="000000"/>
                <w:sz w:val="20"/>
              </w:rPr>
              <w:t>
   4.6. схема забора биологических образцов;</w:t>
            </w:r>
          </w:p>
          <w:p>
            <w:pPr>
              <w:spacing w:after="20"/>
              <w:ind w:left="20"/>
              <w:jc w:val="both"/>
            </w:pPr>
            <w:r>
              <w:rPr>
                <w:rFonts w:ascii="Times New Roman"/>
                <w:b w:val="false"/>
                <w:i w:val="false"/>
                <w:color w:val="000000"/>
                <w:sz w:val="20"/>
              </w:rPr>
              <w:t>
   4.7. добавление или исключение тестов или показателей;</w:t>
            </w:r>
          </w:p>
          <w:p>
            <w:pPr>
              <w:spacing w:after="20"/>
              <w:ind w:left="20"/>
              <w:jc w:val="both"/>
            </w:pPr>
            <w:r>
              <w:rPr>
                <w:rFonts w:ascii="Times New Roman"/>
                <w:b w:val="false"/>
                <w:i w:val="false"/>
                <w:color w:val="000000"/>
                <w:sz w:val="20"/>
              </w:rPr>
              <w:t>
   4.8. количество субъектов (пациентов);</w:t>
            </w:r>
          </w:p>
          <w:p>
            <w:pPr>
              <w:spacing w:after="20"/>
              <w:ind w:left="20"/>
              <w:jc w:val="both"/>
            </w:pPr>
            <w:r>
              <w:rPr>
                <w:rFonts w:ascii="Times New Roman"/>
                <w:b w:val="false"/>
                <w:i w:val="false"/>
                <w:color w:val="000000"/>
                <w:sz w:val="20"/>
              </w:rPr>
              <w:t>
   4.9. возрастной диапазон субъектов (пациентов);</w:t>
            </w:r>
          </w:p>
          <w:p>
            <w:pPr>
              <w:spacing w:after="20"/>
              <w:ind w:left="20"/>
              <w:jc w:val="both"/>
            </w:pPr>
            <w:r>
              <w:rPr>
                <w:rFonts w:ascii="Times New Roman"/>
                <w:b w:val="false"/>
                <w:i w:val="false"/>
                <w:color w:val="000000"/>
                <w:sz w:val="20"/>
              </w:rPr>
              <w:t>
   4.10. критерии включения;</w:t>
            </w:r>
          </w:p>
          <w:p>
            <w:pPr>
              <w:spacing w:after="20"/>
              <w:ind w:left="20"/>
              <w:jc w:val="both"/>
            </w:pPr>
            <w:r>
              <w:rPr>
                <w:rFonts w:ascii="Times New Roman"/>
                <w:b w:val="false"/>
                <w:i w:val="false"/>
                <w:color w:val="000000"/>
                <w:sz w:val="20"/>
              </w:rPr>
              <w:t>
   4.11. критерии исключения;</w:t>
            </w:r>
          </w:p>
          <w:p>
            <w:pPr>
              <w:spacing w:after="20"/>
              <w:ind w:left="20"/>
              <w:jc w:val="both"/>
            </w:pPr>
            <w:r>
              <w:rPr>
                <w:rFonts w:ascii="Times New Roman"/>
                <w:b w:val="false"/>
                <w:i w:val="false"/>
                <w:color w:val="000000"/>
                <w:sz w:val="20"/>
              </w:rPr>
              <w:t>
   4.12. мониторинг безопасности;</w:t>
            </w:r>
          </w:p>
          <w:p>
            <w:pPr>
              <w:spacing w:after="20"/>
              <w:ind w:left="20"/>
              <w:jc w:val="both"/>
            </w:pPr>
            <w:r>
              <w:rPr>
                <w:rFonts w:ascii="Times New Roman"/>
                <w:b w:val="false"/>
                <w:i w:val="false"/>
                <w:color w:val="000000"/>
                <w:sz w:val="20"/>
              </w:rPr>
              <w:t>
   4.13. продолжительность применения исследуемого препарата;</w:t>
            </w:r>
          </w:p>
          <w:p>
            <w:pPr>
              <w:spacing w:after="20"/>
              <w:ind w:left="20"/>
              <w:jc w:val="both"/>
            </w:pPr>
            <w:r>
              <w:rPr>
                <w:rFonts w:ascii="Times New Roman"/>
                <w:b w:val="false"/>
                <w:i w:val="false"/>
                <w:color w:val="000000"/>
                <w:sz w:val="20"/>
              </w:rPr>
              <w:t>
   4.14. изменение дозирования исследуемого препарата;</w:t>
            </w:r>
          </w:p>
          <w:p>
            <w:pPr>
              <w:spacing w:after="20"/>
              <w:ind w:left="20"/>
              <w:jc w:val="both"/>
            </w:pPr>
            <w:r>
              <w:rPr>
                <w:rFonts w:ascii="Times New Roman"/>
                <w:b w:val="false"/>
                <w:i w:val="false"/>
                <w:color w:val="000000"/>
                <w:sz w:val="20"/>
              </w:rPr>
              <w:t>
   4.15. изменение препарата сравнения;</w:t>
            </w:r>
          </w:p>
          <w:p>
            <w:pPr>
              <w:spacing w:after="20"/>
              <w:ind w:left="20"/>
              <w:jc w:val="both"/>
            </w:pPr>
            <w:r>
              <w:rPr>
                <w:rFonts w:ascii="Times New Roman"/>
                <w:b w:val="false"/>
                <w:i w:val="false"/>
                <w:color w:val="000000"/>
                <w:sz w:val="20"/>
              </w:rPr>
              <w:t>
   4.16. статистический анализ.</w:t>
            </w:r>
          </w:p>
          <w:p>
            <w:pPr>
              <w:spacing w:after="20"/>
              <w:ind w:left="20"/>
              <w:jc w:val="both"/>
            </w:pPr>
            <w:r>
              <w:rPr>
                <w:rFonts w:ascii="Times New Roman"/>
                <w:b w:val="false"/>
                <w:i w:val="false"/>
                <w:color w:val="000000"/>
                <w:sz w:val="20"/>
              </w:rPr>
              <w:t>
   5. Изменения, связанные с организацией клинического исследования:</w:t>
            </w:r>
          </w:p>
          <w:p>
            <w:pPr>
              <w:spacing w:after="20"/>
              <w:ind w:left="20"/>
              <w:jc w:val="both"/>
            </w:pPr>
            <w:r>
              <w:rPr>
                <w:rFonts w:ascii="Times New Roman"/>
                <w:b w:val="false"/>
                <w:i w:val="false"/>
                <w:color w:val="000000"/>
                <w:sz w:val="20"/>
              </w:rPr>
              <w:t>
   5.1. замена ответственного исследователя или привлечение новых ответственных исследователей;</w:t>
            </w:r>
          </w:p>
          <w:p>
            <w:pPr>
              <w:spacing w:after="20"/>
              <w:ind w:left="20"/>
              <w:jc w:val="both"/>
            </w:pPr>
            <w:r>
              <w:rPr>
                <w:rFonts w:ascii="Times New Roman"/>
                <w:b w:val="false"/>
                <w:i w:val="false"/>
                <w:color w:val="000000"/>
                <w:sz w:val="20"/>
              </w:rPr>
              <w:t>
   5.2. замена исследователя-координатора;</w:t>
            </w:r>
          </w:p>
          <w:p>
            <w:pPr>
              <w:spacing w:after="20"/>
              <w:ind w:left="20"/>
              <w:jc w:val="both"/>
            </w:pPr>
            <w:r>
              <w:rPr>
                <w:rFonts w:ascii="Times New Roman"/>
                <w:b w:val="false"/>
                <w:i w:val="false"/>
                <w:color w:val="000000"/>
                <w:sz w:val="20"/>
              </w:rPr>
              <w:t>
   5.3. замена клинической базы (медицинской организации) или добавление дополнительных клинических баз (медицинских организаций);</w:t>
            </w:r>
          </w:p>
          <w:p>
            <w:pPr>
              <w:spacing w:after="20"/>
              <w:ind w:left="20"/>
              <w:jc w:val="both"/>
            </w:pPr>
            <w:r>
              <w:rPr>
                <w:rFonts w:ascii="Times New Roman"/>
                <w:b w:val="false"/>
                <w:i w:val="false"/>
                <w:color w:val="000000"/>
                <w:sz w:val="20"/>
              </w:rPr>
              <w:t>
   5.4. замена спонсора или официального представителя спонсора;</w:t>
            </w:r>
          </w:p>
          <w:p>
            <w:pPr>
              <w:spacing w:after="20"/>
              <w:ind w:left="20"/>
              <w:jc w:val="both"/>
            </w:pPr>
            <w:r>
              <w:rPr>
                <w:rFonts w:ascii="Times New Roman"/>
                <w:b w:val="false"/>
                <w:i w:val="false"/>
                <w:color w:val="000000"/>
                <w:sz w:val="20"/>
              </w:rPr>
              <w:t>
   5.5. замена контрактной исследовательской организации, ответственной за выполнение важных задач в рамках исследования;</w:t>
            </w:r>
          </w:p>
          <w:p>
            <w:pPr>
              <w:spacing w:after="20"/>
              <w:ind w:left="20"/>
              <w:jc w:val="both"/>
            </w:pPr>
            <w:r>
              <w:rPr>
                <w:rFonts w:ascii="Times New Roman"/>
                <w:b w:val="false"/>
                <w:i w:val="false"/>
                <w:color w:val="000000"/>
                <w:sz w:val="20"/>
              </w:rPr>
              <w:t>
   5.6. изменение условий завершения исследования.</w:t>
            </w:r>
          </w:p>
          <w:p>
            <w:pPr>
              <w:spacing w:after="20"/>
              <w:ind w:left="20"/>
              <w:jc w:val="both"/>
            </w:pPr>
            <w:r>
              <w:rPr>
                <w:rFonts w:ascii="Times New Roman"/>
                <w:b w:val="false"/>
                <w:i w:val="false"/>
                <w:color w:val="000000"/>
                <w:sz w:val="20"/>
              </w:rPr>
              <w:t>
   6. Изменения, связанные с исследуемым препаратом:</w:t>
            </w:r>
          </w:p>
          <w:p>
            <w:pPr>
              <w:spacing w:after="20"/>
              <w:ind w:left="20"/>
              <w:jc w:val="both"/>
            </w:pPr>
            <w:r>
              <w:rPr>
                <w:rFonts w:ascii="Times New Roman"/>
                <w:b w:val="false"/>
                <w:i w:val="false"/>
                <w:color w:val="000000"/>
                <w:sz w:val="20"/>
              </w:rPr>
              <w:t>
   6.1. материала первичной упаковки;</w:t>
            </w:r>
          </w:p>
          <w:p>
            <w:pPr>
              <w:spacing w:after="20"/>
              <w:ind w:left="20"/>
              <w:jc w:val="both"/>
            </w:pPr>
            <w:r>
              <w:rPr>
                <w:rFonts w:ascii="Times New Roman"/>
                <w:b w:val="false"/>
                <w:i w:val="false"/>
                <w:color w:val="000000"/>
                <w:sz w:val="20"/>
              </w:rPr>
              <w:t>
   6.2. производителя действующего вещества;</w:t>
            </w:r>
          </w:p>
          <w:p>
            <w:pPr>
              <w:spacing w:after="20"/>
              <w:ind w:left="20"/>
              <w:jc w:val="both"/>
            </w:pPr>
            <w:r>
              <w:rPr>
                <w:rFonts w:ascii="Times New Roman"/>
                <w:b w:val="false"/>
                <w:i w:val="false"/>
                <w:color w:val="000000"/>
                <w:sz w:val="20"/>
              </w:rPr>
              <w:t>
   6.3. производственного процесса действующего вещества;</w:t>
            </w:r>
          </w:p>
          <w:p>
            <w:pPr>
              <w:spacing w:after="20"/>
              <w:ind w:left="20"/>
              <w:jc w:val="both"/>
            </w:pPr>
            <w:r>
              <w:rPr>
                <w:rFonts w:ascii="Times New Roman"/>
                <w:b w:val="false"/>
                <w:i w:val="false"/>
                <w:color w:val="000000"/>
                <w:sz w:val="20"/>
              </w:rPr>
              <w:t>
   6.4. спецификаций действующего вещества;</w:t>
            </w:r>
          </w:p>
          <w:p>
            <w:pPr>
              <w:spacing w:after="20"/>
              <w:ind w:left="20"/>
              <w:jc w:val="both"/>
            </w:pPr>
            <w:r>
              <w:rPr>
                <w:rFonts w:ascii="Times New Roman"/>
                <w:b w:val="false"/>
                <w:i w:val="false"/>
                <w:color w:val="000000"/>
                <w:sz w:val="20"/>
              </w:rPr>
              <w:t>
   6.5. производства исследуемого препарата;</w:t>
            </w:r>
          </w:p>
          <w:p>
            <w:pPr>
              <w:spacing w:after="20"/>
              <w:ind w:left="20"/>
              <w:jc w:val="both"/>
            </w:pPr>
            <w:r>
              <w:rPr>
                <w:rFonts w:ascii="Times New Roman"/>
                <w:b w:val="false"/>
                <w:i w:val="false"/>
                <w:color w:val="000000"/>
                <w:sz w:val="20"/>
              </w:rPr>
              <w:t>
   6.6. спецификации исследуемого препарата;</w:t>
            </w:r>
          </w:p>
          <w:p>
            <w:pPr>
              <w:spacing w:after="20"/>
              <w:ind w:left="20"/>
              <w:jc w:val="both"/>
            </w:pPr>
            <w:r>
              <w:rPr>
                <w:rFonts w:ascii="Times New Roman"/>
                <w:b w:val="false"/>
                <w:i w:val="false"/>
                <w:color w:val="000000"/>
                <w:sz w:val="20"/>
              </w:rPr>
              <w:t>
   6.7. спецификаций вспомогательных веществ в тех случаях, которые способны повлиять на действие лекарственного препарата;</w:t>
            </w:r>
          </w:p>
          <w:p>
            <w:pPr>
              <w:spacing w:after="20"/>
              <w:ind w:left="20"/>
              <w:jc w:val="both"/>
            </w:pPr>
            <w:r>
              <w:rPr>
                <w:rFonts w:ascii="Times New Roman"/>
                <w:b w:val="false"/>
                <w:i w:val="false"/>
                <w:color w:val="000000"/>
                <w:sz w:val="20"/>
              </w:rPr>
              <w:t>
   6.8. срока хранения, включая период применения после первого вскрытия и (или) разведения;</w:t>
            </w:r>
          </w:p>
          <w:p>
            <w:pPr>
              <w:spacing w:after="20"/>
              <w:ind w:left="20"/>
              <w:jc w:val="both"/>
            </w:pPr>
            <w:r>
              <w:rPr>
                <w:rFonts w:ascii="Times New Roman"/>
                <w:b w:val="false"/>
                <w:i w:val="false"/>
                <w:color w:val="000000"/>
                <w:sz w:val="20"/>
              </w:rPr>
              <w:t>
   6.9. существенных изменений состава исследуемого препарата;</w:t>
            </w:r>
          </w:p>
          <w:p>
            <w:pPr>
              <w:spacing w:after="20"/>
              <w:ind w:left="20"/>
              <w:jc w:val="both"/>
            </w:pPr>
            <w:r>
              <w:rPr>
                <w:rFonts w:ascii="Times New Roman"/>
                <w:b w:val="false"/>
                <w:i w:val="false"/>
                <w:color w:val="000000"/>
                <w:sz w:val="20"/>
              </w:rPr>
              <w:t>
   6.10. условий хранения;</w:t>
            </w:r>
          </w:p>
          <w:p>
            <w:pPr>
              <w:spacing w:after="20"/>
              <w:ind w:left="20"/>
              <w:jc w:val="both"/>
            </w:pPr>
            <w:r>
              <w:rPr>
                <w:rFonts w:ascii="Times New Roman"/>
                <w:b w:val="false"/>
                <w:i w:val="false"/>
                <w:color w:val="000000"/>
                <w:sz w:val="20"/>
              </w:rPr>
              <w:t>
   6.11. методик исследований активной субстанции;</w:t>
            </w:r>
          </w:p>
          <w:p>
            <w:pPr>
              <w:spacing w:after="20"/>
              <w:ind w:left="20"/>
              <w:jc w:val="both"/>
            </w:pPr>
            <w:r>
              <w:rPr>
                <w:rFonts w:ascii="Times New Roman"/>
                <w:b w:val="false"/>
                <w:i w:val="false"/>
                <w:color w:val="000000"/>
                <w:sz w:val="20"/>
              </w:rPr>
              <w:t>
   6.12. методик исследований исследуемого препарата;</w:t>
            </w:r>
          </w:p>
          <w:p>
            <w:pPr>
              <w:spacing w:after="20"/>
              <w:ind w:left="20"/>
              <w:jc w:val="both"/>
            </w:pPr>
            <w:r>
              <w:rPr>
                <w:rFonts w:ascii="Times New Roman"/>
                <w:b w:val="false"/>
                <w:i w:val="false"/>
                <w:color w:val="000000"/>
                <w:sz w:val="20"/>
              </w:rPr>
              <w:t>
   6.13. методик исследований не фармакопейных вспомогательных веществ.</w:t>
            </w:r>
          </w:p>
          <w:p>
            <w:pPr>
              <w:spacing w:after="20"/>
              <w:ind w:left="20"/>
              <w:jc w:val="both"/>
            </w:pPr>
            <w:r>
              <w:rPr>
                <w:rFonts w:ascii="Times New Roman"/>
                <w:b w:val="false"/>
                <w:i w:val="false"/>
                <w:color w:val="000000"/>
                <w:sz w:val="20"/>
              </w:rPr>
              <w:t>
   7. Изменения, связанные с данными доклинических исследований и сопровождающиеся изменением оценки соотношения польза-риск. Поправки данных доклинических фармакологических и токсикологических исследований в случаях, которые касаются текущих клинических исследований и сопровождаются изменением оценки соотношения риск-польза. В отношении:</w:t>
            </w:r>
          </w:p>
          <w:p>
            <w:pPr>
              <w:spacing w:after="20"/>
              <w:ind w:left="20"/>
              <w:jc w:val="both"/>
            </w:pPr>
            <w:r>
              <w:rPr>
                <w:rFonts w:ascii="Times New Roman"/>
                <w:b w:val="false"/>
                <w:i w:val="false"/>
                <w:color w:val="000000"/>
                <w:sz w:val="20"/>
              </w:rPr>
              <w:t>
   7.1. результатов новых фармакологических исследований;</w:t>
            </w:r>
          </w:p>
          <w:p>
            <w:pPr>
              <w:spacing w:after="20"/>
              <w:ind w:left="20"/>
              <w:jc w:val="both"/>
            </w:pPr>
            <w:r>
              <w:rPr>
                <w:rFonts w:ascii="Times New Roman"/>
                <w:b w:val="false"/>
                <w:i w:val="false"/>
                <w:color w:val="000000"/>
                <w:sz w:val="20"/>
              </w:rPr>
              <w:t>
   7.2. новой интерпретации существующих фармакологических исследований;</w:t>
            </w:r>
          </w:p>
          <w:p>
            <w:pPr>
              <w:spacing w:after="20"/>
              <w:ind w:left="20"/>
              <w:jc w:val="both"/>
            </w:pPr>
            <w:r>
              <w:rPr>
                <w:rFonts w:ascii="Times New Roman"/>
                <w:b w:val="false"/>
                <w:i w:val="false"/>
                <w:color w:val="000000"/>
                <w:sz w:val="20"/>
              </w:rPr>
              <w:t>
   7.3. результатов новых токсикологических исследований;</w:t>
            </w:r>
          </w:p>
          <w:p>
            <w:pPr>
              <w:spacing w:after="20"/>
              <w:ind w:left="20"/>
              <w:jc w:val="both"/>
            </w:pPr>
            <w:r>
              <w:rPr>
                <w:rFonts w:ascii="Times New Roman"/>
                <w:b w:val="false"/>
                <w:i w:val="false"/>
                <w:color w:val="000000"/>
                <w:sz w:val="20"/>
              </w:rPr>
              <w:t>
   7.4. новой интерпретации существующих токсикологических исследований;</w:t>
            </w:r>
          </w:p>
          <w:p>
            <w:pPr>
              <w:spacing w:after="20"/>
              <w:ind w:left="20"/>
              <w:jc w:val="both"/>
            </w:pPr>
            <w:r>
              <w:rPr>
                <w:rFonts w:ascii="Times New Roman"/>
                <w:b w:val="false"/>
                <w:i w:val="false"/>
                <w:color w:val="000000"/>
                <w:sz w:val="20"/>
              </w:rPr>
              <w:t>
   7.5. результатов новых исследований лекарственных взаимодействий.</w:t>
            </w:r>
          </w:p>
          <w:p>
            <w:pPr>
              <w:spacing w:after="20"/>
              <w:ind w:left="20"/>
              <w:jc w:val="both"/>
            </w:pPr>
            <w:r>
              <w:rPr>
                <w:rFonts w:ascii="Times New Roman"/>
                <w:b w:val="false"/>
                <w:i w:val="false"/>
                <w:color w:val="000000"/>
                <w:sz w:val="20"/>
              </w:rPr>
              <w:t>
   8. Изменения, связанные с данными клинических исследований и сопровождающиеся изменением оценки соотношения польза-риск. Поправки в клиническом исследовании, а также данные, отображающие опыт применения препарата у человека, которые являются важными для текущих исследований и сопровождаются изменением оценки соотношения польза-риск. В отношении:</w:t>
            </w:r>
          </w:p>
          <w:p>
            <w:pPr>
              <w:spacing w:after="20"/>
              <w:ind w:left="20"/>
              <w:jc w:val="both"/>
            </w:pPr>
            <w:r>
              <w:rPr>
                <w:rFonts w:ascii="Times New Roman"/>
                <w:b w:val="false"/>
                <w:i w:val="false"/>
                <w:color w:val="000000"/>
                <w:sz w:val="20"/>
              </w:rPr>
              <w:t>
   8.1. безопасности, связанной с клиническим исследованием или опытом применения исследуемого лекарственного препарата у человека;</w:t>
            </w:r>
          </w:p>
          <w:p>
            <w:pPr>
              <w:spacing w:after="20"/>
              <w:ind w:left="20"/>
              <w:jc w:val="both"/>
            </w:pPr>
            <w:r>
              <w:rPr>
                <w:rFonts w:ascii="Times New Roman"/>
                <w:b w:val="false"/>
                <w:i w:val="false"/>
                <w:color w:val="000000"/>
                <w:sz w:val="20"/>
              </w:rPr>
              <w:t>
   8.2. результатов новых клинических фармакологических исследований;</w:t>
            </w:r>
          </w:p>
          <w:p>
            <w:pPr>
              <w:spacing w:after="20"/>
              <w:ind w:left="20"/>
              <w:jc w:val="both"/>
            </w:pPr>
            <w:r>
              <w:rPr>
                <w:rFonts w:ascii="Times New Roman"/>
                <w:b w:val="false"/>
                <w:i w:val="false"/>
                <w:color w:val="000000"/>
                <w:sz w:val="20"/>
              </w:rPr>
              <w:t>
   8.3. новой интерпретации существующих клинических фармакологических исследований;</w:t>
            </w:r>
          </w:p>
          <w:p>
            <w:pPr>
              <w:spacing w:after="20"/>
              <w:ind w:left="20"/>
              <w:jc w:val="both"/>
            </w:pPr>
            <w:r>
              <w:rPr>
                <w:rFonts w:ascii="Times New Roman"/>
                <w:b w:val="false"/>
                <w:i w:val="false"/>
                <w:color w:val="000000"/>
                <w:sz w:val="20"/>
              </w:rPr>
              <w:t>
   8.4. результатов новых клинических исследований;</w:t>
            </w:r>
          </w:p>
          <w:p>
            <w:pPr>
              <w:spacing w:after="20"/>
              <w:ind w:left="20"/>
              <w:jc w:val="both"/>
            </w:pPr>
            <w:r>
              <w:rPr>
                <w:rFonts w:ascii="Times New Roman"/>
                <w:b w:val="false"/>
                <w:i w:val="false"/>
                <w:color w:val="000000"/>
                <w:sz w:val="20"/>
              </w:rPr>
              <w:t>
   8.5. новой интерпретации существующих данных клинических исследований;</w:t>
            </w:r>
          </w:p>
          <w:p>
            <w:pPr>
              <w:spacing w:after="20"/>
              <w:ind w:left="20"/>
              <w:jc w:val="both"/>
            </w:pPr>
            <w:r>
              <w:rPr>
                <w:rFonts w:ascii="Times New Roman"/>
                <w:b w:val="false"/>
                <w:i w:val="false"/>
                <w:color w:val="000000"/>
                <w:sz w:val="20"/>
              </w:rPr>
              <w:t>
   8.6. новых данных по опыту применения исследуемого препарата у человека;</w:t>
            </w:r>
          </w:p>
          <w:p>
            <w:pPr>
              <w:spacing w:after="20"/>
              <w:ind w:left="20"/>
              <w:jc w:val="both"/>
            </w:pPr>
            <w:r>
              <w:rPr>
                <w:rFonts w:ascii="Times New Roman"/>
                <w:b w:val="false"/>
                <w:i w:val="false"/>
                <w:color w:val="000000"/>
                <w:sz w:val="20"/>
              </w:rPr>
              <w:t>
   8.7. новой интерпретации существующих данных по опыту применения исследуемого препарата у человека.</w:t>
            </w:r>
          </w:p>
          <w:p>
            <w:pPr>
              <w:spacing w:after="20"/>
              <w:ind w:left="20"/>
              <w:jc w:val="both"/>
            </w:pPr>
            <w:r>
              <w:rPr>
                <w:rFonts w:ascii="Times New Roman"/>
                <w:b w:val="false"/>
                <w:i w:val="false"/>
                <w:color w:val="000000"/>
                <w:sz w:val="20"/>
              </w:rPr>
              <w:t>
   9. Порядок рассмотрения уполномоченными органами поправок к разделам клинического исследования определяется требованиями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Прочие изменения к разделам клинического исследования считаются несущественными.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социальной защиты Республики Казахстан</w:t>
            </w:r>
            <w:r>
              <w:br/>
            </w:r>
            <w:r>
              <w:rPr>
                <w:rFonts w:ascii="Times New Roman"/>
                <w:b w:val="false"/>
                <w:i w:val="false"/>
                <w:color w:val="000000"/>
                <w:sz w:val="20"/>
              </w:rPr>
              <w:t>от 27 мая 2015 года № 392</w:t>
            </w:r>
          </w:p>
        </w:tc>
      </w:tr>
    </w:tbl>
    <w:bookmarkStart w:name="z41" w:id="27"/>
    <w:p>
      <w:pPr>
        <w:spacing w:after="0"/>
        <w:ind w:left="0"/>
        <w:jc w:val="left"/>
      </w:pPr>
      <w:r>
        <w:rPr>
          <w:rFonts w:ascii="Times New Roman"/>
          <w:b/>
          <w:i w:val="false"/>
          <w:color w:val="000000"/>
        </w:rPr>
        <w:t xml:space="preserve"> Cтандарт</w:t>
      </w:r>
      <w:r>
        <w:br/>
      </w:r>
      <w:r>
        <w:rPr>
          <w:rFonts w:ascii="Times New Roman"/>
          <w:b/>
          <w:i w:val="false"/>
          <w:color w:val="000000"/>
        </w:rPr>
        <w:t>надлежащей производственной практики (GMP)</w:t>
      </w:r>
    </w:p>
    <w:bookmarkEnd w:id="27"/>
    <w:p>
      <w:pPr>
        <w:spacing w:after="0"/>
        <w:ind w:left="0"/>
        <w:jc w:val="both"/>
      </w:pPr>
      <w:r>
        <w:rPr>
          <w:rFonts w:ascii="Times New Roman"/>
          <w:b w:val="false"/>
          <w:i w:val="false"/>
          <w:color w:val="ff0000"/>
          <w:sz w:val="28"/>
        </w:rPr>
        <w:t xml:space="preserve">
      Сноска. Стандарт с изменениями, внесенными приказом Министра здравоохранения РК от 08.05.2019 </w:t>
      </w:r>
      <w:r>
        <w:rPr>
          <w:rFonts w:ascii="Times New Roman"/>
          <w:b w:val="false"/>
          <w:i w:val="false"/>
          <w:color w:val="ff0000"/>
          <w:sz w:val="28"/>
        </w:rPr>
        <w:t>№ ҚР ДСМ-71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Введение</w:t>
            </w:r>
          </w:p>
          <w:p>
            <w:pPr>
              <w:spacing w:after="20"/>
              <w:ind w:left="20"/>
              <w:jc w:val="both"/>
            </w:pPr>
            <w:r>
              <w:rPr>
                <w:rFonts w:ascii="Times New Roman"/>
                <w:b w:val="false"/>
                <w:i w:val="false"/>
                <w:color w:val="000000"/>
                <w:sz w:val="20"/>
              </w:rPr>
              <w:t xml:space="preserve">
   1. Стандарт надлежащей производственной практики (далее – Стандарт) устанавливает требования надлежащего производства лекарственных средств, активных фармацевтических субстанций, используемых как исходные материалы. </w:t>
            </w:r>
          </w:p>
          <w:p>
            <w:pPr>
              <w:spacing w:after="20"/>
              <w:ind w:left="20"/>
              <w:jc w:val="both"/>
            </w:pPr>
            <w:r>
              <w:rPr>
                <w:rFonts w:ascii="Times New Roman"/>
                <w:b w:val="false"/>
                <w:i w:val="false"/>
                <w:color w:val="000000"/>
                <w:sz w:val="20"/>
              </w:rPr>
              <w:t>
   Приложения к настоящему Стандарту обеспечивают детализацию в отношении отдельных видов деятельности. Для некоторых производственных процессов различные приложения к настоящему Стандарту применяются одновременно.</w:t>
            </w:r>
          </w:p>
          <w:p>
            <w:pPr>
              <w:spacing w:after="20"/>
              <w:ind w:left="20"/>
              <w:jc w:val="both"/>
            </w:pPr>
            <w:r>
              <w:rPr>
                <w:rFonts w:ascii="Times New Roman"/>
                <w:b w:val="false"/>
                <w:i w:val="false"/>
                <w:color w:val="000000"/>
                <w:sz w:val="20"/>
              </w:rPr>
              <w:t xml:space="preserve">
   В части II настоящего Стандарта понятие "производство" включает в себя все виды операций с активными фармацевтическими субстанциями: приемку материалов, производство, упаковку, переупаковку, маркировку, перемаркировку, контроль качества, выдачу разрешения на выпуск, хранение и реализацию, а также соответствующие меры контроля. </w:t>
            </w:r>
          </w:p>
          <w:p>
            <w:pPr>
              <w:spacing w:after="0"/>
              <w:ind w:left="0"/>
              <w:jc w:val="both"/>
            </w:pPr>
            <w:r>
              <w:rPr>
                <w:rFonts w:ascii="Times New Roman"/>
                <w:b w:val="false"/>
                <w:i w:val="false"/>
                <w:color w:val="000000"/>
                <w:sz w:val="20"/>
              </w:rPr>
              <w:t>
   2. Настоящий Стандарт не устанавливает требования, предъявляемые при включении активных фармацевтических субстанций в государственный реестр лекарственных средств, не заменяет фармакопейных требований, не затрагивает функции уполномоченного органа в области здравоохранения, осуществляющего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 медицинских изделий, контроля за качеством медицинских услуг (далее – уполномоченный орган) устанавливать особенные требования к включению в государственный реестр лекарственных средств, получению лицензии на производство активных фармацевтических субстанций.</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Часть III содержит комплект связанных c правилами надлежащего производства документов, которые не являются подробными руководящими принципами.</w:t>
            </w:r>
          </w:p>
          <w:p>
            <w:pPr>
              <w:spacing w:after="20"/>
              <w:ind w:left="20"/>
              <w:jc w:val="both"/>
            </w:pPr>
            <w:r>
              <w:rPr>
                <w:rFonts w:ascii="Times New Roman"/>
                <w:b w:val="false"/>
                <w:i w:val="false"/>
                <w:color w:val="000000"/>
                <w:sz w:val="20"/>
              </w:rPr>
              <w:t>
   3. В настоящем Стандарте предусматривается, что держатель лицензии на производство систематически включает требования регистрационного досье в отношении безопасности, качества и эффективности продукции во все мероприятия по производству, контролю и выпуску продукции в реализацию.</w:t>
            </w:r>
          </w:p>
          <w:p>
            <w:pPr>
              <w:spacing w:after="20"/>
              <w:ind w:left="20"/>
              <w:jc w:val="both"/>
            </w:pPr>
            <w:r>
              <w:rPr>
                <w:rFonts w:ascii="Times New Roman"/>
                <w:b w:val="false"/>
                <w:i w:val="false"/>
                <w:color w:val="000000"/>
                <w:sz w:val="20"/>
              </w:rPr>
              <w:t xml:space="preserve">
   Держатели регистрационных удостоверений и производители лекарственных препаратов используют в качестве исходных материалов активные фармацевтические субстанции, которые произведены с соблюдением настоящего Стандарта.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Основные требования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Фармацевтическая система качества</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xml:space="preserve">
   1. Производитель производит лекарственные средства таким образом, чтобы гарантировать их соответствие своему назначению, требованиям регистрационного досье и (или) протоколу клинического исследования и минимизировать риск для пациентов, связанный с безопасностью, качеством и эффективностью лекарственных средств. За выполнение этих требований несет ответственность высшее руководство, их выполнение требует участия и ответственности персонала различных подразделений предприятия-производителя на всех его уровнях, а также поставщиков и организаций оптовой торговли. Для достижения этой цели имеется разработанная и правильно функционирующая фармацевтическая система качества, включающая в себя надлежащую производственную практику и управление рисками для качества. Эта система оформляется документально, а ее эффективность контролируется. Все элементы фармацевтической системы качества укомплектовывают квалифицированным персоналом, обеспечивают необходимыми и надлежащими помещениями, оборудованием и техническими средствами. </w:t>
            </w:r>
          </w:p>
          <w:p>
            <w:pPr>
              <w:spacing w:after="20"/>
              <w:ind w:left="20"/>
              <w:jc w:val="both"/>
            </w:pPr>
            <w:r>
              <w:rPr>
                <w:rFonts w:ascii="Times New Roman"/>
                <w:b w:val="false"/>
                <w:i w:val="false"/>
                <w:color w:val="000000"/>
                <w:sz w:val="20"/>
              </w:rPr>
              <w:t xml:space="preserve">
   Основные принципы управления качеством, надлежащей производственной практики и управления рисками для качества взаимосвязаны.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Фармацевтическая система качества</w:t>
            </w:r>
          </w:p>
          <w:p>
            <w:pPr>
              <w:spacing w:after="20"/>
              <w:ind w:left="20"/>
              <w:jc w:val="both"/>
            </w:pPr>
            <w:r>
              <w:rPr>
                <w:rFonts w:ascii="Times New Roman"/>
                <w:b w:val="false"/>
                <w:i w:val="false"/>
                <w:color w:val="000000"/>
                <w:sz w:val="20"/>
              </w:rPr>
              <w:t>
   1.1. Управление качеством является совокупностью организационных мер, предпринимаемых в целях обеспечения соответствия качества лекарственных средств их предназначению, охватывающим вопросы, которые в отдельности или в целом влияют на качество продукции. Управление качеством включает надлежащую производственную практику.</w:t>
            </w:r>
          </w:p>
          <w:p>
            <w:pPr>
              <w:spacing w:after="20"/>
              <w:ind w:left="20"/>
              <w:jc w:val="both"/>
            </w:pPr>
            <w:r>
              <w:rPr>
                <w:rFonts w:ascii="Times New Roman"/>
                <w:b w:val="false"/>
                <w:i w:val="false"/>
                <w:color w:val="000000"/>
                <w:sz w:val="20"/>
              </w:rPr>
              <w:t xml:space="preserve">
   1.2. Правила надлежащего производства и контроля качества применяются ко всем стадиям жизненного цикла продуктов: производство лекарственных препаратов для клинических исследований, перенос технологии, промышленное производство, прекращение производства лекарственных препаратов. Фармацевтическая система качества распространяется на фармацевтическую разработку как стадию жизненного цикла продуктов. </w:t>
            </w:r>
          </w:p>
          <w:p>
            <w:pPr>
              <w:spacing w:after="20"/>
              <w:ind w:left="20"/>
              <w:jc w:val="both"/>
            </w:pPr>
            <w:r>
              <w:rPr>
                <w:rFonts w:ascii="Times New Roman"/>
                <w:b w:val="false"/>
                <w:i w:val="false"/>
                <w:color w:val="000000"/>
                <w:sz w:val="20"/>
              </w:rPr>
              <w:t>
   1.3. При разработке новой фармацевтической системы качества или при изменении существующей системы учитываются объем и сложность деятельности организации. В структуру фармацевтической системы качества включаются соответствующие принципы управления рисками, с использованием подходящих инструментов. Некоторые аспекты фармацевтической системы качества применяются к деятельности всей организации в целом, а иные только к определенным производственным участкам, эффективность внедрения фармацевтической системы качества демонстрируется на уровне производственной площадки</w:t>
            </w:r>
            <w:r>
              <w:rPr>
                <w:rFonts w:ascii="Times New Roman"/>
                <w:b w:val="false"/>
                <w:i/>
                <w:color w:val="000000"/>
                <w:sz w:val="20"/>
              </w:rPr>
              <w:t>.</w:t>
            </w:r>
          </w:p>
          <w:p>
            <w:pPr>
              <w:spacing w:after="20"/>
              <w:ind w:left="20"/>
              <w:jc w:val="both"/>
            </w:pPr>
            <w:r>
              <w:rPr>
                <w:rFonts w:ascii="Times New Roman"/>
                <w:b w:val="false"/>
                <w:i w:val="false"/>
                <w:color w:val="000000"/>
                <w:sz w:val="20"/>
              </w:rPr>
              <w:t>
   1.4. Фармацевтическая система качества, предназначенная для производства лекарственных средств, гарантирует, что:</w:t>
            </w:r>
          </w:p>
          <w:p>
            <w:pPr>
              <w:spacing w:after="20"/>
              <w:ind w:left="20"/>
              <w:jc w:val="both"/>
            </w:pPr>
            <w:r>
              <w:rPr>
                <w:rFonts w:ascii="Times New Roman"/>
                <w:b w:val="false"/>
                <w:i w:val="false"/>
                <w:color w:val="000000"/>
                <w:sz w:val="20"/>
              </w:rPr>
              <w:t xml:space="preserve">
   выпуск продукции достигается посредством разработки, планирования, внедрения, поддержания и непрерывного усовершенствования системы, которая дает возможность постоянно поставлять продукцию с соответствующими показателями качества; </w:t>
            </w:r>
          </w:p>
          <w:p>
            <w:pPr>
              <w:spacing w:after="20"/>
              <w:ind w:left="20"/>
              <w:jc w:val="both"/>
            </w:pPr>
            <w:r>
              <w:rPr>
                <w:rFonts w:ascii="Times New Roman"/>
                <w:b w:val="false"/>
                <w:i w:val="false"/>
                <w:color w:val="000000"/>
                <w:sz w:val="20"/>
              </w:rPr>
              <w:t>
   управление знаниями о продукции и процессе ее производства осуществляется на протяжении всех стадий жизненного цикла продукции;</w:t>
            </w:r>
          </w:p>
          <w:p>
            <w:pPr>
              <w:spacing w:after="20"/>
              <w:ind w:left="20"/>
              <w:jc w:val="both"/>
            </w:pPr>
            <w:r>
              <w:rPr>
                <w:rFonts w:ascii="Times New Roman"/>
                <w:b w:val="false"/>
                <w:i w:val="false"/>
                <w:color w:val="000000"/>
                <w:sz w:val="20"/>
              </w:rPr>
              <w:t>
   лекарственные средства разрабатываются и совершенствуются с учетом требований настоящего Стандарта;</w:t>
            </w:r>
          </w:p>
          <w:p>
            <w:pPr>
              <w:spacing w:after="20"/>
              <w:ind w:left="20"/>
              <w:jc w:val="both"/>
            </w:pPr>
            <w:r>
              <w:rPr>
                <w:rFonts w:ascii="Times New Roman"/>
                <w:b w:val="false"/>
                <w:i w:val="false"/>
                <w:color w:val="000000"/>
                <w:sz w:val="20"/>
              </w:rPr>
              <w:t xml:space="preserve">
   операции по производству и контролю точно определены и соответствуют требованиям настоящего Стандарта; </w:t>
            </w:r>
          </w:p>
          <w:p>
            <w:pPr>
              <w:spacing w:after="20"/>
              <w:ind w:left="20"/>
              <w:jc w:val="both"/>
            </w:pPr>
            <w:r>
              <w:rPr>
                <w:rFonts w:ascii="Times New Roman"/>
                <w:b w:val="false"/>
                <w:i w:val="false"/>
                <w:color w:val="000000"/>
                <w:sz w:val="20"/>
              </w:rPr>
              <w:t xml:space="preserve">
   ответственность и обязанности руководителей четко определены; </w:t>
            </w:r>
          </w:p>
          <w:p>
            <w:pPr>
              <w:spacing w:after="20"/>
              <w:ind w:left="20"/>
              <w:jc w:val="both"/>
            </w:pPr>
            <w:r>
              <w:rPr>
                <w:rFonts w:ascii="Times New Roman"/>
                <w:b w:val="false"/>
                <w:i w:val="false"/>
                <w:color w:val="000000"/>
                <w:sz w:val="20"/>
              </w:rPr>
              <w:t>
   приняты меры для производства, поставки и использования исходных материалов, соответствующих установленным требованиям, а также для выбора и контроля поставщиков и для проверки того, что каждая поставка получена от утвержденных поставщиков или по утвержденной цепи поставок;</w:t>
            </w:r>
          </w:p>
          <w:p>
            <w:pPr>
              <w:spacing w:after="20"/>
              <w:ind w:left="20"/>
              <w:jc w:val="both"/>
            </w:pPr>
            <w:r>
              <w:rPr>
                <w:rFonts w:ascii="Times New Roman"/>
                <w:b w:val="false"/>
                <w:i w:val="false"/>
                <w:color w:val="000000"/>
                <w:sz w:val="20"/>
              </w:rPr>
              <w:t>
   внедрены процессы, обеспечивающие управление аутсорсинговой деятельностью - деятельностью, передаваемой для выполнения другой организации;</w:t>
            </w:r>
          </w:p>
          <w:p>
            <w:pPr>
              <w:spacing w:after="20"/>
              <w:ind w:left="20"/>
              <w:jc w:val="both"/>
            </w:pPr>
            <w:r>
              <w:rPr>
                <w:rFonts w:ascii="Times New Roman"/>
                <w:b w:val="false"/>
                <w:i w:val="false"/>
                <w:color w:val="000000"/>
                <w:sz w:val="20"/>
              </w:rPr>
              <w:t>
   установлено и поддерживается контролируемое состояние посредством разработки и использования эффективного мониторинга и систем контроля в отношении проведения процесса и качества продукции;</w:t>
            </w:r>
          </w:p>
          <w:p>
            <w:pPr>
              <w:spacing w:after="20"/>
              <w:ind w:left="20"/>
              <w:jc w:val="both"/>
            </w:pPr>
            <w:r>
              <w:rPr>
                <w:rFonts w:ascii="Times New Roman"/>
                <w:b w:val="false"/>
                <w:i w:val="false"/>
                <w:color w:val="000000"/>
                <w:sz w:val="20"/>
              </w:rPr>
              <w:t xml:space="preserve">
   результаты мониторинга продукта и процессов принимаются во внимание при выпуске серии, при расследовании отклонений и для принятия предупреждающих мер во избежание потенциальных отклонений, которые могут произойти в будущем; </w:t>
            </w:r>
          </w:p>
          <w:p>
            <w:pPr>
              <w:spacing w:after="20"/>
              <w:ind w:left="20"/>
              <w:jc w:val="both"/>
            </w:pPr>
            <w:r>
              <w:rPr>
                <w:rFonts w:ascii="Times New Roman"/>
                <w:b w:val="false"/>
                <w:i w:val="false"/>
                <w:color w:val="000000"/>
                <w:sz w:val="20"/>
              </w:rPr>
              <w:t>
   проводится необходимый контроль промежуточной продукции, любой другой контроль в процессе производства и осуществляется валидация;</w:t>
            </w:r>
          </w:p>
          <w:p>
            <w:pPr>
              <w:spacing w:after="20"/>
              <w:ind w:left="20"/>
              <w:jc w:val="both"/>
            </w:pPr>
            <w:r>
              <w:rPr>
                <w:rFonts w:ascii="Times New Roman"/>
                <w:b w:val="false"/>
                <w:i w:val="false"/>
                <w:color w:val="000000"/>
                <w:sz w:val="20"/>
              </w:rPr>
              <w:t xml:space="preserve">
   оказывается содействие постоянному улучшению посредством внедрения усовершенствований, основанных на актуальных знаниях процесса и продукции; </w:t>
            </w:r>
          </w:p>
          <w:p>
            <w:pPr>
              <w:spacing w:after="20"/>
              <w:ind w:left="20"/>
              <w:jc w:val="both"/>
            </w:pPr>
            <w:r>
              <w:rPr>
                <w:rFonts w:ascii="Times New Roman"/>
                <w:b w:val="false"/>
                <w:i w:val="false"/>
                <w:color w:val="000000"/>
                <w:sz w:val="20"/>
              </w:rPr>
              <w:t>
   приняты меры для перспективной оценки запланированных изменений и их утверждения до внедрения, с учетом необходимости выполнения уведомления уполномоченных органов или согласования изменения с ними, если это требуется;</w:t>
            </w:r>
          </w:p>
          <w:p>
            <w:pPr>
              <w:spacing w:after="20"/>
              <w:ind w:left="20"/>
              <w:jc w:val="both"/>
            </w:pPr>
            <w:r>
              <w:rPr>
                <w:rFonts w:ascii="Times New Roman"/>
                <w:b w:val="false"/>
                <w:i w:val="false"/>
                <w:color w:val="000000"/>
                <w:sz w:val="20"/>
              </w:rPr>
              <w:t>
   проводится оценка любых проведенных изменений после их внедрения для подтверждения того, что цель изменений достигнута и это изменение не повлияло на качество продукции;</w:t>
            </w:r>
          </w:p>
          <w:p>
            <w:pPr>
              <w:spacing w:after="20"/>
              <w:ind w:left="20"/>
              <w:jc w:val="both"/>
            </w:pPr>
            <w:r>
              <w:rPr>
                <w:rFonts w:ascii="Times New Roman"/>
                <w:b w:val="false"/>
                <w:i w:val="false"/>
                <w:color w:val="000000"/>
                <w:sz w:val="20"/>
              </w:rPr>
              <w:t xml:space="preserve">
   во время расследования отклонений, предполагаемых дефектов продукции и других отклонений применяется соответствующий уровень анализа основных причин, определяемый с использованием принципов управления рисками для качества. В случаях, когда истинная основная причина несоответствия не установлена, следует идентифицировать наиболее вероятную причину. В случаях, когда в качестве причины подозревается или идентифицирована ошибка персонала, это доказывается с особой тщательностью, чтобы гарантировать, что не были пропущены существующие процессные, процедурные или системные ошибки или проблемы. По результатам расследования определяются и предпринимаются соответствующие корректирующие и (или) предупреждающие действия. Эффективность таких действий проверяется и оценивается в соответствии с принципами управления рисками для качества; </w:t>
            </w:r>
          </w:p>
          <w:p>
            <w:pPr>
              <w:spacing w:after="20"/>
              <w:ind w:left="20"/>
              <w:jc w:val="both"/>
            </w:pPr>
            <w:r>
              <w:rPr>
                <w:rFonts w:ascii="Times New Roman"/>
                <w:b w:val="false"/>
                <w:i w:val="false"/>
                <w:color w:val="000000"/>
                <w:sz w:val="20"/>
              </w:rPr>
              <w:t>
   лекарственные препараты не будут выпущены в обращение до того, как Уполномоченное лицо не удостоверит, что каждая серия продукции была произведена и проконтролирована в соответствии с требованиями регистрационного досье и требованиями в отношении производства, контроля и выпуска лекарственных препаратов;</w:t>
            </w:r>
          </w:p>
          <w:p>
            <w:pPr>
              <w:spacing w:after="20"/>
              <w:ind w:left="20"/>
              <w:jc w:val="both"/>
            </w:pPr>
            <w:r>
              <w:rPr>
                <w:rFonts w:ascii="Times New Roman"/>
                <w:b w:val="false"/>
                <w:i w:val="false"/>
                <w:color w:val="000000"/>
                <w:sz w:val="20"/>
              </w:rPr>
              <w:t>
   предприняты достаточные меры, обеспечивающие, насколько это возможно, что качество лекарственных препаратов поддерживается в течение всего срока годности при их хранении и последующем обращении;</w:t>
            </w:r>
          </w:p>
          <w:p>
            <w:pPr>
              <w:spacing w:after="20"/>
              <w:ind w:left="20"/>
              <w:jc w:val="both"/>
            </w:pPr>
            <w:r>
              <w:rPr>
                <w:rFonts w:ascii="Times New Roman"/>
                <w:b w:val="false"/>
                <w:i w:val="false"/>
                <w:color w:val="000000"/>
                <w:sz w:val="20"/>
              </w:rPr>
              <w:t xml:space="preserve">
   имеется процедура проведения самоинспекции и (или) аудита качества, по которой регулярно оценивают эффективность и пригодность фармацевтической системы качества. </w:t>
            </w:r>
          </w:p>
          <w:p>
            <w:pPr>
              <w:spacing w:after="20"/>
              <w:ind w:left="20"/>
              <w:jc w:val="both"/>
            </w:pPr>
            <w:r>
              <w:rPr>
                <w:rFonts w:ascii="Times New Roman"/>
                <w:b w:val="false"/>
                <w:i w:val="false"/>
                <w:color w:val="000000"/>
                <w:sz w:val="20"/>
              </w:rPr>
              <w:t xml:space="preserve">
   1.5. Высшее руководство обеспечивает наличие эффективной фармацевтической системы качества, наличие необходимых ресурсов, распределение обязанностей и полномочий персонала, выполнение и реализацию фармацевтической системы качества во всех подразделениях предприятия. Важна лидирующая роль высшего руководства и его активное участие в фармацевтической системе качества, что гарантирует поддержку фармацевтической системы качества и заинтересованность персонала на всех уровнях и в подразделениях предприятия. </w:t>
            </w:r>
          </w:p>
          <w:p>
            <w:pPr>
              <w:spacing w:after="20"/>
              <w:ind w:left="20"/>
              <w:jc w:val="both"/>
            </w:pPr>
            <w:r>
              <w:rPr>
                <w:rFonts w:ascii="Times New Roman"/>
                <w:b w:val="false"/>
                <w:i w:val="false"/>
                <w:color w:val="000000"/>
                <w:sz w:val="20"/>
              </w:rPr>
              <w:t>
   1.6. Проводятся периодические обзоры функционирования фармацевтической системы качества с вовлечением в этот процесс высшего руководства, для определения возможности постоянного улучшения продукции, процессов.</w:t>
            </w:r>
          </w:p>
          <w:p>
            <w:pPr>
              <w:spacing w:after="20"/>
              <w:ind w:left="20"/>
              <w:jc w:val="both"/>
            </w:pPr>
            <w:r>
              <w:rPr>
                <w:rFonts w:ascii="Times New Roman"/>
                <w:b w:val="false"/>
                <w:i w:val="false"/>
                <w:color w:val="000000"/>
                <w:sz w:val="20"/>
              </w:rPr>
              <w:t>
   1.7. Фармацевтическая система качества определяется и оформляется документально. В наличии имеется руководство по качеству или эквивалентный документ, который содержит описание системы управления качеством, включая ответственность руководства.</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Надлежащая производственная практика</w:t>
            </w:r>
          </w:p>
          <w:p>
            <w:pPr>
              <w:spacing w:after="20"/>
              <w:ind w:left="20"/>
              <w:jc w:val="both"/>
            </w:pPr>
            <w:r>
              <w:rPr>
                <w:rFonts w:ascii="Times New Roman"/>
                <w:b w:val="false"/>
                <w:i w:val="false"/>
                <w:color w:val="000000"/>
                <w:sz w:val="20"/>
              </w:rPr>
              <w:t>
   1.8. Надлежащая производственная практика (далее – GMP) является той частью управления качеством, которая гарантирует, что продукцию постоянно производят и контролируют по стандартам качества, соответствующим ее назначению, а также в соответствии с требованиями регистрационного досье, протокола клинических исследований и спецификации на эту продукцию.</w:t>
            </w:r>
          </w:p>
          <w:p>
            <w:pPr>
              <w:spacing w:after="20"/>
              <w:ind w:left="20"/>
              <w:jc w:val="both"/>
            </w:pPr>
            <w:r>
              <w:rPr>
                <w:rFonts w:ascii="Times New Roman"/>
                <w:b w:val="false"/>
                <w:i w:val="false"/>
                <w:color w:val="000000"/>
                <w:sz w:val="20"/>
              </w:rPr>
              <w:t>
   GMP связана как с производством, так и с контролем качества. Основные требования GMP:</w:t>
            </w:r>
          </w:p>
          <w:p>
            <w:pPr>
              <w:spacing w:after="20"/>
              <w:ind w:left="20"/>
              <w:jc w:val="both"/>
            </w:pPr>
            <w:r>
              <w:rPr>
                <w:rFonts w:ascii="Times New Roman"/>
                <w:b w:val="false"/>
                <w:i w:val="false"/>
                <w:color w:val="000000"/>
                <w:sz w:val="20"/>
              </w:rPr>
              <w:t>
   все производственные процессы определяются, систематически пересматриваются с учетом накопленного опыта и подтверждают способность постоянно производить лекарственные препараты требуемого качества в соответствии со спецификациями;</w:t>
            </w:r>
          </w:p>
          <w:p>
            <w:pPr>
              <w:spacing w:after="20"/>
              <w:ind w:left="20"/>
              <w:jc w:val="both"/>
            </w:pPr>
            <w:r>
              <w:rPr>
                <w:rFonts w:ascii="Times New Roman"/>
                <w:b w:val="false"/>
                <w:i w:val="false"/>
                <w:color w:val="000000"/>
                <w:sz w:val="20"/>
              </w:rPr>
              <w:t>
   критические стадии производственного процесса и существенные изменения процесса проходят валидацию;</w:t>
            </w:r>
          </w:p>
          <w:p>
            <w:pPr>
              <w:spacing w:after="20"/>
              <w:ind w:left="20"/>
              <w:jc w:val="both"/>
            </w:pPr>
            <w:r>
              <w:rPr>
                <w:rFonts w:ascii="Times New Roman"/>
                <w:b w:val="false"/>
                <w:i w:val="false"/>
                <w:color w:val="000000"/>
                <w:sz w:val="20"/>
              </w:rPr>
              <w:t xml:space="preserve">
   обеспечиваются все необходимые условия для выполнения требований настоящего Стандарта, включая наличие: </w:t>
            </w:r>
          </w:p>
          <w:p>
            <w:pPr>
              <w:spacing w:after="20"/>
              <w:ind w:left="20"/>
              <w:jc w:val="both"/>
            </w:pPr>
            <w:r>
              <w:rPr>
                <w:rFonts w:ascii="Times New Roman"/>
                <w:b w:val="false"/>
                <w:i w:val="false"/>
                <w:color w:val="000000"/>
                <w:sz w:val="20"/>
              </w:rPr>
              <w:t>
   надлежащим образом обученного персонала, имеющего необходимую квалификацию;     соответствующих помещений и площадей;</w:t>
            </w:r>
          </w:p>
          <w:p>
            <w:pPr>
              <w:spacing w:after="20"/>
              <w:ind w:left="20"/>
              <w:jc w:val="both"/>
            </w:pPr>
            <w:r>
              <w:rPr>
                <w:rFonts w:ascii="Times New Roman"/>
                <w:b w:val="false"/>
                <w:i w:val="false"/>
                <w:color w:val="000000"/>
                <w:sz w:val="20"/>
              </w:rPr>
              <w:t>
   соответствующих оборудования и обслуживания;</w:t>
            </w:r>
          </w:p>
          <w:p>
            <w:pPr>
              <w:spacing w:after="20"/>
              <w:ind w:left="20"/>
              <w:jc w:val="both"/>
            </w:pPr>
            <w:r>
              <w:rPr>
                <w:rFonts w:ascii="Times New Roman"/>
                <w:b w:val="false"/>
                <w:i w:val="false"/>
                <w:color w:val="000000"/>
                <w:sz w:val="20"/>
              </w:rPr>
              <w:t>
   соответствующих материалов, контейнеров и этикеток;</w:t>
            </w:r>
          </w:p>
          <w:p>
            <w:pPr>
              <w:spacing w:after="20"/>
              <w:ind w:left="20"/>
              <w:jc w:val="both"/>
            </w:pPr>
            <w:r>
              <w:rPr>
                <w:rFonts w:ascii="Times New Roman"/>
                <w:b w:val="false"/>
                <w:i w:val="false"/>
                <w:color w:val="000000"/>
                <w:sz w:val="20"/>
              </w:rPr>
              <w:t>
   утвержденных процедур и инструкций в соответствии с фармацевтической системой качества;</w:t>
            </w:r>
          </w:p>
          <w:p>
            <w:pPr>
              <w:spacing w:after="20"/>
              <w:ind w:left="20"/>
              <w:jc w:val="both"/>
            </w:pPr>
            <w:r>
              <w:rPr>
                <w:rFonts w:ascii="Times New Roman"/>
                <w:b w:val="false"/>
                <w:i w:val="false"/>
                <w:color w:val="000000"/>
                <w:sz w:val="20"/>
              </w:rPr>
              <w:t>
   соответствующих условий хранения и транспортирования;</w:t>
            </w:r>
          </w:p>
          <w:p>
            <w:pPr>
              <w:spacing w:after="20"/>
              <w:ind w:left="20"/>
              <w:jc w:val="both"/>
            </w:pPr>
            <w:r>
              <w:rPr>
                <w:rFonts w:ascii="Times New Roman"/>
                <w:b w:val="false"/>
                <w:i w:val="false"/>
                <w:color w:val="000000"/>
                <w:sz w:val="20"/>
              </w:rPr>
              <w:t xml:space="preserve">
   инструкции и процедуры излагаются в письменной форме ясно и недвусмысленно, они конкретно применимы к имеющимся в наличии средствам; </w:t>
            </w:r>
          </w:p>
          <w:p>
            <w:pPr>
              <w:spacing w:after="20"/>
              <w:ind w:left="20"/>
              <w:jc w:val="both"/>
            </w:pPr>
            <w:r>
              <w:rPr>
                <w:rFonts w:ascii="Times New Roman"/>
                <w:b w:val="false"/>
                <w:i w:val="false"/>
                <w:color w:val="000000"/>
                <w:sz w:val="20"/>
              </w:rPr>
              <w:t>
   процедуры точно соблюдаются и персонал обучается правильному их выполнению;</w:t>
            </w:r>
          </w:p>
          <w:p>
            <w:pPr>
              <w:spacing w:after="20"/>
              <w:ind w:left="20"/>
              <w:jc w:val="both"/>
            </w:pPr>
            <w:r>
              <w:rPr>
                <w:rFonts w:ascii="Times New Roman"/>
                <w:b w:val="false"/>
                <w:i w:val="false"/>
                <w:color w:val="000000"/>
                <w:sz w:val="20"/>
              </w:rPr>
              <w:t>
   в процессе производства составляют записи: рукописным способом и (или) с применением технических средств, документально подтверждающие фактическое проведение этапов, требуемых установленными методиками и инструкциями, а также что количество и качество продукции соответствуют установленным нормам;</w:t>
            </w:r>
          </w:p>
          <w:p>
            <w:pPr>
              <w:spacing w:after="20"/>
              <w:ind w:left="20"/>
              <w:jc w:val="both"/>
            </w:pPr>
            <w:r>
              <w:rPr>
                <w:rFonts w:ascii="Times New Roman"/>
                <w:b w:val="false"/>
                <w:i w:val="false"/>
                <w:color w:val="000000"/>
                <w:sz w:val="20"/>
              </w:rPr>
              <w:t xml:space="preserve">
   любые существенные отклонения полностью оформляются документально и расследуются для определения причины отклонения и осуществления соответствующих корректирующих и (или) предупреждающих действий; </w:t>
            </w:r>
          </w:p>
          <w:p>
            <w:pPr>
              <w:spacing w:after="20"/>
              <w:ind w:left="20"/>
              <w:jc w:val="both"/>
            </w:pPr>
            <w:r>
              <w:rPr>
                <w:rFonts w:ascii="Times New Roman"/>
                <w:b w:val="false"/>
                <w:i w:val="false"/>
                <w:color w:val="000000"/>
                <w:sz w:val="20"/>
              </w:rPr>
              <w:t xml:space="preserve">
   в понятной и доступной форме сохраняются записи, относящиеся к серии, включая документацию по реализации, которые позволяют проследить полную историю серии; </w:t>
            </w:r>
          </w:p>
          <w:p>
            <w:pPr>
              <w:spacing w:after="20"/>
              <w:ind w:left="20"/>
              <w:jc w:val="both"/>
            </w:pPr>
            <w:r>
              <w:rPr>
                <w:rFonts w:ascii="Times New Roman"/>
                <w:b w:val="false"/>
                <w:i w:val="false"/>
                <w:color w:val="000000"/>
                <w:sz w:val="20"/>
              </w:rPr>
              <w:t>
   при оптовой реализации продукции сводятся к минимуму риски для ее качества и учитывается стандарт надлежащей дистрибьюторской практики (GDP);</w:t>
            </w:r>
          </w:p>
          <w:p>
            <w:pPr>
              <w:spacing w:after="20"/>
              <w:ind w:left="20"/>
              <w:jc w:val="both"/>
            </w:pPr>
            <w:r>
              <w:rPr>
                <w:rFonts w:ascii="Times New Roman"/>
                <w:b w:val="false"/>
                <w:i w:val="false"/>
                <w:color w:val="000000"/>
                <w:sz w:val="20"/>
              </w:rPr>
              <w:t>
   в наличии имеется система отзыва любой серии продукции из продажи или поставки;</w:t>
            </w:r>
          </w:p>
          <w:p>
            <w:pPr>
              <w:spacing w:after="20"/>
              <w:ind w:left="20"/>
              <w:jc w:val="both"/>
            </w:pPr>
            <w:r>
              <w:rPr>
                <w:rFonts w:ascii="Times New Roman"/>
                <w:b w:val="false"/>
                <w:i w:val="false"/>
                <w:color w:val="000000"/>
                <w:sz w:val="20"/>
              </w:rPr>
              <w:t>
   рассматриваются претензии на поставленную продукцию, расследуются причины дефектов и принимаются соответствующие меры как в отношении недоброкачественной продукции, так и для предотвращения подобных случаев.</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Контроль качества</w:t>
            </w:r>
          </w:p>
          <w:p>
            <w:pPr>
              <w:spacing w:after="20"/>
              <w:ind w:left="20"/>
              <w:jc w:val="both"/>
            </w:pPr>
            <w:r>
              <w:rPr>
                <w:rFonts w:ascii="Times New Roman"/>
                <w:b w:val="false"/>
                <w:i w:val="false"/>
                <w:color w:val="000000"/>
                <w:sz w:val="20"/>
              </w:rPr>
              <w:t>
   1.9. Контроль качества является частью GMP, связанной с отбором проб, спецификациями и проведением испытаний, а также с процедурами организации, документирования и выдачи разрешения на выпуск, гарантирующие, что фактически проведены все необходимые и соответствующие испытания и что материалы не будут разрешены для использования, а готовая продукция не будет допущена к реализации или поставке до тех пор, пока их качество не будет признано удовлетворительным.</w:t>
            </w:r>
          </w:p>
          <w:p>
            <w:pPr>
              <w:spacing w:after="20"/>
              <w:ind w:left="20"/>
              <w:jc w:val="both"/>
            </w:pPr>
            <w:r>
              <w:rPr>
                <w:rFonts w:ascii="Times New Roman"/>
                <w:b w:val="false"/>
                <w:i w:val="false"/>
                <w:color w:val="000000"/>
                <w:sz w:val="20"/>
              </w:rPr>
              <w:t>
   Основные требования к контролю качества:</w:t>
            </w:r>
          </w:p>
          <w:p>
            <w:pPr>
              <w:spacing w:after="20"/>
              <w:ind w:left="20"/>
              <w:jc w:val="both"/>
            </w:pPr>
            <w:r>
              <w:rPr>
                <w:rFonts w:ascii="Times New Roman"/>
                <w:b w:val="false"/>
                <w:i w:val="false"/>
                <w:color w:val="000000"/>
                <w:sz w:val="20"/>
              </w:rPr>
              <w:t>
   в наличии имеются соответствующие помещения и оборудование, обученный персонал и утвержденные методики для отбора проб, контроля и испытаний исходных материалов, промежуточной, нерасфасованной и готовой продукции, а также, при необходимости, для мониторинга условий производственной среды в целях выполнения настоящих Правил;</w:t>
            </w:r>
          </w:p>
          <w:p>
            <w:pPr>
              <w:spacing w:after="20"/>
              <w:ind w:left="20"/>
              <w:jc w:val="both"/>
            </w:pPr>
            <w:r>
              <w:rPr>
                <w:rFonts w:ascii="Times New Roman"/>
                <w:b w:val="false"/>
                <w:i w:val="false"/>
                <w:color w:val="000000"/>
                <w:sz w:val="20"/>
              </w:rPr>
              <w:t>
   проведение отбора проб исходных и упаковочных материалов, промежуточной, нерасфасованной и готовой продукции назначенным персоналом в соответствии с утвержденными методиками;</w:t>
            </w:r>
          </w:p>
          <w:p>
            <w:pPr>
              <w:spacing w:after="20"/>
              <w:ind w:left="20"/>
              <w:jc w:val="both"/>
            </w:pPr>
            <w:r>
              <w:rPr>
                <w:rFonts w:ascii="Times New Roman"/>
                <w:b w:val="false"/>
                <w:i w:val="false"/>
                <w:color w:val="000000"/>
                <w:sz w:val="20"/>
              </w:rPr>
              <w:t xml:space="preserve">
   методы испытаний проходят валидацию; </w:t>
            </w:r>
          </w:p>
          <w:p>
            <w:pPr>
              <w:spacing w:after="20"/>
              <w:ind w:left="20"/>
              <w:jc w:val="both"/>
            </w:pPr>
            <w:r>
              <w:rPr>
                <w:rFonts w:ascii="Times New Roman"/>
                <w:b w:val="false"/>
                <w:i w:val="false"/>
                <w:color w:val="000000"/>
                <w:sz w:val="20"/>
              </w:rPr>
              <w:t xml:space="preserve">
   составляются записи: рукописным способом и (или) с применением технических средств, документально подтверждающие, что все необходимые мероприятия по отбору проб, контролю и методикам испытаний действительно проведены. Любые отклонения полностью оформляются документально и расследуются; </w:t>
            </w:r>
          </w:p>
          <w:p>
            <w:pPr>
              <w:spacing w:after="20"/>
              <w:ind w:left="20"/>
              <w:jc w:val="both"/>
            </w:pPr>
            <w:r>
              <w:rPr>
                <w:rFonts w:ascii="Times New Roman"/>
                <w:b w:val="false"/>
                <w:i w:val="false"/>
                <w:color w:val="000000"/>
                <w:sz w:val="20"/>
              </w:rPr>
              <w:t>
   готовая продукция содержит активные фармацевтические субстанции, соответствующие регистрационному досье по качественному и количественному составу, имеет требуемую чистоту, вкладывается в надлежащую упаковку и правильно маркируется;</w:t>
            </w:r>
          </w:p>
          <w:p>
            <w:pPr>
              <w:spacing w:after="20"/>
              <w:ind w:left="20"/>
              <w:jc w:val="both"/>
            </w:pPr>
            <w:r>
              <w:rPr>
                <w:rFonts w:ascii="Times New Roman"/>
                <w:b w:val="false"/>
                <w:i w:val="false"/>
                <w:color w:val="000000"/>
                <w:sz w:val="20"/>
              </w:rPr>
              <w:t xml:space="preserve">
   записи, оформленные по результатам контроля и испытаний материалов, промежуточной, нерасфасованной и готовой продукции, официально сопоставляются с требованиями спецификаций. Оценка продукции включает обзор и оценку соответствующей производственной документации и оценку отклонений от установленных процедур; </w:t>
            </w:r>
          </w:p>
          <w:p>
            <w:pPr>
              <w:spacing w:after="20"/>
              <w:ind w:left="20"/>
              <w:jc w:val="both"/>
            </w:pPr>
            <w:r>
              <w:rPr>
                <w:rFonts w:ascii="Times New Roman"/>
                <w:b w:val="false"/>
                <w:i w:val="false"/>
                <w:color w:val="000000"/>
                <w:sz w:val="20"/>
              </w:rPr>
              <w:t xml:space="preserve">
   ни одна серия продукции не разрешается для реализации или поставки до того, как Уполномоченное лицо не удостоверит ее соответствие требованиям, установленным при государственной регистрации, приведенным в </w:t>
            </w:r>
            <w:r>
              <w:rPr>
                <w:rFonts w:ascii="Times New Roman"/>
                <w:b w:val="false"/>
                <w:i w:val="false"/>
                <w:color w:val="000000"/>
                <w:sz w:val="20"/>
              </w:rPr>
              <w:t>Приложении 16</w:t>
            </w:r>
            <w:r>
              <w:rPr>
                <w:rFonts w:ascii="Times New Roman"/>
                <w:b w:val="false"/>
                <w:i w:val="false"/>
                <w:color w:val="000000"/>
                <w:sz w:val="20"/>
              </w:rPr>
              <w:t xml:space="preserve"> к настоящему Стандарту; </w:t>
            </w:r>
          </w:p>
          <w:p>
            <w:pPr>
              <w:spacing w:after="20"/>
              <w:ind w:left="20"/>
              <w:jc w:val="both"/>
            </w:pPr>
            <w:r>
              <w:rPr>
                <w:rFonts w:ascii="Times New Roman"/>
                <w:b w:val="false"/>
                <w:i w:val="false"/>
                <w:color w:val="000000"/>
                <w:sz w:val="20"/>
              </w:rPr>
              <w:t xml:space="preserve">
   сохранять достаточное количество контрольных образцов исходных и упаковочных материалов и готовой продукции, которое позволит проводить испытания в будущем в соответствии с контрольными и архивными образцами, приведенными в </w:t>
            </w:r>
            <w:r>
              <w:rPr>
                <w:rFonts w:ascii="Times New Roman"/>
                <w:b w:val="false"/>
                <w:i w:val="false"/>
                <w:color w:val="000000"/>
                <w:sz w:val="20"/>
              </w:rPr>
              <w:t>приложении 19</w:t>
            </w:r>
            <w:r>
              <w:rPr>
                <w:rFonts w:ascii="Times New Roman"/>
                <w:b w:val="false"/>
                <w:i w:val="false"/>
                <w:color w:val="000000"/>
                <w:sz w:val="20"/>
              </w:rPr>
              <w:t xml:space="preserve"> к настоящему Стандарту. Образцы готовой продукции хранят в окончательной упаковке.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Обзор качества продукции</w:t>
            </w:r>
          </w:p>
          <w:p>
            <w:pPr>
              <w:spacing w:after="20"/>
              <w:ind w:left="20"/>
              <w:jc w:val="both"/>
            </w:pPr>
            <w:r>
              <w:rPr>
                <w:rFonts w:ascii="Times New Roman"/>
                <w:b w:val="false"/>
                <w:i w:val="false"/>
                <w:color w:val="000000"/>
                <w:sz w:val="20"/>
              </w:rPr>
              <w:t>
   1.10. Проводят обзоры качества всех зарегистрированных произведенных лекарственных препаратов, в том числе лекарственных препаратов, изготовляемых только на экспорт, с целью подтверждения постоянства имеющегося процесса, соответствия действующим спецификациям как на исходные материалы, так и на готовую продукцию, чтобы выявить какие-либо тенденции и для установления возможности усовершенствования продукции и процесса. Обзоры качества оформляют документально и проводят ежегодно, принимая во внимание предыдущие обзоры. Они включают следующее:</w:t>
            </w:r>
          </w:p>
          <w:p>
            <w:pPr>
              <w:spacing w:after="20"/>
              <w:ind w:left="20"/>
              <w:jc w:val="both"/>
            </w:pPr>
            <w:r>
              <w:rPr>
                <w:rFonts w:ascii="Times New Roman"/>
                <w:b w:val="false"/>
                <w:i w:val="false"/>
                <w:color w:val="000000"/>
                <w:sz w:val="20"/>
              </w:rPr>
              <w:t>
   обзор исходных материалов, включая упаковочные материалы, используемых при производстве, обращая особое внимание на те, что получены от новых поставщиков, и отдельный обзор прослеживаемости цепи поставок активных фармацевтических субстанций;</w:t>
            </w:r>
          </w:p>
          <w:p>
            <w:pPr>
              <w:spacing w:after="20"/>
              <w:ind w:left="20"/>
              <w:jc w:val="both"/>
            </w:pPr>
            <w:r>
              <w:rPr>
                <w:rFonts w:ascii="Times New Roman"/>
                <w:b w:val="false"/>
                <w:i w:val="false"/>
                <w:color w:val="000000"/>
                <w:sz w:val="20"/>
              </w:rPr>
              <w:t>
   обзор критических точек контроля в процессе производства и результатов контроля готовой продукции;</w:t>
            </w:r>
          </w:p>
          <w:p>
            <w:pPr>
              <w:spacing w:after="20"/>
              <w:ind w:left="20"/>
              <w:jc w:val="both"/>
            </w:pPr>
            <w:r>
              <w:rPr>
                <w:rFonts w:ascii="Times New Roman"/>
                <w:b w:val="false"/>
                <w:i w:val="false"/>
                <w:color w:val="000000"/>
                <w:sz w:val="20"/>
              </w:rPr>
              <w:t>
   обзор всех серий, которые не соответствовали установленным спецификациям и результатов соответствующих расследований;</w:t>
            </w:r>
          </w:p>
          <w:p>
            <w:pPr>
              <w:spacing w:after="20"/>
              <w:ind w:left="20"/>
              <w:jc w:val="both"/>
            </w:pPr>
            <w:r>
              <w:rPr>
                <w:rFonts w:ascii="Times New Roman"/>
                <w:b w:val="false"/>
                <w:i w:val="false"/>
                <w:color w:val="000000"/>
                <w:sz w:val="20"/>
              </w:rPr>
              <w:t>
   обзор всех существенных отклонений или несоответствий, обзор связанных с ними расследований, эффективности и результативности предпринятых корректирующих и предупреждающих мер;</w:t>
            </w:r>
          </w:p>
          <w:p>
            <w:pPr>
              <w:spacing w:after="20"/>
              <w:ind w:left="20"/>
              <w:jc w:val="both"/>
            </w:pPr>
            <w:r>
              <w:rPr>
                <w:rFonts w:ascii="Times New Roman"/>
                <w:b w:val="false"/>
                <w:i w:val="false"/>
                <w:color w:val="000000"/>
                <w:sz w:val="20"/>
              </w:rPr>
              <w:t>
   обзор всех изменений, внесенных в процессы или аналитические методики;</w:t>
            </w:r>
          </w:p>
          <w:p>
            <w:pPr>
              <w:spacing w:after="20"/>
              <w:ind w:left="20"/>
              <w:jc w:val="both"/>
            </w:pPr>
            <w:r>
              <w:rPr>
                <w:rFonts w:ascii="Times New Roman"/>
                <w:b w:val="false"/>
                <w:i w:val="false"/>
                <w:color w:val="000000"/>
                <w:sz w:val="20"/>
              </w:rPr>
              <w:t>
   обзор поданных, утвержденных или отклоненных изменений в регистрационное досье, в том числе в досье на лекарственные препараты, предназначенные только для экспорта;</w:t>
            </w:r>
          </w:p>
          <w:p>
            <w:pPr>
              <w:spacing w:after="20"/>
              <w:ind w:left="20"/>
              <w:jc w:val="both"/>
            </w:pPr>
            <w:r>
              <w:rPr>
                <w:rFonts w:ascii="Times New Roman"/>
                <w:b w:val="false"/>
                <w:i w:val="false"/>
                <w:color w:val="000000"/>
                <w:sz w:val="20"/>
              </w:rPr>
              <w:t>
   обзор результатов программы мониторинга стабильности и любых неблагоприятных тенденций;</w:t>
            </w:r>
          </w:p>
          <w:p>
            <w:pPr>
              <w:spacing w:after="20"/>
              <w:ind w:left="20"/>
              <w:jc w:val="both"/>
            </w:pPr>
            <w:r>
              <w:rPr>
                <w:rFonts w:ascii="Times New Roman"/>
                <w:b w:val="false"/>
                <w:i w:val="false"/>
                <w:color w:val="000000"/>
                <w:sz w:val="20"/>
              </w:rPr>
              <w:t>
   обзор всех связанных с качеством продукции возвратов, претензий и отзывов, а также проведенных в это время расследований;</w:t>
            </w:r>
          </w:p>
          <w:p>
            <w:pPr>
              <w:spacing w:after="20"/>
              <w:ind w:left="20"/>
              <w:jc w:val="both"/>
            </w:pPr>
            <w:r>
              <w:rPr>
                <w:rFonts w:ascii="Times New Roman"/>
                <w:b w:val="false"/>
                <w:i w:val="false"/>
                <w:color w:val="000000"/>
                <w:sz w:val="20"/>
              </w:rPr>
              <w:t>
   обзор достаточности любых ранее проведенных корректирующих действий в отношении производства или оборудования;</w:t>
            </w:r>
          </w:p>
          <w:p>
            <w:pPr>
              <w:spacing w:after="20"/>
              <w:ind w:left="20"/>
              <w:jc w:val="both"/>
            </w:pPr>
            <w:r>
              <w:rPr>
                <w:rFonts w:ascii="Times New Roman"/>
                <w:b w:val="false"/>
                <w:i w:val="false"/>
                <w:color w:val="000000"/>
                <w:sz w:val="20"/>
              </w:rPr>
              <w:t>
   обзор пострегистрационных обязательств при получении новых регистрационных удостоверений или изменений в регистрационные досье;</w:t>
            </w:r>
          </w:p>
          <w:p>
            <w:pPr>
              <w:spacing w:after="20"/>
              <w:ind w:left="20"/>
              <w:jc w:val="both"/>
            </w:pPr>
            <w:r>
              <w:rPr>
                <w:rFonts w:ascii="Times New Roman"/>
                <w:b w:val="false"/>
                <w:i w:val="false"/>
                <w:color w:val="000000"/>
                <w:sz w:val="20"/>
              </w:rPr>
              <w:t>
   состояние квалификации соответствующего оборудования и технических средств, например, системы нагрева, вентиляции и кондиционирования воздуха, систем снабжения водой, сжатыми газами;</w:t>
            </w:r>
          </w:p>
          <w:p>
            <w:pPr>
              <w:spacing w:after="20"/>
              <w:ind w:left="20"/>
              <w:jc w:val="both"/>
            </w:pPr>
            <w:r>
              <w:rPr>
                <w:rFonts w:ascii="Times New Roman"/>
                <w:b w:val="false"/>
                <w:i w:val="false"/>
                <w:color w:val="000000"/>
                <w:sz w:val="20"/>
              </w:rPr>
              <w:t>
   обзор любых контрактных соглашений, как установлено в главе 7 настоящего Стандарта, с целью подтверждения их соответствия действующим требованиям.</w:t>
            </w:r>
          </w:p>
          <w:p>
            <w:pPr>
              <w:spacing w:after="20"/>
              <w:ind w:left="20"/>
              <w:jc w:val="both"/>
            </w:pPr>
            <w:r>
              <w:rPr>
                <w:rFonts w:ascii="Times New Roman"/>
                <w:b w:val="false"/>
                <w:i w:val="false"/>
                <w:color w:val="000000"/>
                <w:sz w:val="20"/>
              </w:rPr>
              <w:t>
   1.11. Производитель и держатель регистрационного удостоверения, если они являются разными организациями оценивают результаты обзора и делают вывод о необходимости корректирующих и предупреждающих мероприятий или проведения повторной валидации в рамках фармацевтической системы качества. В наличии имеются руководящие процедуры для постоянного управления и анализа таких действий, эффективность этих процедур подтверждается во время самоинспекции. Обзоры качества группируются по видам продукции, например, твердые лекарственные формы, жидкие лекарственные формы, стерильные лекарственные препараты и т.д. при наличии научного обоснования.</w:t>
            </w:r>
          </w:p>
          <w:p>
            <w:pPr>
              <w:spacing w:after="20"/>
              <w:ind w:left="20"/>
              <w:jc w:val="both"/>
            </w:pPr>
            <w:r>
              <w:rPr>
                <w:rFonts w:ascii="Times New Roman"/>
                <w:b w:val="false"/>
                <w:i w:val="false"/>
                <w:color w:val="000000"/>
                <w:sz w:val="20"/>
              </w:rPr>
              <w:t xml:space="preserve">
   Если держатель регистрационного удостоверения не является производителем, то заключается соглашение между сторонами, в котором устанавливаются соответствующие обязанности сторон в отношении составления обзора качества.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рисками для качества</w:t>
            </w:r>
          </w:p>
          <w:p>
            <w:pPr>
              <w:spacing w:after="20"/>
              <w:ind w:left="20"/>
              <w:jc w:val="both"/>
            </w:pPr>
            <w:r>
              <w:rPr>
                <w:rFonts w:ascii="Times New Roman"/>
                <w:b w:val="false"/>
                <w:i w:val="false"/>
                <w:color w:val="000000"/>
                <w:sz w:val="20"/>
              </w:rPr>
              <w:t xml:space="preserve">
   1.12. Управление рисками для качества является систематизированным процессом оценки, контроля, передачи информации, а также обзора рисков для качества лекарственного препарата. Этот процесс проводится как перспективно, так и ретроспективно. </w:t>
            </w:r>
          </w:p>
          <w:p>
            <w:pPr>
              <w:spacing w:after="20"/>
              <w:ind w:left="20"/>
              <w:jc w:val="both"/>
            </w:pPr>
            <w:r>
              <w:rPr>
                <w:rFonts w:ascii="Times New Roman"/>
                <w:b w:val="false"/>
                <w:i w:val="false"/>
                <w:color w:val="000000"/>
                <w:sz w:val="20"/>
              </w:rPr>
              <w:t>
   1.13. Принципы управления рисками для качества:</w:t>
            </w:r>
          </w:p>
          <w:p>
            <w:pPr>
              <w:spacing w:after="20"/>
              <w:ind w:left="20"/>
              <w:jc w:val="both"/>
            </w:pPr>
            <w:r>
              <w:rPr>
                <w:rFonts w:ascii="Times New Roman"/>
                <w:b w:val="false"/>
                <w:i w:val="false"/>
                <w:color w:val="000000"/>
                <w:sz w:val="20"/>
              </w:rPr>
              <w:t>
   оценка рисков для качества основывается на научных знаниях, опыте работы в отношении процесса и, в конечном счете, связана с защитой пациента;</w:t>
            </w:r>
          </w:p>
          <w:p>
            <w:pPr>
              <w:spacing w:after="20"/>
              <w:ind w:left="20"/>
              <w:jc w:val="both"/>
            </w:pPr>
            <w:r>
              <w:rPr>
                <w:rFonts w:ascii="Times New Roman"/>
                <w:b w:val="false"/>
                <w:i w:val="false"/>
                <w:color w:val="000000"/>
                <w:sz w:val="20"/>
              </w:rPr>
              <w:t>
   масштаб работ, степень формализации и документального оформления процесса управления рисками для качества соответствует уровню риска.</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Надлежащее производство лекарственных средств зависит от персонала. На предприятии имеется достаточное количество квалифицированного персонала для решения задач, находящихся в сфере ответственности производителя. Каждый сотрудник понимает индивидуальную ответственность, которая документируется. Персонал знает принципы GMP, касающиеся его деятельности, а также проходит первичное и последующее обучение в соответствии с его обязанностями, включая инструктаж по выполнению гигиенических требований.</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требования</w:t>
            </w:r>
          </w:p>
          <w:p>
            <w:pPr>
              <w:spacing w:after="20"/>
              <w:ind w:left="20"/>
              <w:jc w:val="both"/>
            </w:pPr>
            <w:r>
              <w:rPr>
                <w:rFonts w:ascii="Times New Roman"/>
                <w:b w:val="false"/>
                <w:i w:val="false"/>
                <w:color w:val="000000"/>
                <w:sz w:val="20"/>
              </w:rPr>
              <w:t>
   2.1. Производитель имеет достаточное количество сотрудников с необходимой квалификацией и практическим опытом работы. Высшее руководство определяет и обеспечивает достаточные и надлежащие ресурсы: человеческие, финансовые, материальные, а также помещения и оборудование для внедрения и поддержания системы управления качеством и постоянного повышения ее эффективности. Обязанности любого сотрудника не являются чрезмерными для исключения возможности возникновения рисков для качества продукции.</w:t>
            </w:r>
          </w:p>
          <w:p>
            <w:pPr>
              <w:spacing w:after="20"/>
              <w:ind w:left="20"/>
              <w:jc w:val="both"/>
            </w:pPr>
            <w:r>
              <w:rPr>
                <w:rFonts w:ascii="Times New Roman"/>
                <w:b w:val="false"/>
                <w:i w:val="false"/>
                <w:color w:val="000000"/>
                <w:sz w:val="20"/>
              </w:rPr>
              <w:t xml:space="preserve">
   2.2. На предприятии имеется схема организационной структуры, в которой отношения между руководителями производства, контроля качества и, где это применимо, руководителем подразделения обеспечения качества или подразделения по качеству, указанные в пункте 2.5. главы 2 настоящего Стандарта и позиция Уполномоченного лица обозначены в структуре управления. </w:t>
            </w:r>
          </w:p>
          <w:p>
            <w:pPr>
              <w:spacing w:after="20"/>
              <w:ind w:left="20"/>
              <w:jc w:val="both"/>
            </w:pPr>
            <w:r>
              <w:rPr>
                <w:rFonts w:ascii="Times New Roman"/>
                <w:b w:val="false"/>
                <w:i w:val="false"/>
                <w:color w:val="000000"/>
                <w:sz w:val="20"/>
              </w:rPr>
              <w:t>
   2.3. Обязанности руководящих работников и соответствующие полномочия для их выполнения определяются и прописываются в должностных инструкциях. Их обязанности в случае их отсутствия передают заместителям, обладающим достаточным уровнем квалификации. Обязанности персонала охватывают все стороны GMP, без необоснованного дублирования сфер ответственности.</w:t>
            </w:r>
          </w:p>
          <w:p>
            <w:pPr>
              <w:spacing w:after="20"/>
              <w:ind w:left="20"/>
              <w:jc w:val="both"/>
            </w:pPr>
            <w:r>
              <w:rPr>
                <w:rFonts w:ascii="Times New Roman"/>
                <w:b w:val="false"/>
                <w:i w:val="false"/>
                <w:color w:val="000000"/>
                <w:sz w:val="20"/>
              </w:rPr>
              <w:t>
   2.4. Высшее руководство несет основную ответственность за обеспечение эффективной системы управления качеством для достижения целей в области качества, а также за то, что роли, обязанности и полномочия определены, доведены до сведения персонала и осуществляются в рамках всей организации. Высшее руководство устанавливает политику в области качества, которая описывает общие намерения и направления деятельности компании, связанные с качеством и обеспечивает постоянную пригодность и эффективность системы управления качеством и соответствие GMP путем участия в анализе со стороны руководства.</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персонал</w:t>
            </w:r>
          </w:p>
          <w:p>
            <w:pPr>
              <w:spacing w:after="20"/>
              <w:ind w:left="20"/>
              <w:jc w:val="both"/>
            </w:pPr>
            <w:r>
              <w:rPr>
                <w:rFonts w:ascii="Times New Roman"/>
                <w:b w:val="false"/>
                <w:i w:val="false"/>
                <w:color w:val="000000"/>
                <w:sz w:val="20"/>
              </w:rPr>
              <w:t>
   2.5. Высшее руководство назначает ключевой руководящий персонал, включая руководителя производства и руководителя подразделения контроля качества, и достаточное количество, но, по крайней мере, одно Уполномоченное лицо, если руководитель производства и (или) руководитель подразделения контроля качества не отвечает за обязанности, предусмотренные для Уполномоченного лица. Ключевой руководящий персонал работает полный рабочий день. Руководители производства и подразделения контроля качества независимы друг от друга. В больших организациях возникает необходимость передать другим сотрудникам отдельные функции, перечисленные в пунктах 2.7, 2.8 и 2.9 главы 2 настоящего Стандарта.</w:t>
            </w:r>
          </w:p>
          <w:p>
            <w:pPr>
              <w:spacing w:after="20"/>
              <w:ind w:left="20"/>
              <w:jc w:val="both"/>
            </w:pPr>
            <w:r>
              <w:rPr>
                <w:rFonts w:ascii="Times New Roman"/>
                <w:b w:val="false"/>
                <w:i w:val="false"/>
                <w:color w:val="000000"/>
                <w:sz w:val="20"/>
              </w:rPr>
              <w:t>
   В зависимости от размера и структуры организации отдельно назначается руководитель подразделения обеспечения качества или руководитель подразделения качества. При наличии таких подразделений некоторые их обязанности, описанные в пунктах 2.7, 2.8 и 2.9 главы 2 настоящего Стандарта, будут общими с руководителем контроля качества и руководителем производства, поэтому высшее руководство обеспечивает, чтобы роли, обязанности и полномочия были определены.</w:t>
            </w:r>
          </w:p>
          <w:p>
            <w:pPr>
              <w:spacing w:after="20"/>
              <w:ind w:left="20"/>
              <w:jc w:val="both"/>
            </w:pPr>
            <w:r>
              <w:rPr>
                <w:rFonts w:ascii="Times New Roman"/>
                <w:b w:val="false"/>
                <w:i w:val="false"/>
                <w:color w:val="000000"/>
                <w:sz w:val="20"/>
              </w:rPr>
              <w:t xml:space="preserve">
   2.6. Уполномоченное лицо гарантирует, что каждая производственная серия подверглась полному качественному анализу, количественному анализу, и другим испытаниям или проверкам, необходимым для обеспечения качества лекарственных средств в соответствии с требованиями регистрационного досье. </w:t>
            </w:r>
          </w:p>
          <w:p>
            <w:pPr>
              <w:spacing w:after="20"/>
              <w:ind w:left="20"/>
              <w:jc w:val="both"/>
            </w:pPr>
            <w:r>
              <w:rPr>
                <w:rFonts w:ascii="Times New Roman"/>
                <w:b w:val="false"/>
                <w:i w:val="false"/>
                <w:color w:val="000000"/>
                <w:sz w:val="20"/>
              </w:rPr>
              <w:t>
   Уполномоченное лицо перед выпуском любой серии документально подтверждает, что все необходимые операции выполнены, и что каждая серия соответствует установленным требованиям.</w:t>
            </w:r>
          </w:p>
          <w:p>
            <w:pPr>
              <w:spacing w:after="20"/>
              <w:ind w:left="20"/>
              <w:jc w:val="both"/>
            </w:pPr>
            <w:r>
              <w:rPr>
                <w:rFonts w:ascii="Times New Roman"/>
                <w:b w:val="false"/>
                <w:i w:val="false"/>
                <w:color w:val="000000"/>
                <w:sz w:val="20"/>
              </w:rPr>
              <w:t>
   Уполномоченное лицо имеет высшее фармацевтическое образование, обучение и стаж работы на производстве не менее 3 лет. Допускается иметь Уполномоченному лицу химическое, химико-технологическое, химико-фармацевтическое, биологическое образование. Уполномоченное лицо входит в штат производителя лекарственных средств и подчиняется непосредственно первому руководителю производителя.</w:t>
            </w:r>
          </w:p>
          <w:p>
            <w:pPr>
              <w:spacing w:after="20"/>
              <w:ind w:left="20"/>
              <w:jc w:val="both"/>
            </w:pPr>
            <w:r>
              <w:rPr>
                <w:rFonts w:ascii="Times New Roman"/>
                <w:b w:val="false"/>
                <w:i w:val="false"/>
                <w:color w:val="000000"/>
                <w:sz w:val="20"/>
              </w:rPr>
              <w:t xml:space="preserve">
   Уполномоченное лицо независимо по своему подчинению руководителям производственных подразделений. </w:t>
            </w:r>
          </w:p>
          <w:p>
            <w:pPr>
              <w:spacing w:after="20"/>
              <w:ind w:left="20"/>
              <w:jc w:val="both"/>
            </w:pPr>
            <w:r>
              <w:rPr>
                <w:rFonts w:ascii="Times New Roman"/>
                <w:b w:val="false"/>
                <w:i w:val="false"/>
                <w:color w:val="000000"/>
                <w:sz w:val="20"/>
              </w:rPr>
              <w:t>
   Обязанности Уполномоченного лица передаются только другому Уполномоченному лицу.</w:t>
            </w:r>
          </w:p>
          <w:p>
            <w:pPr>
              <w:spacing w:after="20"/>
              <w:ind w:left="20"/>
              <w:jc w:val="both"/>
            </w:pPr>
            <w:r>
              <w:rPr>
                <w:rFonts w:ascii="Times New Roman"/>
                <w:b w:val="false"/>
                <w:i w:val="false"/>
                <w:color w:val="000000"/>
                <w:sz w:val="20"/>
              </w:rPr>
              <w:t>
   2.7. Должностные обязанности руководителя производства включают:</w:t>
            </w:r>
          </w:p>
          <w:p>
            <w:pPr>
              <w:spacing w:after="20"/>
              <w:ind w:left="20"/>
              <w:jc w:val="both"/>
            </w:pPr>
            <w:r>
              <w:rPr>
                <w:rFonts w:ascii="Times New Roman"/>
                <w:b w:val="false"/>
                <w:i w:val="false"/>
                <w:color w:val="000000"/>
                <w:sz w:val="20"/>
              </w:rPr>
              <w:t>
   1) обеспечение соответствия производства и хранения продукции утвержденной документации для обеспечения требуемого качества;</w:t>
            </w:r>
          </w:p>
          <w:p>
            <w:pPr>
              <w:spacing w:after="20"/>
              <w:ind w:left="20"/>
              <w:jc w:val="both"/>
            </w:pPr>
            <w:r>
              <w:rPr>
                <w:rFonts w:ascii="Times New Roman"/>
                <w:b w:val="false"/>
                <w:i w:val="false"/>
                <w:color w:val="000000"/>
                <w:sz w:val="20"/>
              </w:rPr>
              <w:t>
   2) утверждение инструкций, касающихся производственных операций, и обеспечение их строгого выполнения;</w:t>
            </w:r>
          </w:p>
          <w:p>
            <w:pPr>
              <w:spacing w:after="20"/>
              <w:ind w:left="20"/>
              <w:jc w:val="both"/>
            </w:pPr>
            <w:r>
              <w:rPr>
                <w:rFonts w:ascii="Times New Roman"/>
                <w:b w:val="false"/>
                <w:i w:val="false"/>
                <w:color w:val="000000"/>
                <w:sz w:val="20"/>
              </w:rPr>
              <w:t>
   3) обеспечение оценки и подписания производственных документов уполномоченным на это персоналом;</w:t>
            </w:r>
          </w:p>
          <w:p>
            <w:pPr>
              <w:spacing w:after="20"/>
              <w:ind w:left="20"/>
              <w:jc w:val="both"/>
            </w:pPr>
            <w:r>
              <w:rPr>
                <w:rFonts w:ascii="Times New Roman"/>
                <w:b w:val="false"/>
                <w:i w:val="false"/>
                <w:color w:val="000000"/>
                <w:sz w:val="20"/>
              </w:rPr>
              <w:t>
   4) обеспечение и гарантия квалификации, содержания, эксплуатации и технического обслуживания помещений и оборудования в своем подразделении;</w:t>
            </w:r>
          </w:p>
          <w:p>
            <w:pPr>
              <w:spacing w:after="20"/>
              <w:ind w:left="20"/>
              <w:jc w:val="both"/>
            </w:pPr>
            <w:r>
              <w:rPr>
                <w:rFonts w:ascii="Times New Roman"/>
                <w:b w:val="false"/>
                <w:i w:val="false"/>
                <w:color w:val="000000"/>
                <w:sz w:val="20"/>
              </w:rPr>
              <w:t>
   5) обеспечение и гарантия проведения соответствующей валидации;</w:t>
            </w:r>
          </w:p>
          <w:p>
            <w:pPr>
              <w:spacing w:after="20"/>
              <w:ind w:left="20"/>
              <w:jc w:val="both"/>
            </w:pPr>
            <w:r>
              <w:rPr>
                <w:rFonts w:ascii="Times New Roman"/>
                <w:b w:val="false"/>
                <w:i w:val="false"/>
                <w:color w:val="000000"/>
                <w:sz w:val="20"/>
              </w:rPr>
              <w:t>
   6) обеспечение и гарантия проведения необходимого первичного и последующего непрерывного обучения персонала своего подразделения.</w:t>
            </w:r>
          </w:p>
          <w:p>
            <w:pPr>
              <w:spacing w:after="20"/>
              <w:ind w:left="20"/>
              <w:jc w:val="both"/>
            </w:pPr>
            <w:r>
              <w:rPr>
                <w:rFonts w:ascii="Times New Roman"/>
                <w:b w:val="false"/>
                <w:i w:val="false"/>
                <w:color w:val="000000"/>
                <w:sz w:val="20"/>
              </w:rPr>
              <w:t>
   2.8. Должностные обязанности руководителя подразделения контроля качества включают:</w:t>
            </w:r>
          </w:p>
          <w:p>
            <w:pPr>
              <w:spacing w:after="20"/>
              <w:ind w:left="20"/>
              <w:jc w:val="both"/>
            </w:pPr>
            <w:r>
              <w:rPr>
                <w:rFonts w:ascii="Times New Roman"/>
                <w:b w:val="false"/>
                <w:i w:val="false"/>
                <w:color w:val="000000"/>
                <w:sz w:val="20"/>
              </w:rPr>
              <w:t>
   1) одобрение или отклонение, если он считает это необходимым, исходного сырья и упаковочных материалов, а также промежуточной, нерасфасованной и готовой продукции;</w:t>
            </w:r>
          </w:p>
          <w:p>
            <w:pPr>
              <w:spacing w:after="20"/>
              <w:ind w:left="20"/>
              <w:jc w:val="both"/>
            </w:pPr>
            <w:r>
              <w:rPr>
                <w:rFonts w:ascii="Times New Roman"/>
                <w:b w:val="false"/>
                <w:i w:val="false"/>
                <w:color w:val="000000"/>
                <w:sz w:val="20"/>
              </w:rPr>
              <w:t>
   2) обеспечение проведения всех необходимых испытаний и оценки соответствующих записей;</w:t>
            </w:r>
          </w:p>
          <w:p>
            <w:pPr>
              <w:spacing w:after="20"/>
              <w:ind w:left="20"/>
              <w:jc w:val="both"/>
            </w:pPr>
            <w:r>
              <w:rPr>
                <w:rFonts w:ascii="Times New Roman"/>
                <w:b w:val="false"/>
                <w:i w:val="false"/>
                <w:color w:val="000000"/>
                <w:sz w:val="20"/>
              </w:rPr>
              <w:t>
   3) утверждение спецификации, процедур по отбору проб, методик испытаний и других процедур по контролю качества;</w:t>
            </w:r>
          </w:p>
          <w:p>
            <w:pPr>
              <w:spacing w:after="20"/>
              <w:ind w:left="20"/>
              <w:jc w:val="both"/>
            </w:pPr>
            <w:r>
              <w:rPr>
                <w:rFonts w:ascii="Times New Roman"/>
                <w:b w:val="false"/>
                <w:i w:val="false"/>
                <w:color w:val="000000"/>
                <w:sz w:val="20"/>
              </w:rPr>
              <w:t>
   4) одобрение специалистов, привлекаемых к проведению испытаний по контракту, и осуществление контроля за ними;</w:t>
            </w:r>
          </w:p>
          <w:p>
            <w:pPr>
              <w:spacing w:after="20"/>
              <w:ind w:left="20"/>
              <w:jc w:val="both"/>
            </w:pPr>
            <w:r>
              <w:rPr>
                <w:rFonts w:ascii="Times New Roman"/>
                <w:b w:val="false"/>
                <w:i w:val="false"/>
                <w:color w:val="000000"/>
                <w:sz w:val="20"/>
              </w:rPr>
              <w:t>
   5) обеспечение и гарантия квалификации, содержания, эксплуатации и технического обслуживания помещений и оборудования в своем подразделении;</w:t>
            </w:r>
          </w:p>
          <w:p>
            <w:pPr>
              <w:spacing w:after="20"/>
              <w:ind w:left="20"/>
              <w:jc w:val="both"/>
            </w:pPr>
            <w:r>
              <w:rPr>
                <w:rFonts w:ascii="Times New Roman"/>
                <w:b w:val="false"/>
                <w:i w:val="false"/>
                <w:color w:val="000000"/>
                <w:sz w:val="20"/>
              </w:rPr>
              <w:t>
   6) обеспечение и гарантия проведения соответствующей валидации;</w:t>
            </w:r>
          </w:p>
          <w:p>
            <w:pPr>
              <w:spacing w:after="20"/>
              <w:ind w:left="20"/>
              <w:jc w:val="both"/>
            </w:pPr>
            <w:r>
              <w:rPr>
                <w:rFonts w:ascii="Times New Roman"/>
                <w:b w:val="false"/>
                <w:i w:val="false"/>
                <w:color w:val="000000"/>
                <w:sz w:val="20"/>
              </w:rPr>
              <w:t>
   7) обеспечение и гарантия проведения необходимого первичного и последующего непрерывного обучения персонала своего подразделения.</w:t>
            </w:r>
          </w:p>
          <w:p>
            <w:pPr>
              <w:spacing w:after="20"/>
              <w:ind w:left="20"/>
              <w:jc w:val="both"/>
            </w:pPr>
            <w:r>
              <w:rPr>
                <w:rFonts w:ascii="Times New Roman"/>
                <w:b w:val="false"/>
                <w:i w:val="false"/>
                <w:color w:val="000000"/>
                <w:sz w:val="20"/>
              </w:rPr>
              <w:t>
   2.9. Руководители производства и подразделения контроля качества и, при необходимости, руководитель отдела обеспечения качества или руководитель службы качества имеют некоторые общие или совместно выполняемые обязанности, относящиеся к обеспечению качества продукции, включая в частности, разработку, эффективное внедрение, поддержание и мониторинг системы управления качеством.</w:t>
            </w:r>
          </w:p>
          <w:p>
            <w:pPr>
              <w:spacing w:after="20"/>
              <w:ind w:left="20"/>
              <w:jc w:val="both"/>
            </w:pPr>
            <w:r>
              <w:rPr>
                <w:rFonts w:ascii="Times New Roman"/>
                <w:b w:val="false"/>
                <w:i w:val="false"/>
                <w:color w:val="000000"/>
                <w:sz w:val="20"/>
              </w:rPr>
              <w:t>
   Эти обязанности включают:</w:t>
            </w:r>
          </w:p>
          <w:p>
            <w:pPr>
              <w:spacing w:after="20"/>
              <w:ind w:left="20"/>
              <w:jc w:val="both"/>
            </w:pPr>
            <w:r>
              <w:rPr>
                <w:rFonts w:ascii="Times New Roman"/>
                <w:b w:val="false"/>
                <w:i w:val="false"/>
                <w:color w:val="000000"/>
                <w:sz w:val="20"/>
              </w:rPr>
              <w:t>
   1) согласование и утверждение письменных процедур и других документов, в том числе внесение в них изменений;</w:t>
            </w:r>
          </w:p>
          <w:p>
            <w:pPr>
              <w:spacing w:after="20"/>
              <w:ind w:left="20"/>
              <w:jc w:val="both"/>
            </w:pPr>
            <w:r>
              <w:rPr>
                <w:rFonts w:ascii="Times New Roman"/>
                <w:b w:val="false"/>
                <w:i w:val="false"/>
                <w:color w:val="000000"/>
                <w:sz w:val="20"/>
              </w:rPr>
              <w:t xml:space="preserve">
   2) мониторинг и контроль производственной среды; </w:t>
            </w:r>
          </w:p>
          <w:p>
            <w:pPr>
              <w:spacing w:after="20"/>
              <w:ind w:left="20"/>
              <w:jc w:val="both"/>
            </w:pPr>
            <w:r>
              <w:rPr>
                <w:rFonts w:ascii="Times New Roman"/>
                <w:b w:val="false"/>
                <w:i w:val="false"/>
                <w:color w:val="000000"/>
                <w:sz w:val="20"/>
              </w:rPr>
              <w:t>
   3) контроль за соблюдением гигиенических требований на предприятии;</w:t>
            </w:r>
          </w:p>
          <w:p>
            <w:pPr>
              <w:spacing w:after="20"/>
              <w:ind w:left="20"/>
              <w:jc w:val="both"/>
            </w:pPr>
            <w:r>
              <w:rPr>
                <w:rFonts w:ascii="Times New Roman"/>
                <w:b w:val="false"/>
                <w:i w:val="false"/>
                <w:color w:val="000000"/>
                <w:sz w:val="20"/>
              </w:rPr>
              <w:t>
   4) валидацию процессов;</w:t>
            </w:r>
          </w:p>
          <w:p>
            <w:pPr>
              <w:spacing w:after="20"/>
              <w:ind w:left="20"/>
              <w:jc w:val="both"/>
            </w:pPr>
            <w:r>
              <w:rPr>
                <w:rFonts w:ascii="Times New Roman"/>
                <w:b w:val="false"/>
                <w:i w:val="false"/>
                <w:color w:val="000000"/>
                <w:sz w:val="20"/>
              </w:rPr>
              <w:t>
   5) обучение персонала;</w:t>
            </w:r>
          </w:p>
          <w:p>
            <w:pPr>
              <w:spacing w:after="20"/>
              <w:ind w:left="20"/>
              <w:jc w:val="both"/>
            </w:pPr>
            <w:r>
              <w:rPr>
                <w:rFonts w:ascii="Times New Roman"/>
                <w:b w:val="false"/>
                <w:i w:val="false"/>
                <w:color w:val="000000"/>
                <w:sz w:val="20"/>
              </w:rPr>
              <w:t>
   6) утверждение и мониторинг поставщиков исходных и упаковочных материалов;</w:t>
            </w:r>
          </w:p>
          <w:p>
            <w:pPr>
              <w:spacing w:after="20"/>
              <w:ind w:left="20"/>
              <w:jc w:val="both"/>
            </w:pPr>
            <w:r>
              <w:rPr>
                <w:rFonts w:ascii="Times New Roman"/>
                <w:b w:val="false"/>
                <w:i w:val="false"/>
                <w:color w:val="000000"/>
                <w:sz w:val="20"/>
              </w:rPr>
              <w:t>
   7) утверждение и мониторинг организаций, выполняющих работы по контракту и поставщиков другой связанной с GMP аутсорсинговой деятельности;</w:t>
            </w:r>
          </w:p>
          <w:p>
            <w:pPr>
              <w:spacing w:after="20"/>
              <w:ind w:left="20"/>
              <w:jc w:val="both"/>
            </w:pPr>
            <w:r>
              <w:rPr>
                <w:rFonts w:ascii="Times New Roman"/>
                <w:b w:val="false"/>
                <w:i w:val="false"/>
                <w:color w:val="000000"/>
                <w:sz w:val="20"/>
              </w:rPr>
              <w:t>
   8) определение и мониторинг соблюдения условий хранения материалов и продукции;</w:t>
            </w:r>
          </w:p>
          <w:p>
            <w:pPr>
              <w:spacing w:after="20"/>
              <w:ind w:left="20"/>
              <w:jc w:val="both"/>
            </w:pPr>
            <w:r>
              <w:rPr>
                <w:rFonts w:ascii="Times New Roman"/>
                <w:b w:val="false"/>
                <w:i w:val="false"/>
                <w:color w:val="000000"/>
                <w:sz w:val="20"/>
              </w:rPr>
              <w:t>
   9) хранение записей;</w:t>
            </w:r>
          </w:p>
          <w:p>
            <w:pPr>
              <w:spacing w:after="20"/>
              <w:ind w:left="20"/>
              <w:jc w:val="both"/>
            </w:pPr>
            <w:r>
              <w:rPr>
                <w:rFonts w:ascii="Times New Roman"/>
                <w:b w:val="false"/>
                <w:i w:val="false"/>
                <w:color w:val="000000"/>
                <w:sz w:val="20"/>
              </w:rPr>
              <w:t>
   10) мониторинг соблюдения требований GMP;</w:t>
            </w:r>
          </w:p>
          <w:p>
            <w:pPr>
              <w:spacing w:after="20"/>
              <w:ind w:left="20"/>
              <w:jc w:val="both"/>
            </w:pPr>
            <w:r>
              <w:rPr>
                <w:rFonts w:ascii="Times New Roman"/>
                <w:b w:val="false"/>
                <w:i w:val="false"/>
                <w:color w:val="000000"/>
                <w:sz w:val="20"/>
              </w:rPr>
              <w:t>
   11) проверка, расследование и отбор проб или образцов в целях контроля факторов, которые могут повлиять на качество продукции;</w:t>
            </w:r>
          </w:p>
          <w:p>
            <w:pPr>
              <w:spacing w:after="20"/>
              <w:ind w:left="20"/>
              <w:jc w:val="both"/>
            </w:pPr>
            <w:r>
              <w:rPr>
                <w:rFonts w:ascii="Times New Roman"/>
                <w:b w:val="false"/>
                <w:i w:val="false"/>
                <w:color w:val="000000"/>
                <w:sz w:val="20"/>
              </w:rPr>
              <w:t>
   12) участие в анализе со стороны руководства функционирования процессов, качества продукции и системы управления качеством и поддержка постоянного улучшения;</w:t>
            </w:r>
          </w:p>
          <w:p>
            <w:pPr>
              <w:spacing w:after="20"/>
              <w:ind w:left="20"/>
              <w:jc w:val="both"/>
            </w:pPr>
            <w:r>
              <w:rPr>
                <w:rFonts w:ascii="Times New Roman"/>
                <w:b w:val="false"/>
                <w:i w:val="false"/>
                <w:color w:val="000000"/>
                <w:sz w:val="20"/>
              </w:rPr>
              <w:t xml:space="preserve">
   13) обеспечение своевременного и эффективного процесса обмена информацией и доведение проблемных вопросов по качеству до руководящего состава соответствующего уровня.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Обучение</w:t>
            </w:r>
          </w:p>
          <w:p>
            <w:pPr>
              <w:spacing w:after="20"/>
              <w:ind w:left="20"/>
              <w:jc w:val="both"/>
            </w:pPr>
            <w:r>
              <w:rPr>
                <w:rFonts w:ascii="Times New Roman"/>
                <w:b w:val="false"/>
                <w:i w:val="false"/>
                <w:color w:val="000000"/>
                <w:sz w:val="20"/>
              </w:rPr>
              <w:t>
   2.10. Производитель обеспечивает обучение персонала, должностные обязанности которого предполагают пребывание в производственных и складских зонах или контрольных лабораториях, включая технический и обслуживающий персонал, а также работников, проводящих уборку, а также другого персонала, деятельность которого оказывает влияние на качество продукции.</w:t>
            </w:r>
          </w:p>
          <w:p>
            <w:pPr>
              <w:spacing w:after="20"/>
              <w:ind w:left="20"/>
              <w:jc w:val="both"/>
            </w:pPr>
            <w:r>
              <w:rPr>
                <w:rFonts w:ascii="Times New Roman"/>
                <w:b w:val="false"/>
                <w:i w:val="false"/>
                <w:color w:val="000000"/>
                <w:sz w:val="20"/>
              </w:rPr>
              <w:t>
   2.11. Кроме основного обучения, включающего теорию и практику применения системы управления качеством и GMP, каждый принятый на работу работник проходит первичное обучение в соответствии с должностными обязанностями. Производитель проводит последующее непрерывное обучение персонала, периодически оценивая его эффективность на практике. Обучение персонала проводится по программам обучения, утвержденным соответственно руководителем производства, либо руководителем подразделения контроля качества. Производитель хранит записи о проведении обучения.</w:t>
            </w:r>
          </w:p>
          <w:p>
            <w:pPr>
              <w:spacing w:after="20"/>
              <w:ind w:left="20"/>
              <w:jc w:val="both"/>
            </w:pPr>
            <w:r>
              <w:rPr>
                <w:rFonts w:ascii="Times New Roman"/>
                <w:b w:val="false"/>
                <w:i w:val="false"/>
                <w:color w:val="000000"/>
                <w:sz w:val="20"/>
              </w:rPr>
              <w:t>
   2.12. Персонал, работающий в зонах, где контаминация представляет опасность, например, в чистых зонах или в зонах, где работают с высоко активными, токсичными, инфицирующими или сенсибилизирующими веществами, проходит специальное обучение.</w:t>
            </w:r>
          </w:p>
          <w:p>
            <w:pPr>
              <w:spacing w:after="20"/>
              <w:ind w:left="20"/>
              <w:jc w:val="both"/>
            </w:pPr>
            <w:r>
              <w:rPr>
                <w:rFonts w:ascii="Times New Roman"/>
                <w:b w:val="false"/>
                <w:i w:val="false"/>
                <w:color w:val="000000"/>
                <w:sz w:val="20"/>
              </w:rPr>
              <w:t>
   2.13. Посетители и (или) не прошедшие обучения сотрудники не допускаются в зоны производства и контроля качества. Если это неизбежно, они предварительно проходят инструктаж, в частности, по гигиеническим требованиям к персоналу и использованию защитной одежды. За ними организовывается наблюдение и сопровождение.</w:t>
            </w:r>
          </w:p>
          <w:p>
            <w:pPr>
              <w:spacing w:after="20"/>
              <w:ind w:left="20"/>
              <w:jc w:val="both"/>
            </w:pPr>
            <w:r>
              <w:rPr>
                <w:rFonts w:ascii="Times New Roman"/>
                <w:b w:val="false"/>
                <w:i w:val="false"/>
                <w:color w:val="000000"/>
                <w:sz w:val="20"/>
              </w:rPr>
              <w:t>
   2.14. При обучении разъясняются и обсуждаются принципы фармацевтической системы качества, а также меры, улучшающие их понимание и осуществление.</w:t>
            </w:r>
          </w:p>
          <w:p>
            <w:pPr>
              <w:spacing w:after="20"/>
              <w:ind w:left="20"/>
              <w:jc w:val="both"/>
            </w:pPr>
            <w:r>
              <w:rPr>
                <w:rFonts w:ascii="Times New Roman"/>
                <w:b w:val="false"/>
                <w:i w:val="false"/>
                <w:color w:val="000000"/>
                <w:sz w:val="20"/>
              </w:rPr>
              <w:t>
   2.15. На предприятии разрабатываются детальные программы по гигиене труда, с учетом особенностей конкретного производства и предусмотрены процедуры, касающиеся здоровья, соблюдения гигиенических правил и одежды персонала. Каждый работник, обязанности которого предполагают пребывание в зонах производства и контроля, понимает и точно соблюдает эти процедуры. Руководство предприятия содействует развитию программ по гигиене, которые обсуждают при обучении.</w:t>
            </w:r>
          </w:p>
          <w:p>
            <w:pPr>
              <w:spacing w:after="20"/>
              <w:ind w:left="20"/>
              <w:jc w:val="both"/>
            </w:pPr>
            <w:r>
              <w:rPr>
                <w:rFonts w:ascii="Times New Roman"/>
                <w:b w:val="false"/>
                <w:i w:val="false"/>
                <w:color w:val="000000"/>
                <w:sz w:val="20"/>
              </w:rPr>
              <w:t>
   2.16. Лица, принимаемые на работу, проходят медицинский осмотр. Производитель утверждает инструкции, обеспечивающие его осведомленность о состоянии здоровья персонала, которое влияет на качество продукции. После первичного медицинского осмотра проводятся регулярные последующие медицинские осмотры персонала.</w:t>
            </w:r>
          </w:p>
          <w:p>
            <w:pPr>
              <w:spacing w:after="20"/>
              <w:ind w:left="20"/>
              <w:jc w:val="both"/>
            </w:pPr>
            <w:r>
              <w:rPr>
                <w:rFonts w:ascii="Times New Roman"/>
                <w:b w:val="false"/>
                <w:i w:val="false"/>
                <w:color w:val="000000"/>
                <w:sz w:val="20"/>
              </w:rPr>
              <w:t>
   2.17. Производитель предпринимает меры, обеспечивающие недопущение лиц с инфекционными заболеваниями или открытыми повреждениями на открытых участках тела к производству лекарственных средств.</w:t>
            </w:r>
          </w:p>
          <w:p>
            <w:pPr>
              <w:spacing w:after="20"/>
              <w:ind w:left="20"/>
              <w:jc w:val="both"/>
            </w:pPr>
            <w:r>
              <w:rPr>
                <w:rFonts w:ascii="Times New Roman"/>
                <w:b w:val="false"/>
                <w:i w:val="false"/>
                <w:color w:val="000000"/>
                <w:sz w:val="20"/>
              </w:rPr>
              <w:t>
   2.18. Лица, входящие в производственные зоны, носят защитную одежду, соответствующую выполняемым в этих зонах операциям.</w:t>
            </w:r>
          </w:p>
          <w:p>
            <w:pPr>
              <w:spacing w:after="20"/>
              <w:ind w:left="20"/>
              <w:jc w:val="both"/>
            </w:pPr>
            <w:r>
              <w:rPr>
                <w:rFonts w:ascii="Times New Roman"/>
                <w:b w:val="false"/>
                <w:i w:val="false"/>
                <w:color w:val="000000"/>
                <w:sz w:val="20"/>
              </w:rPr>
              <w:t xml:space="preserve">
   2.19. В производственных зонах и складских зонах запрещаются курение, прием пищи, питье, жевание, а также хранение пищевых продуктов, напитков, табачных изделий и личных лекарственных препаратов. Не допускаются любые действия, нарушающие гигиенические требования в производственных помещениях (зонах) или в других местах, которые могут оказать неблагоприятное влияние на качество продукции. </w:t>
            </w:r>
          </w:p>
          <w:p>
            <w:pPr>
              <w:spacing w:after="20"/>
              <w:ind w:left="20"/>
              <w:jc w:val="both"/>
            </w:pPr>
            <w:r>
              <w:rPr>
                <w:rFonts w:ascii="Times New Roman"/>
                <w:b w:val="false"/>
                <w:i w:val="false"/>
                <w:color w:val="000000"/>
                <w:sz w:val="20"/>
              </w:rPr>
              <w:t>
   2.20. Необходимо избегать непосредственного контакта рук персонала с открытой продукцией, а также любой частью оборудования, контактирующей с продукцией.</w:t>
            </w:r>
          </w:p>
          <w:p>
            <w:pPr>
              <w:spacing w:after="20"/>
              <w:ind w:left="20"/>
              <w:jc w:val="both"/>
            </w:pPr>
            <w:r>
              <w:rPr>
                <w:rFonts w:ascii="Times New Roman"/>
                <w:b w:val="false"/>
                <w:i w:val="false"/>
                <w:color w:val="000000"/>
                <w:sz w:val="20"/>
              </w:rPr>
              <w:t>
   2.21. Персонал обучается правилам мытья рук.</w:t>
            </w:r>
          </w:p>
          <w:p>
            <w:pPr>
              <w:spacing w:after="20"/>
              <w:ind w:left="20"/>
              <w:jc w:val="both"/>
            </w:pPr>
            <w:r>
              <w:rPr>
                <w:rFonts w:ascii="Times New Roman"/>
                <w:b w:val="false"/>
                <w:i w:val="false"/>
                <w:color w:val="000000"/>
                <w:sz w:val="20"/>
              </w:rPr>
              <w:t>
   2.22. Специальные требования, относящиеся к производству отдельных видов продукции, например, стерильных лекарственных средств, приведены в приложениях к настоящему Стандарту.</w:t>
            </w:r>
          </w:p>
          <w:p>
            <w:pPr>
              <w:spacing w:after="20"/>
              <w:ind w:left="20"/>
              <w:jc w:val="both"/>
            </w:pPr>
            <w:r>
              <w:rPr>
                <w:rFonts w:ascii="Times New Roman"/>
                <w:b w:val="false"/>
                <w:i w:val="false"/>
                <w:color w:val="000000"/>
                <w:sz w:val="20"/>
              </w:rPr>
              <w:t>
</w:t>
            </w:r>
            <w:r>
              <w:rPr>
                <w:rFonts w:ascii="Times New Roman"/>
                <w:b/>
                <w:i w:val="false"/>
                <w:color w:val="000000"/>
                <w:sz w:val="20"/>
              </w:rPr>
              <w:t>Консультанты</w:t>
            </w:r>
          </w:p>
          <w:p>
            <w:pPr>
              <w:spacing w:after="20"/>
              <w:ind w:left="20"/>
              <w:jc w:val="both"/>
            </w:pPr>
            <w:r>
              <w:rPr>
                <w:rFonts w:ascii="Times New Roman"/>
                <w:b w:val="false"/>
                <w:i w:val="false"/>
                <w:color w:val="000000"/>
                <w:sz w:val="20"/>
              </w:rPr>
              <w:t>
   2.23. Консультанты имеют соответствующее образование, подготовку и опыт или любую их комбинацию по вопросам деятельности, для консультирования которой они привлекаются. Ведется их учет с указанием личных данных, адреса проживания, квалификации и вида услуг, предоставляемых этими консультантами.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Помещения и оборудование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Помещения и оборудование следует располагать, проектировать, строить, оснащать и эксплуатировать таким образом, чтобы они соответствовали проводимым операциям. Их расположение и конструкция сводят к минимуму риск ошибок и обеспечивают возможность эффективной очистки и обслуживания в целях исключения перекрестной контаминации, накопления пыли или грязи и любых неблагоприятных факторов для качества продукции.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Помещения. Общие требования</w:t>
            </w:r>
          </w:p>
          <w:p>
            <w:pPr>
              <w:spacing w:after="20"/>
              <w:ind w:left="20"/>
              <w:jc w:val="both"/>
            </w:pPr>
            <w:r>
              <w:rPr>
                <w:rFonts w:ascii="Times New Roman"/>
                <w:b w:val="false"/>
                <w:i w:val="false"/>
                <w:color w:val="000000"/>
                <w:sz w:val="20"/>
              </w:rPr>
              <w:t>
   3.1. Производственная среда помещений, учитывая меры по защите производства, представляет минимальный риск контаминации материалов или продукции.</w:t>
            </w:r>
          </w:p>
          <w:p>
            <w:pPr>
              <w:spacing w:after="20"/>
              <w:ind w:left="20"/>
              <w:jc w:val="both"/>
            </w:pPr>
            <w:r>
              <w:rPr>
                <w:rFonts w:ascii="Times New Roman"/>
                <w:b w:val="false"/>
                <w:i w:val="false"/>
                <w:color w:val="000000"/>
                <w:sz w:val="20"/>
              </w:rPr>
              <w:t>
   3.2. Проводится тщательное техническое обслуживание помещений, гарантируя, что ремонт и обслуживание не будут представлять никакой опасности для качества продукции. Помещения убираются и, где применимо, дезинфицируются в соответствии с подробными письменными инструкциями.</w:t>
            </w:r>
          </w:p>
          <w:p>
            <w:pPr>
              <w:spacing w:after="20"/>
              <w:ind w:left="20"/>
              <w:jc w:val="both"/>
            </w:pPr>
            <w:r>
              <w:rPr>
                <w:rFonts w:ascii="Times New Roman"/>
                <w:b w:val="false"/>
                <w:i w:val="false"/>
                <w:color w:val="000000"/>
                <w:sz w:val="20"/>
              </w:rPr>
              <w:t>
   3.3. Освещение, температура, влажность и вентиляция соответствуют размерам помещения, выполняемым функциям и не оказывает неблагоприятного прямого или косвенного воздействия на лекарственные препараты во время их производства и хранения, на надлежащее функционирование оборудования.</w:t>
            </w:r>
          </w:p>
          <w:p>
            <w:pPr>
              <w:spacing w:after="20"/>
              <w:ind w:left="20"/>
              <w:jc w:val="both"/>
            </w:pPr>
            <w:r>
              <w:rPr>
                <w:rFonts w:ascii="Times New Roman"/>
                <w:b w:val="false"/>
                <w:i w:val="false"/>
                <w:color w:val="000000"/>
                <w:sz w:val="20"/>
              </w:rPr>
              <w:t xml:space="preserve">
   3.4. Помещения проектируются и оснащаются таким образом, чтобы обеспечить максимальную защиту от проникновения в них насекомых или животных. </w:t>
            </w:r>
          </w:p>
          <w:p>
            <w:pPr>
              <w:spacing w:after="20"/>
              <w:ind w:left="20"/>
              <w:jc w:val="both"/>
            </w:pPr>
            <w:r>
              <w:rPr>
                <w:rFonts w:ascii="Times New Roman"/>
                <w:b w:val="false"/>
                <w:i w:val="false"/>
                <w:color w:val="000000"/>
                <w:sz w:val="20"/>
              </w:rPr>
              <w:t>
   3.5. Принимаются меры, предотвращающие вход в помещения лиц, не имеющих права доступа в них. Зоны производства, хранения и контроля качества не используются как проходные для персонала, который в них не работает.</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Производственная зона</w:t>
            </w:r>
          </w:p>
          <w:p>
            <w:pPr>
              <w:spacing w:after="20"/>
              <w:ind w:left="20"/>
              <w:jc w:val="both"/>
            </w:pPr>
            <w:r>
              <w:rPr>
                <w:rFonts w:ascii="Times New Roman"/>
                <w:b w:val="false"/>
                <w:i w:val="false"/>
                <w:color w:val="000000"/>
                <w:sz w:val="20"/>
              </w:rPr>
              <w:t>
   3.6. При проектировании и эксплуатации производственных помещений предотвращается перекрестная контаминация для всех лекарственных средств. Меры по предотвращению перекрестной контаминации соизмеримы с рисками. Для оценки и управления рисками используются принципы управления рисками для качества. В зависимости от уровня риска требуются выделенные помещения и оборудование для производственных и (или) упаковочных операций, чтобы контролировать риск возможной перекрестной контаминации некоторыми лекарственными средствами.</w:t>
            </w:r>
          </w:p>
          <w:p>
            <w:pPr>
              <w:spacing w:after="20"/>
              <w:ind w:left="20"/>
              <w:jc w:val="both"/>
            </w:pPr>
            <w:r>
              <w:rPr>
                <w:rFonts w:ascii="Times New Roman"/>
                <w:b w:val="false"/>
                <w:i w:val="false"/>
                <w:color w:val="000000"/>
                <w:sz w:val="20"/>
              </w:rPr>
              <w:t>
   Выделяют производственные участки, если лекарственное средство представляет собой риск:</w:t>
            </w:r>
          </w:p>
          <w:p>
            <w:pPr>
              <w:spacing w:after="20"/>
              <w:ind w:left="20"/>
              <w:jc w:val="both"/>
            </w:pPr>
            <w:r>
              <w:rPr>
                <w:rFonts w:ascii="Times New Roman"/>
                <w:b w:val="false"/>
                <w:i w:val="false"/>
                <w:color w:val="000000"/>
                <w:sz w:val="20"/>
              </w:rPr>
              <w:t>
   который не контролируется надлежащим образом организационными и (или) техническими мерами, или</w:t>
            </w:r>
          </w:p>
          <w:p>
            <w:pPr>
              <w:spacing w:after="20"/>
              <w:ind w:left="20"/>
              <w:jc w:val="both"/>
            </w:pPr>
            <w:r>
              <w:rPr>
                <w:rFonts w:ascii="Times New Roman"/>
                <w:b w:val="false"/>
                <w:i w:val="false"/>
                <w:color w:val="000000"/>
                <w:sz w:val="20"/>
              </w:rPr>
              <w:t>
   научные данные токсикологической оценки не подтверждают возможность надлежащего контроля риска, или</w:t>
            </w:r>
          </w:p>
          <w:p>
            <w:pPr>
              <w:spacing w:after="20"/>
              <w:ind w:left="20"/>
              <w:jc w:val="both"/>
            </w:pPr>
            <w:r>
              <w:rPr>
                <w:rFonts w:ascii="Times New Roman"/>
                <w:b w:val="false"/>
                <w:i w:val="false"/>
                <w:color w:val="000000"/>
                <w:sz w:val="20"/>
              </w:rPr>
              <w:t xml:space="preserve">
   соответствующие пределы остаточных количеств, полученные путем токсикологической оценки, не определяются удовлетворительно с помощью валидированного аналитического метода. </w:t>
            </w:r>
          </w:p>
          <w:p>
            <w:pPr>
              <w:spacing w:after="20"/>
              <w:ind w:left="20"/>
              <w:jc w:val="both"/>
            </w:pPr>
            <w:r>
              <w:rPr>
                <w:rFonts w:ascii="Times New Roman"/>
                <w:b w:val="false"/>
                <w:i w:val="false"/>
                <w:color w:val="000000"/>
                <w:sz w:val="20"/>
              </w:rPr>
              <w:t xml:space="preserve">
   Дальнейшие указания приведены в главе 5 настоящего Стандарта и при производстве биологических (в том числе иммунобиологических) активных фармацевтических субстанций и лекарственных препаратов для медицинского применения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при производстве радиофармацевтических лекарственных средств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w:t>
            </w:r>
          </w:p>
          <w:p>
            <w:pPr>
              <w:spacing w:after="20"/>
              <w:ind w:left="20"/>
              <w:jc w:val="both"/>
            </w:pPr>
            <w:r>
              <w:rPr>
                <w:rFonts w:ascii="Times New Roman"/>
                <w:b w:val="false"/>
                <w:i w:val="false"/>
                <w:color w:val="000000"/>
                <w:sz w:val="20"/>
              </w:rPr>
              <w:t xml:space="preserve">
   3.7. Планировочные решения помещений соответствуют логической последовательности производственных операций и требуемым уровням чистоты. </w:t>
            </w:r>
          </w:p>
          <w:p>
            <w:pPr>
              <w:spacing w:after="20"/>
              <w:ind w:left="20"/>
              <w:jc w:val="both"/>
            </w:pPr>
            <w:r>
              <w:rPr>
                <w:rFonts w:ascii="Times New Roman"/>
                <w:b w:val="false"/>
                <w:i w:val="false"/>
                <w:color w:val="000000"/>
                <w:sz w:val="20"/>
              </w:rPr>
              <w:t>
   3.8. Планировочные решения рабочих зон и внутрипроизводственных зон хранения обеспечивают последовательное и логичное размещение оборудования и материалов, сводящее к минимуму риск перепутывания различных лекарственных препаратов или их компонентов, обеспечивающее отсутствие перекрестной контаминации и сводящее к минимуму риск пропуска или неправильного осуществления любого этапа при производстве или контроле.</w:t>
            </w:r>
          </w:p>
          <w:p>
            <w:pPr>
              <w:spacing w:after="20"/>
              <w:ind w:left="20"/>
              <w:jc w:val="both"/>
            </w:pPr>
            <w:r>
              <w:rPr>
                <w:rFonts w:ascii="Times New Roman"/>
                <w:b w:val="false"/>
                <w:i w:val="false"/>
                <w:color w:val="000000"/>
                <w:sz w:val="20"/>
              </w:rPr>
              <w:t>
   3.9. Там, где исходное сырье и первичные упаковочные материалы, промежуточная или нерасфасованная продукция подвержены влиянию производственной среды, внутренние поверхности: стены, полы и потолки гладкие, без щелей и трещин на стыках, они не выделяют частиц, а также легко и эффективно очищаются и, при необходимости, дезинфицируются.</w:t>
            </w:r>
          </w:p>
          <w:p>
            <w:pPr>
              <w:spacing w:after="20"/>
              <w:ind w:left="20"/>
              <w:jc w:val="both"/>
            </w:pPr>
            <w:r>
              <w:rPr>
                <w:rFonts w:ascii="Times New Roman"/>
                <w:b w:val="false"/>
                <w:i w:val="false"/>
                <w:color w:val="000000"/>
                <w:sz w:val="20"/>
              </w:rPr>
              <w:t>
   3.10. Трубопроводы, осветительные приборы, вентиляционные установки и другие системы обслуживания проектируются и располагаются таким образом, чтобы не было углублений, затрудняющих их очистку. По возможности, доступ к ним для обслуживания осуществляется извне производственных зон.</w:t>
            </w:r>
          </w:p>
          <w:p>
            <w:pPr>
              <w:spacing w:after="20"/>
              <w:ind w:left="20"/>
              <w:jc w:val="both"/>
            </w:pPr>
            <w:r>
              <w:rPr>
                <w:rFonts w:ascii="Times New Roman"/>
                <w:b w:val="false"/>
                <w:i w:val="false"/>
                <w:color w:val="000000"/>
                <w:sz w:val="20"/>
              </w:rPr>
              <w:t xml:space="preserve">
   3.11. Точки подключения к канализационным стокам соответствуют по размерам и оборудуются устройствами для предотвращения обратного потока. По возможности следует избегать открытых сливных желобов, но если они необходимы, то они неглубокие для облегчения очистки и дезинфекции. </w:t>
            </w:r>
          </w:p>
          <w:p>
            <w:pPr>
              <w:spacing w:after="20"/>
              <w:ind w:left="20"/>
              <w:jc w:val="both"/>
            </w:pPr>
            <w:r>
              <w:rPr>
                <w:rFonts w:ascii="Times New Roman"/>
                <w:b w:val="false"/>
                <w:i w:val="false"/>
                <w:color w:val="000000"/>
                <w:sz w:val="20"/>
              </w:rPr>
              <w:t>
   3.12. Производственные зоны следует эффективно вентилировать, в них имеются средства для контроля параметров воздуха, включая температуру и, где необходимо, влажность и фильтрацию, соответствующие обрабатываемой продукции, проводимым операциям и производственной зоне.</w:t>
            </w:r>
          </w:p>
          <w:p>
            <w:pPr>
              <w:spacing w:after="20"/>
              <w:ind w:left="20"/>
              <w:jc w:val="both"/>
            </w:pPr>
            <w:r>
              <w:rPr>
                <w:rFonts w:ascii="Times New Roman"/>
                <w:b w:val="false"/>
                <w:i w:val="false"/>
                <w:color w:val="000000"/>
                <w:sz w:val="20"/>
              </w:rPr>
              <w:t xml:space="preserve">
   3.13. Взвешивание исходного сырья осуществляется в отдельном, предназначенном для этого помещении. </w:t>
            </w:r>
          </w:p>
          <w:p>
            <w:pPr>
              <w:spacing w:after="20"/>
              <w:ind w:left="20"/>
              <w:jc w:val="both"/>
            </w:pPr>
            <w:r>
              <w:rPr>
                <w:rFonts w:ascii="Times New Roman"/>
                <w:b w:val="false"/>
                <w:i w:val="false"/>
                <w:color w:val="000000"/>
                <w:sz w:val="20"/>
              </w:rPr>
              <w:t>
   3.14. В тех случаях, когда происходит образование пыли: во время отбора проб, взвешивания, смешивания и производственных операций, упаковки сухой продукции и др. принимаются специальные меры предосторожности в целях предупреждения перекрестной контаминации и облегчения очистки.</w:t>
            </w:r>
          </w:p>
          <w:p>
            <w:pPr>
              <w:spacing w:after="20"/>
              <w:ind w:left="20"/>
              <w:jc w:val="both"/>
            </w:pPr>
            <w:r>
              <w:rPr>
                <w:rFonts w:ascii="Times New Roman"/>
                <w:b w:val="false"/>
                <w:i w:val="false"/>
                <w:color w:val="000000"/>
                <w:sz w:val="20"/>
              </w:rPr>
              <w:t xml:space="preserve">
   3.15. Помещения для упаковки лекарственных препаратов специально проектируются и располагаются таким образом, чтобы избежать перепутывания или перекрестной контаминации. </w:t>
            </w:r>
          </w:p>
          <w:p>
            <w:pPr>
              <w:spacing w:after="20"/>
              <w:ind w:left="20"/>
              <w:jc w:val="both"/>
            </w:pPr>
            <w:r>
              <w:rPr>
                <w:rFonts w:ascii="Times New Roman"/>
                <w:b w:val="false"/>
                <w:i w:val="false"/>
                <w:color w:val="000000"/>
                <w:sz w:val="20"/>
              </w:rPr>
              <w:t xml:space="preserve">
   3.16. Производственные зоны хорошо освещаются, особенно там, где проводится постоянный визуальный контроль. </w:t>
            </w:r>
          </w:p>
          <w:p>
            <w:pPr>
              <w:spacing w:after="20"/>
              <w:ind w:left="20"/>
              <w:jc w:val="both"/>
            </w:pPr>
            <w:r>
              <w:rPr>
                <w:rFonts w:ascii="Times New Roman"/>
                <w:b w:val="false"/>
                <w:i w:val="false"/>
                <w:color w:val="000000"/>
                <w:sz w:val="20"/>
              </w:rPr>
              <w:t>
   3.17. Контроль в процессе производства проводят в производственной зоне, если это не создает риска для технологического процесса.</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Складские зоны</w:t>
            </w:r>
          </w:p>
          <w:p>
            <w:pPr>
              <w:spacing w:after="20"/>
              <w:ind w:left="20"/>
              <w:jc w:val="both"/>
            </w:pPr>
            <w:r>
              <w:rPr>
                <w:rFonts w:ascii="Times New Roman"/>
                <w:b w:val="false"/>
                <w:i w:val="false"/>
                <w:color w:val="000000"/>
                <w:sz w:val="20"/>
              </w:rPr>
              <w:t>
   3.18. Складские зоны достаточно вместительные для обеспечения упорядочения хранения различных категорий материалов и продукции: исходного сырья и упаковочных материалов, промежуточной, нерасфасованной и готовой продукции, а также продукции, находящейся в карантине, продукции, разрешенной для выпуска, отклоненной, возвращенной или отозванной.</w:t>
            </w:r>
          </w:p>
          <w:p>
            <w:pPr>
              <w:spacing w:after="20"/>
              <w:ind w:left="20"/>
              <w:jc w:val="both"/>
            </w:pPr>
            <w:r>
              <w:rPr>
                <w:rFonts w:ascii="Times New Roman"/>
                <w:b w:val="false"/>
                <w:i w:val="false"/>
                <w:color w:val="000000"/>
                <w:sz w:val="20"/>
              </w:rPr>
              <w:t>
   3.19. При проектировании и оснащении складских зон следует предусматривать надлежащие условия хранения. В частности, они являются чистыми и сухими, в них поддерживается требуемая температура. Если требуются специальные условия хранения, например, температура, влажность, то их обеспечивают, проверяют и осуществляют их мониторинг.</w:t>
            </w:r>
          </w:p>
          <w:p>
            <w:pPr>
              <w:spacing w:after="20"/>
              <w:ind w:left="20"/>
              <w:jc w:val="both"/>
            </w:pPr>
            <w:r>
              <w:rPr>
                <w:rFonts w:ascii="Times New Roman"/>
                <w:b w:val="false"/>
                <w:i w:val="false"/>
                <w:color w:val="000000"/>
                <w:sz w:val="20"/>
              </w:rPr>
              <w:t xml:space="preserve">
   3.20. В местах приемки и отгрузки обеспечивается защита сырья, материалов и продукции от воздействия погодных условий. Зоны приемки проектируются и оборудуются так, чтобы тару с поступающим сырьем и материалами перед складированием при необходимости очищать. </w:t>
            </w:r>
          </w:p>
          <w:p>
            <w:pPr>
              <w:spacing w:after="20"/>
              <w:ind w:left="20"/>
              <w:jc w:val="both"/>
            </w:pPr>
            <w:r>
              <w:rPr>
                <w:rFonts w:ascii="Times New Roman"/>
                <w:b w:val="false"/>
                <w:i w:val="false"/>
                <w:color w:val="000000"/>
                <w:sz w:val="20"/>
              </w:rPr>
              <w:t>
   3.21. Если режим карантина обеспечивается хранением продукции в раздельных зонах, то эти зоны четко обозначаются, а доступ в них разрешен персоналу, имеющему на это право. Любая другая система, заменяющая физический карантин, обеспечивает эквивалентную безопасность.</w:t>
            </w:r>
          </w:p>
          <w:p>
            <w:pPr>
              <w:spacing w:after="20"/>
              <w:ind w:left="20"/>
              <w:jc w:val="both"/>
            </w:pPr>
            <w:r>
              <w:rPr>
                <w:rFonts w:ascii="Times New Roman"/>
                <w:b w:val="false"/>
                <w:i w:val="false"/>
                <w:color w:val="000000"/>
                <w:sz w:val="20"/>
              </w:rPr>
              <w:t>
   3.22. Имеется отдельная зона для отбора проб исходного сырья. Если отбор проб осуществляется в зоне хранения, то он проводится таким образом, чтобы предотвратить контаминацию или перекрестную контаминацию.</w:t>
            </w:r>
          </w:p>
          <w:p>
            <w:pPr>
              <w:spacing w:after="20"/>
              <w:ind w:left="20"/>
              <w:jc w:val="both"/>
            </w:pPr>
            <w:r>
              <w:rPr>
                <w:rFonts w:ascii="Times New Roman"/>
                <w:b w:val="false"/>
                <w:i w:val="false"/>
                <w:color w:val="000000"/>
                <w:sz w:val="20"/>
              </w:rPr>
              <w:t>
   3.23. Для хранения отклоненных, отозванных или возвращенных сырья, материалов или продукции предусматриваются изолированные зоны.</w:t>
            </w:r>
          </w:p>
          <w:p>
            <w:pPr>
              <w:spacing w:after="20"/>
              <w:ind w:left="20"/>
              <w:jc w:val="both"/>
            </w:pPr>
            <w:r>
              <w:rPr>
                <w:rFonts w:ascii="Times New Roman"/>
                <w:b w:val="false"/>
                <w:i w:val="false"/>
                <w:color w:val="000000"/>
                <w:sz w:val="20"/>
              </w:rPr>
              <w:t xml:space="preserve">
   3.24. Высоко активные вещества и лекарственные препараты хранятся в безопасных и защищенных зонах. </w:t>
            </w:r>
          </w:p>
          <w:p>
            <w:pPr>
              <w:spacing w:after="20"/>
              <w:ind w:left="20"/>
              <w:jc w:val="both"/>
            </w:pPr>
            <w:r>
              <w:rPr>
                <w:rFonts w:ascii="Times New Roman"/>
                <w:b w:val="false"/>
                <w:i w:val="false"/>
                <w:color w:val="000000"/>
                <w:sz w:val="20"/>
              </w:rPr>
              <w:t>
   3.25. Следует уделять особое внимание безопасному и надежному хранению печатных упаковочных материалов, так как они считаются критическими для обеспечения соответствия лекарственного препарата установленным требованиям.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Зоны контроля качества</w:t>
            </w:r>
          </w:p>
          <w:p>
            <w:pPr>
              <w:spacing w:after="20"/>
              <w:ind w:left="20"/>
              <w:jc w:val="both"/>
            </w:pPr>
            <w:r>
              <w:rPr>
                <w:rFonts w:ascii="Times New Roman"/>
                <w:b w:val="false"/>
                <w:i w:val="false"/>
                <w:color w:val="000000"/>
                <w:sz w:val="20"/>
              </w:rPr>
              <w:t>
   3.26. Лаборатории контроля качества отделяются от производственных зон. Это особенно важно для лабораторий по контролю биологических и микробиологических лекарственных препаратов и радиоизотопов, которые отделяются друг от друга.</w:t>
            </w:r>
          </w:p>
          <w:p>
            <w:pPr>
              <w:spacing w:after="20"/>
              <w:ind w:left="20"/>
              <w:jc w:val="both"/>
            </w:pPr>
            <w:r>
              <w:rPr>
                <w:rFonts w:ascii="Times New Roman"/>
                <w:b w:val="false"/>
                <w:i w:val="false"/>
                <w:color w:val="000000"/>
                <w:sz w:val="20"/>
              </w:rPr>
              <w:t>
   3.27. Контрольные лаборатории проектируются таким образом, чтобы соответствовать требованиям к проводимым в них работам. Во избежание перепутывания и перекрестной контаминации они имеют достаточную площадь. Выделяются соответствующие и подходящие площади для хранения образцов и записей.</w:t>
            </w:r>
          </w:p>
          <w:p>
            <w:pPr>
              <w:spacing w:after="20"/>
              <w:ind w:left="20"/>
              <w:jc w:val="both"/>
            </w:pPr>
            <w:r>
              <w:rPr>
                <w:rFonts w:ascii="Times New Roman"/>
                <w:b w:val="false"/>
                <w:i w:val="false"/>
                <w:color w:val="000000"/>
                <w:sz w:val="20"/>
              </w:rPr>
              <w:t>
   3.28. Для чувствительных приборов, нуждающихся в защите от вибрации, электромагнитных полей, влажности воздуха и т.д., предусматриваются отдельные комнаты.</w:t>
            </w:r>
          </w:p>
          <w:p>
            <w:pPr>
              <w:spacing w:after="20"/>
              <w:ind w:left="20"/>
              <w:jc w:val="both"/>
            </w:pPr>
            <w:r>
              <w:rPr>
                <w:rFonts w:ascii="Times New Roman"/>
                <w:b w:val="false"/>
                <w:i w:val="false"/>
                <w:color w:val="000000"/>
                <w:sz w:val="20"/>
              </w:rPr>
              <w:t>
   3.29. Особые требования предъявляются к лабораториям, в которых проводятся работы со специфическими веществами, например, биологическими или радиоактивными материалами.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Вспомогательные зоны</w:t>
            </w:r>
          </w:p>
          <w:p>
            <w:pPr>
              <w:spacing w:after="20"/>
              <w:ind w:left="20"/>
              <w:jc w:val="both"/>
            </w:pPr>
            <w:r>
              <w:rPr>
                <w:rFonts w:ascii="Times New Roman"/>
                <w:b w:val="false"/>
                <w:i w:val="false"/>
                <w:color w:val="000000"/>
                <w:sz w:val="20"/>
              </w:rPr>
              <w:t>
   3.30. Комнаты отдыха и приема пищи отделяются от других зон.</w:t>
            </w:r>
          </w:p>
          <w:p>
            <w:pPr>
              <w:spacing w:after="20"/>
              <w:ind w:left="20"/>
              <w:jc w:val="both"/>
            </w:pPr>
            <w:r>
              <w:rPr>
                <w:rFonts w:ascii="Times New Roman"/>
                <w:b w:val="false"/>
                <w:i w:val="false"/>
                <w:color w:val="000000"/>
                <w:sz w:val="20"/>
              </w:rPr>
              <w:t>
   3.31. Помещения для переодевания, туалеты и душевые кабины имеют удобный доступ, их планировка и размеры соответствуют численности персонала. Не допускается, чтобы туалеты непосредственно сообщались с производственными или складскими зонами.</w:t>
            </w:r>
          </w:p>
          <w:p>
            <w:pPr>
              <w:spacing w:after="20"/>
              <w:ind w:left="20"/>
              <w:jc w:val="both"/>
            </w:pPr>
            <w:r>
              <w:rPr>
                <w:rFonts w:ascii="Times New Roman"/>
                <w:b w:val="false"/>
                <w:i w:val="false"/>
                <w:color w:val="000000"/>
                <w:sz w:val="20"/>
              </w:rPr>
              <w:t xml:space="preserve">
   3.32. Мастерские, по возможности, отделяются от производственных зон. В том случае, если хранение запасных частей и инструментов осуществляется в производственной зоне, их содержат в предусмотренных для этого комнатах или запирающихся ящиках. </w:t>
            </w:r>
          </w:p>
          <w:p>
            <w:pPr>
              <w:spacing w:after="20"/>
              <w:ind w:left="20"/>
              <w:jc w:val="both"/>
            </w:pPr>
            <w:r>
              <w:rPr>
                <w:rFonts w:ascii="Times New Roman"/>
                <w:b w:val="false"/>
                <w:i w:val="false"/>
                <w:color w:val="000000"/>
                <w:sz w:val="20"/>
              </w:rPr>
              <w:t xml:space="preserve">
   3.33. Виварии хорошо изолируются от других зон, имеют отдельный вход - доступ к животным и отдельные системы воздухоподготовки.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Оборудование</w:t>
            </w:r>
          </w:p>
          <w:p>
            <w:pPr>
              <w:spacing w:after="20"/>
              <w:ind w:left="20"/>
              <w:jc w:val="both"/>
            </w:pPr>
            <w:r>
              <w:rPr>
                <w:rFonts w:ascii="Times New Roman"/>
                <w:b w:val="false"/>
                <w:i w:val="false"/>
                <w:color w:val="000000"/>
                <w:sz w:val="20"/>
              </w:rPr>
              <w:t>
   3.34. Конструкция, монтаж и порядок технического обслуживания производственного оборудования соответствуют его назначению.</w:t>
            </w:r>
          </w:p>
          <w:p>
            <w:pPr>
              <w:spacing w:after="20"/>
              <w:ind w:left="20"/>
              <w:jc w:val="both"/>
            </w:pPr>
            <w:r>
              <w:rPr>
                <w:rFonts w:ascii="Times New Roman"/>
                <w:b w:val="false"/>
                <w:i w:val="false"/>
                <w:color w:val="000000"/>
                <w:sz w:val="20"/>
              </w:rPr>
              <w:t>
   3.35. Работы по ремонту и техническому обслуживанию оборудования не представляют никакой опасности для качества продукции.</w:t>
            </w:r>
          </w:p>
          <w:p>
            <w:pPr>
              <w:spacing w:after="20"/>
              <w:ind w:left="20"/>
              <w:jc w:val="both"/>
            </w:pPr>
            <w:r>
              <w:rPr>
                <w:rFonts w:ascii="Times New Roman"/>
                <w:b w:val="false"/>
                <w:i w:val="false"/>
                <w:color w:val="000000"/>
                <w:sz w:val="20"/>
              </w:rPr>
              <w:t xml:space="preserve">
   3.36. Конструкция производственного оборудования легко и тщательно очищается. Очистку проводят в соответствии с подробными письменными инструкциями; оборудование хранят только в чистом и сухом состоянии. </w:t>
            </w:r>
          </w:p>
          <w:p>
            <w:pPr>
              <w:spacing w:after="20"/>
              <w:ind w:left="20"/>
              <w:jc w:val="both"/>
            </w:pPr>
            <w:r>
              <w:rPr>
                <w:rFonts w:ascii="Times New Roman"/>
                <w:b w:val="false"/>
                <w:i w:val="false"/>
                <w:color w:val="000000"/>
                <w:sz w:val="20"/>
              </w:rPr>
              <w:t xml:space="preserve">
   3.37. Инвентарь для мытья и очистки выбирают и используют так, чтобы он не стал источником контаминации. </w:t>
            </w:r>
          </w:p>
          <w:p>
            <w:pPr>
              <w:spacing w:after="20"/>
              <w:ind w:left="20"/>
              <w:jc w:val="both"/>
            </w:pPr>
            <w:r>
              <w:rPr>
                <w:rFonts w:ascii="Times New Roman"/>
                <w:b w:val="false"/>
                <w:i w:val="false"/>
                <w:color w:val="000000"/>
                <w:sz w:val="20"/>
              </w:rPr>
              <w:t>
   3.38. Оборудование устанавливается таким образом, чтобы не допускать возникновение какого-либо риска ошибок или контаминацию.</w:t>
            </w:r>
          </w:p>
          <w:p>
            <w:pPr>
              <w:spacing w:after="20"/>
              <w:ind w:left="20"/>
              <w:jc w:val="both"/>
            </w:pPr>
            <w:r>
              <w:rPr>
                <w:rFonts w:ascii="Times New Roman"/>
                <w:b w:val="false"/>
                <w:i w:val="false"/>
                <w:color w:val="000000"/>
                <w:sz w:val="20"/>
              </w:rPr>
              <w:t xml:space="preserve">
   3.39. Производственное оборудование не представляет никакой опасности для продукции. Части производственного оборудования, контактирующие с продукцией, не вступают с ней в реакцию, не выделяют или не абсорбируют вещества в такой степени, чтобы это могло повлиять на качество продукции и создавать, таким образом, какую-либо опасность. </w:t>
            </w:r>
          </w:p>
          <w:p>
            <w:pPr>
              <w:spacing w:after="20"/>
              <w:ind w:left="20"/>
              <w:jc w:val="both"/>
            </w:pPr>
            <w:r>
              <w:rPr>
                <w:rFonts w:ascii="Times New Roman"/>
                <w:b w:val="false"/>
                <w:i w:val="false"/>
                <w:color w:val="000000"/>
                <w:sz w:val="20"/>
              </w:rPr>
              <w:t>
   3.40. Точность и рабочий диапазон весов и других средств измерений соответствуют производственным и контрольным операциям, в которых они используются.</w:t>
            </w:r>
          </w:p>
          <w:p>
            <w:pPr>
              <w:spacing w:after="20"/>
              <w:ind w:left="20"/>
              <w:jc w:val="both"/>
            </w:pPr>
            <w:r>
              <w:rPr>
                <w:rFonts w:ascii="Times New Roman"/>
                <w:b w:val="false"/>
                <w:i w:val="false"/>
                <w:color w:val="000000"/>
                <w:sz w:val="20"/>
              </w:rPr>
              <w:t>
   3.41. Калибровка и поверка весов и других средств измерений, регистрирующих и контрольных приборов проводится с определенной периодичностью соответствующими методами. Записи таких испытаний оформляются и сохраняются.</w:t>
            </w:r>
          </w:p>
          <w:p>
            <w:pPr>
              <w:spacing w:after="20"/>
              <w:ind w:left="20"/>
              <w:jc w:val="both"/>
            </w:pPr>
            <w:r>
              <w:rPr>
                <w:rFonts w:ascii="Times New Roman"/>
                <w:b w:val="false"/>
                <w:i w:val="false"/>
                <w:color w:val="000000"/>
                <w:sz w:val="20"/>
              </w:rPr>
              <w:t>
   3.42. Стационарные трубопроводы имеют четкую маркировку с указанием проходящих по ним веществ и, если требуется, направления потока.</w:t>
            </w:r>
          </w:p>
          <w:p>
            <w:pPr>
              <w:spacing w:after="20"/>
              <w:ind w:left="20"/>
              <w:jc w:val="both"/>
            </w:pPr>
            <w:r>
              <w:rPr>
                <w:rFonts w:ascii="Times New Roman"/>
                <w:b w:val="false"/>
                <w:i w:val="false"/>
                <w:color w:val="000000"/>
                <w:sz w:val="20"/>
              </w:rPr>
              <w:t>
   3.43. Трубопроводы для воды очищенной, воды для инъекций, дистиллированной, деионизированной и, при необходимости, другой воды подвергают санитарной обработке в соответствии с письменными инструкциями, в которых указываются пределы микробной контаминации и принимаемые меры в случае их превышения.</w:t>
            </w:r>
          </w:p>
          <w:p>
            <w:pPr>
              <w:spacing w:after="20"/>
              <w:ind w:left="20"/>
              <w:jc w:val="both"/>
            </w:pPr>
            <w:r>
              <w:rPr>
                <w:rFonts w:ascii="Times New Roman"/>
                <w:b w:val="false"/>
                <w:i w:val="false"/>
                <w:color w:val="000000"/>
                <w:sz w:val="20"/>
              </w:rPr>
              <w:t>
   3.44. Неисправное оборудование, по возможности, удаляется из производственных зон и зон контроля качества или, по крайней мере, четко маркируется как неисправное.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Документация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Надлежащая документация составляет неотъемлемую часть системы обеспечения качества и является ключевым элементом работы в соответствии с настоящим Стандартом. В системе управления качеством производителя устанавливаются различные виды используемой документации и носителей информации. Документация существует в различных формах, в том числе на бумажном, электронном или фотографическом носителях. Главной целью применяемой системы документации является создание, управление, контроль и регистрация всей деятельности, которая непосредственно или опосредовано влияет на все аспекты качества лекарственных препаратов. В дополнение к надлежащему документальному оформлению различных процессов и оценки каких-либо наблюдений система управления качеством содержит достаточно подробные указания. Эти указания способствуют общему пониманию требований таким образом, чтобы продемонстрировать их постоянное соблюдение.</w:t>
            </w:r>
          </w:p>
          <w:p>
            <w:pPr>
              <w:spacing w:after="20"/>
              <w:ind w:left="20"/>
              <w:jc w:val="both"/>
            </w:pPr>
            <w:r>
              <w:rPr>
                <w:rFonts w:ascii="Times New Roman"/>
                <w:b w:val="false"/>
                <w:i w:val="false"/>
                <w:color w:val="000000"/>
                <w:sz w:val="20"/>
              </w:rPr>
              <w:t>
   Существует два основных вида документации для выполнения требований настоящего Стандарта и регистрации их соблюдения: регламентирующий – инструкции, указания, требования и регистрирующий – записи, отчеты. Применяется соответствующая надлежащая практика документального оформления в зависимости от вида документа.</w:t>
            </w:r>
          </w:p>
          <w:p>
            <w:pPr>
              <w:spacing w:after="20"/>
              <w:ind w:left="20"/>
              <w:jc w:val="both"/>
            </w:pPr>
            <w:r>
              <w:rPr>
                <w:rFonts w:ascii="Times New Roman"/>
                <w:b w:val="false"/>
                <w:i w:val="false"/>
                <w:color w:val="000000"/>
                <w:sz w:val="20"/>
              </w:rPr>
              <w:t>
   Внедряется соответствующий контроль для обеспечения точности, целостности, доступности и четкости документов. Регламентирующие документы доступны в письменном виде и не содержат ошибок. Понятие "в письменном виде" означает записанный или задокументированный на носителях информации, с которых данные получают в читаемой форме.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GMP документация</w:t>
            </w:r>
          </w:p>
          <w:p>
            <w:pPr>
              <w:spacing w:after="20"/>
              <w:ind w:left="20"/>
              <w:jc w:val="both"/>
            </w:pPr>
            <w:r>
              <w:rPr>
                <w:rFonts w:ascii="Times New Roman"/>
                <w:b w:val="false"/>
                <w:i w:val="false"/>
                <w:color w:val="000000"/>
                <w:sz w:val="20"/>
              </w:rPr>
              <w:t>
   Досье производственной площадки - документ, в котором описана деятельность производителя, имеющая отношение к настоящему Стандарту.</w:t>
            </w:r>
          </w:p>
          <w:p>
            <w:pPr>
              <w:spacing w:after="20"/>
              <w:ind w:left="20"/>
              <w:jc w:val="both"/>
            </w:pPr>
            <w:r>
              <w:rPr>
                <w:rFonts w:ascii="Times New Roman"/>
                <w:b w:val="false"/>
                <w:i w:val="false"/>
                <w:color w:val="000000"/>
                <w:sz w:val="20"/>
              </w:rPr>
              <w:t xml:space="preserve">
   Типы регламентирующих документов или руководства и требования: </w:t>
            </w:r>
          </w:p>
          <w:p>
            <w:pPr>
              <w:spacing w:after="20"/>
              <w:ind w:left="20"/>
              <w:jc w:val="both"/>
            </w:pPr>
            <w:r>
              <w:rPr>
                <w:rFonts w:ascii="Times New Roman"/>
                <w:b w:val="false"/>
                <w:i w:val="false"/>
                <w:color w:val="000000"/>
                <w:sz w:val="20"/>
              </w:rPr>
              <w:t>
   Спецификации - документы, содержащие подробные требования, которым соответствуют исходные, упаковочные материалы и продукция, использующиеся или получаемые при производстве. Они являются основой для оценки качества лекарственных препаратов.</w:t>
            </w:r>
          </w:p>
          <w:p>
            <w:pPr>
              <w:spacing w:after="20"/>
              <w:ind w:left="20"/>
              <w:jc w:val="both"/>
            </w:pPr>
            <w:r>
              <w:rPr>
                <w:rFonts w:ascii="Times New Roman"/>
                <w:b w:val="false"/>
                <w:i w:val="false"/>
                <w:color w:val="000000"/>
                <w:sz w:val="20"/>
              </w:rPr>
              <w:t>
   Производственные рецептуры, технологические инструкции, инструкции по упаковке, методики испытаний - документы, содержащие подробную информацию обо всем используемом исходном сырье, оборудовании и компьютеризированных системах при их наличии; в них содержатся все инструкции по осуществлению технологических процессов, упаковке, отбору проб и проведению испытаний. Где применимо, указываются все точки контроля в процессе производства, а также используемые процессно-аналитические технологии вместе с критериями приемлемости. </w:t>
            </w:r>
          </w:p>
          <w:p>
            <w:pPr>
              <w:spacing w:after="20"/>
              <w:ind w:left="20"/>
              <w:jc w:val="both"/>
            </w:pPr>
            <w:r>
              <w:rPr>
                <w:rFonts w:ascii="Times New Roman"/>
                <w:b w:val="false"/>
                <w:i w:val="false"/>
                <w:color w:val="000000"/>
                <w:sz w:val="20"/>
              </w:rPr>
              <w:t>
   Процедуры или стандартные операционные процедуры (далее - СОПы) - документы, содержащие требования по выполнению определенных операций.</w:t>
            </w:r>
          </w:p>
          <w:p>
            <w:pPr>
              <w:spacing w:after="20"/>
              <w:ind w:left="20"/>
              <w:jc w:val="both"/>
            </w:pPr>
            <w:r>
              <w:rPr>
                <w:rFonts w:ascii="Times New Roman"/>
                <w:b w:val="false"/>
                <w:i w:val="false"/>
                <w:color w:val="000000"/>
                <w:sz w:val="20"/>
              </w:rPr>
              <w:t>
   Протоколы - документы, содержащие требования по проведению и регистрации отдельных операций.</w:t>
            </w:r>
          </w:p>
          <w:p>
            <w:pPr>
              <w:spacing w:after="20"/>
              <w:ind w:left="20"/>
              <w:jc w:val="both"/>
            </w:pPr>
            <w:r>
              <w:rPr>
                <w:rFonts w:ascii="Times New Roman"/>
                <w:b w:val="false"/>
                <w:i w:val="false"/>
                <w:color w:val="000000"/>
                <w:sz w:val="20"/>
              </w:rPr>
              <w:t>
   Технические соглашения - соглашения, заключенные между заказчиками и исполнителями относительно работ, которые выполняются сторонними организациями – по аутсорсингу.</w:t>
            </w:r>
          </w:p>
          <w:p>
            <w:pPr>
              <w:spacing w:after="20"/>
              <w:ind w:left="20"/>
              <w:jc w:val="both"/>
            </w:pPr>
            <w:r>
              <w:rPr>
                <w:rFonts w:ascii="Times New Roman"/>
                <w:b w:val="false"/>
                <w:i w:val="false"/>
                <w:color w:val="000000"/>
                <w:sz w:val="20"/>
              </w:rPr>
              <w:t>
   Типы регистрирующих документов: записи и отчеты:</w:t>
            </w:r>
          </w:p>
          <w:p>
            <w:pPr>
              <w:spacing w:after="20"/>
              <w:ind w:left="20"/>
              <w:jc w:val="both"/>
            </w:pPr>
            <w:r>
              <w:rPr>
                <w:rFonts w:ascii="Times New Roman"/>
                <w:b w:val="false"/>
                <w:i w:val="false"/>
                <w:color w:val="000000"/>
                <w:sz w:val="20"/>
              </w:rPr>
              <w:t>
   Записи - свидетельства, подтверждающие выполнение различных действий для доказательства соответствия инструкциям, например, мероприятий, происшествий, расследований; для произведенных серий - содержащие историю каждой серии продукции, включая ее реализацию. Записи содержат исходные данные, используемые для формирования других записей. В случае электронных записей, используемые данные в качестве исходных определяют установленные пользователи. Все данные, на которых основываются решения по качеству, определяются в качестве исходных данных. Записи, относящиеся к конкретной серии, собирают в досье на серию.</w:t>
            </w:r>
          </w:p>
          <w:p>
            <w:pPr>
              <w:spacing w:after="20"/>
              <w:ind w:left="20"/>
              <w:jc w:val="both"/>
            </w:pPr>
            <w:r>
              <w:rPr>
                <w:rFonts w:ascii="Times New Roman"/>
                <w:b w:val="false"/>
                <w:i w:val="false"/>
                <w:color w:val="000000"/>
                <w:sz w:val="20"/>
              </w:rPr>
              <w:t>
   Сертификаты анализа – документы - паспорта, аналитические листки, другие документы, содержащие резюме результатов испытаний образцов продукции или материалов вместе с оценкой соответствия установленной спецификации.</w:t>
            </w:r>
          </w:p>
          <w:p>
            <w:pPr>
              <w:spacing w:after="20"/>
              <w:ind w:left="20"/>
              <w:jc w:val="both"/>
            </w:pPr>
            <w:r>
              <w:rPr>
                <w:rFonts w:ascii="Times New Roman"/>
                <w:b w:val="false"/>
                <w:i w:val="false"/>
                <w:color w:val="000000"/>
                <w:sz w:val="20"/>
              </w:rPr>
              <w:t>
   Отчеты - документы, сопровождающие выполнение конкретных заданий, проектов или расследований вместе с результатами, выводами и рекомендациями.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документацией</w:t>
            </w:r>
          </w:p>
          <w:p>
            <w:pPr>
              <w:spacing w:after="20"/>
              <w:ind w:left="20"/>
              <w:jc w:val="both"/>
            </w:pPr>
            <w:r>
              <w:rPr>
                <w:rFonts w:ascii="Times New Roman"/>
                <w:b w:val="false"/>
                <w:i w:val="false"/>
                <w:color w:val="000000"/>
                <w:sz w:val="20"/>
              </w:rPr>
              <w:t>
   4.1. Устанавливаются и соблюдаются все виды документов. Требования применяются в равной мере ко всем формам документов на различных видах носителей информации. Ведется понятная, надлежащим образом документально оформленная, валидированная и адекватно контролируемая комплексная система документации. Допускается ведение документов в смешанных формах, например, некоторые элементы в электронном виде, а другие - на бумажном носителе. Устанавливается взаимосвязь и средства управления в отношении оригиналов документов, официальных копий, обработки данных и записей, как для смешанных, так и для однотипных систем. Внедряются соответствующие средства управления в отношении электронных документов, таких как шаблоны, формы и первичные документы. Предпринимаются соответствующие меры контроля для обеспечения целостности записей в течение срока хранения.</w:t>
            </w:r>
          </w:p>
          <w:p>
            <w:pPr>
              <w:spacing w:after="20"/>
              <w:ind w:left="20"/>
              <w:jc w:val="both"/>
            </w:pPr>
            <w:r>
              <w:rPr>
                <w:rFonts w:ascii="Times New Roman"/>
                <w:b w:val="false"/>
                <w:i w:val="false"/>
                <w:color w:val="000000"/>
                <w:sz w:val="20"/>
              </w:rPr>
              <w:t>
   4.2. Документы тщательно разрабатываются, подготавливаются, согласовываются и распространяются. В зависимости от вида они отвечают требованиям соответствующих частей спецификаций исследуемого препарата, регистрационного досье, а также документов, подаваемых для получения лицензии на производство. Копирование оригинальных документов с целью получения рабочих документов не допускает внесение каких-либо ошибок при копировании.</w:t>
            </w:r>
          </w:p>
          <w:p>
            <w:pPr>
              <w:spacing w:after="20"/>
              <w:ind w:left="20"/>
              <w:jc w:val="both"/>
            </w:pPr>
            <w:r>
              <w:rPr>
                <w:rFonts w:ascii="Times New Roman"/>
                <w:b w:val="false"/>
                <w:i w:val="false"/>
                <w:color w:val="000000"/>
                <w:sz w:val="20"/>
              </w:rPr>
              <w:t>
   4.3. Регламентирующие документы утверждаются и подписываются лицами, имеющими право подписи, с указанием даты. Содержание документов является однозначным, документы имеют уникальную идентификацию. Определяется дата введения в действие.</w:t>
            </w:r>
          </w:p>
          <w:p>
            <w:pPr>
              <w:spacing w:after="20"/>
              <w:ind w:left="20"/>
              <w:jc w:val="both"/>
            </w:pPr>
            <w:r>
              <w:rPr>
                <w:rFonts w:ascii="Times New Roman"/>
                <w:b w:val="false"/>
                <w:i w:val="false"/>
                <w:color w:val="000000"/>
                <w:sz w:val="20"/>
              </w:rPr>
              <w:t>
   4.4. Регламентирующие документы имеют логичную структуру, обеспечивающие простоту их проверки. Стиль изложения документов соответствует их предполагаемому использованию. Стандартные операционные процедуры, рабочие инструкции и методики написаны в форме, предполагающей обязательность их выполнения.</w:t>
            </w:r>
          </w:p>
          <w:p>
            <w:pPr>
              <w:spacing w:after="20"/>
              <w:ind w:left="20"/>
              <w:jc w:val="both"/>
            </w:pPr>
            <w:r>
              <w:rPr>
                <w:rFonts w:ascii="Times New Roman"/>
                <w:b w:val="false"/>
                <w:i w:val="false"/>
                <w:color w:val="000000"/>
                <w:sz w:val="20"/>
              </w:rPr>
              <w:t>
   4.5. Документы в рамках системы управления качеством следует регулярно пересматривать и актуализировать, необходимо исключить использование устаревших версий.</w:t>
            </w:r>
          </w:p>
          <w:p>
            <w:pPr>
              <w:spacing w:after="20"/>
              <w:ind w:left="20"/>
              <w:jc w:val="both"/>
            </w:pPr>
            <w:r>
              <w:rPr>
                <w:rFonts w:ascii="Times New Roman"/>
                <w:b w:val="false"/>
                <w:i w:val="false"/>
                <w:color w:val="000000"/>
                <w:sz w:val="20"/>
              </w:rPr>
              <w:t xml:space="preserve">
   4.6. Документы не оформляются в рукописном виде. Если в документы предусмотрено рукописное внесение данных, то предусматривается достаточно места для таких записей.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Правила надлежащего документального оформления</w:t>
            </w:r>
          </w:p>
          <w:p>
            <w:pPr>
              <w:spacing w:after="20"/>
              <w:ind w:left="20"/>
              <w:jc w:val="both"/>
            </w:pPr>
            <w:r>
              <w:rPr>
                <w:rFonts w:ascii="Times New Roman"/>
                <w:b w:val="false"/>
                <w:i w:val="false"/>
                <w:color w:val="000000"/>
                <w:sz w:val="20"/>
              </w:rPr>
              <w:t xml:space="preserve">
   4.7. Рукописные записи делаются четко и разборчиво так, чтобы внесенные данные нельзя было удалить. </w:t>
            </w:r>
          </w:p>
          <w:p>
            <w:pPr>
              <w:spacing w:after="20"/>
              <w:ind w:left="20"/>
              <w:jc w:val="both"/>
            </w:pPr>
            <w:r>
              <w:rPr>
                <w:rFonts w:ascii="Times New Roman"/>
                <w:b w:val="false"/>
                <w:i w:val="false"/>
                <w:color w:val="000000"/>
                <w:sz w:val="20"/>
              </w:rPr>
              <w:t xml:space="preserve">
   4.8. Записи следует вести при выполнении каждого действия и таким образом, чтобы проследить всю значимую деятельность, касающуюся производства лекарственных препаратов. </w:t>
            </w:r>
          </w:p>
          <w:p>
            <w:pPr>
              <w:spacing w:after="20"/>
              <w:ind w:left="20"/>
              <w:jc w:val="both"/>
            </w:pPr>
            <w:r>
              <w:rPr>
                <w:rFonts w:ascii="Times New Roman"/>
                <w:b w:val="false"/>
                <w:i w:val="false"/>
                <w:color w:val="000000"/>
                <w:sz w:val="20"/>
              </w:rPr>
              <w:t>
   4.9. Любое изменение, вносимое в документ, подписывается и датируется; изменение дает возможность прочтения первоначальной информации. Где применимо, указывается причина изменения.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Хранение документов</w:t>
            </w:r>
          </w:p>
          <w:p>
            <w:pPr>
              <w:spacing w:after="20"/>
              <w:ind w:left="20"/>
              <w:jc w:val="both"/>
            </w:pPr>
            <w:r>
              <w:rPr>
                <w:rFonts w:ascii="Times New Roman"/>
                <w:b w:val="false"/>
                <w:i w:val="false"/>
                <w:color w:val="000000"/>
                <w:sz w:val="20"/>
              </w:rPr>
              <w:t>
   4.10. Четко определяется, какая запись касается каждого вида производственной деятельности, и где она находится. Обеспечиваются надежные меры контроля, валидированные в соответствующих случаях, для обеспечения целостности записи на протяжении срока хранения.</w:t>
            </w:r>
          </w:p>
          <w:p>
            <w:pPr>
              <w:spacing w:after="20"/>
              <w:ind w:left="20"/>
              <w:jc w:val="both"/>
            </w:pPr>
            <w:r>
              <w:rPr>
                <w:rFonts w:ascii="Times New Roman"/>
                <w:b w:val="false"/>
                <w:i w:val="false"/>
                <w:color w:val="000000"/>
                <w:sz w:val="20"/>
              </w:rPr>
              <w:t>
   4.11. Особые требования предъявляются к документации серии, которую хранят в течение одного года после окончания срока годности этой серии или не менее пяти лет после выдачи разрешения на реализацию серии Уполномоченным лицом, в зависимости от того, какой срок дольше. Для лекарственных препаратов, предназначенных для клинических исследований, документацию серии хранят, как минимум, пять лет после окончания или официального прекращения последних клинических исследований, в которых использовали эту серию. В законодательных требованиях к специфическим видам лекарственных препаратов, например, к высокотехнологичным лекарственным препаратам для наиболее современных видов лечения устанавливаются более длительные периоды хранения определенных документов.</w:t>
            </w:r>
          </w:p>
          <w:p>
            <w:pPr>
              <w:spacing w:after="20"/>
              <w:ind w:left="20"/>
              <w:jc w:val="both"/>
            </w:pPr>
            <w:r>
              <w:rPr>
                <w:rFonts w:ascii="Times New Roman"/>
                <w:b w:val="false"/>
                <w:i w:val="false"/>
                <w:color w:val="000000"/>
                <w:sz w:val="20"/>
              </w:rPr>
              <w:t>
   4.12. Для других видов документации срок хранения зависит от видов деятельности, которую эта документация сопровождает. Критическую документацию, включая исходные данные, например, касающиеся валидации или стабильности, подтверждающие информацию регистрационного досье, хранят на протяжении срока действия регистрационного удостоверения. Допустимо удалять определенную документацию, например, исходные данные, сопровождающие отчеты по валидации или стабильности, если данные заменены полным комплектом новых данных. Обоснование таких действий оформляется документально, учитываются требования к хранению документации серии, например, в случае данных по валидации процесса сопровождающие исходные данные хранятся, по крайней мере, такое же время, как и документация на все серии, для которых разрешение на выпуск подтверждено данными этих валидационных исследований.</w:t>
            </w:r>
          </w:p>
          <w:p>
            <w:pPr>
              <w:spacing w:after="20"/>
              <w:ind w:left="20"/>
              <w:jc w:val="both"/>
            </w:pPr>
            <w:r>
              <w:rPr>
                <w:rFonts w:ascii="Times New Roman"/>
                <w:b w:val="false"/>
                <w:i w:val="false"/>
                <w:color w:val="000000"/>
                <w:sz w:val="20"/>
              </w:rPr>
              <w:t>
   В следующих подразделах приведены примеры необходимых документов. В системе управления качеством описываются все документы, необходимые для гарантии качества продукции и безопасности пациентов.</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Спецификации</w:t>
            </w:r>
          </w:p>
          <w:p>
            <w:pPr>
              <w:spacing w:after="20"/>
              <w:ind w:left="20"/>
              <w:jc w:val="both"/>
            </w:pPr>
            <w:r>
              <w:rPr>
                <w:rFonts w:ascii="Times New Roman"/>
                <w:b w:val="false"/>
                <w:i w:val="false"/>
                <w:color w:val="000000"/>
                <w:sz w:val="20"/>
              </w:rPr>
              <w:t xml:space="preserve">
   4.13. Имеются в наличии соответствующим образом утвержденные спецификации на исходные и упаковочные материалы и готовую продукцию с указанием даты.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Спецификации на исходные и упаковочные материалы</w:t>
            </w:r>
          </w:p>
          <w:p>
            <w:pPr>
              <w:spacing w:after="20"/>
              <w:ind w:left="20"/>
              <w:jc w:val="both"/>
            </w:pPr>
            <w:r>
              <w:rPr>
                <w:rFonts w:ascii="Times New Roman"/>
                <w:b w:val="false"/>
                <w:i w:val="false"/>
                <w:color w:val="000000"/>
                <w:sz w:val="20"/>
              </w:rPr>
              <w:t>
   4.14. Спецификации на исходные материалы, первичные или печатные упаковочные материалы содержат следующее:</w:t>
            </w:r>
          </w:p>
          <w:p>
            <w:pPr>
              <w:spacing w:after="20"/>
              <w:ind w:left="20"/>
              <w:jc w:val="both"/>
            </w:pPr>
            <w:r>
              <w:rPr>
                <w:rFonts w:ascii="Times New Roman"/>
                <w:b w:val="false"/>
                <w:i w:val="false"/>
                <w:color w:val="000000"/>
                <w:sz w:val="20"/>
              </w:rPr>
              <w:t xml:space="preserve">
   1) описание материалов, включающее: </w:t>
            </w:r>
          </w:p>
          <w:p>
            <w:pPr>
              <w:spacing w:after="20"/>
              <w:ind w:left="20"/>
              <w:jc w:val="both"/>
            </w:pPr>
            <w:r>
              <w:rPr>
                <w:rFonts w:ascii="Times New Roman"/>
                <w:b w:val="false"/>
                <w:i w:val="false"/>
                <w:color w:val="000000"/>
                <w:sz w:val="20"/>
              </w:rPr>
              <w:t xml:space="preserve">
   наименование и внутренний код; </w:t>
            </w:r>
          </w:p>
          <w:p>
            <w:pPr>
              <w:spacing w:after="20"/>
              <w:ind w:left="20"/>
              <w:jc w:val="both"/>
            </w:pPr>
            <w:r>
              <w:rPr>
                <w:rFonts w:ascii="Times New Roman"/>
                <w:b w:val="false"/>
                <w:i w:val="false"/>
                <w:color w:val="000000"/>
                <w:sz w:val="20"/>
              </w:rPr>
              <w:t xml:space="preserve">
   ссылку на фармакопейную статью или на другую нормативную документацию или нормативный документ при их наличии; </w:t>
            </w:r>
          </w:p>
          <w:p>
            <w:pPr>
              <w:spacing w:after="20"/>
              <w:ind w:left="20"/>
              <w:jc w:val="both"/>
            </w:pPr>
            <w:r>
              <w:rPr>
                <w:rFonts w:ascii="Times New Roman"/>
                <w:b w:val="false"/>
                <w:i w:val="false"/>
                <w:color w:val="000000"/>
                <w:sz w:val="20"/>
              </w:rPr>
              <w:t xml:space="preserve">
   наименование утвержденных поставщиков и, если это возможно, производителя исходных и упаковочных материалов; </w:t>
            </w:r>
          </w:p>
          <w:p>
            <w:pPr>
              <w:spacing w:after="20"/>
              <w:ind w:left="20"/>
              <w:jc w:val="both"/>
            </w:pPr>
            <w:r>
              <w:rPr>
                <w:rFonts w:ascii="Times New Roman"/>
                <w:b w:val="false"/>
                <w:i w:val="false"/>
                <w:color w:val="000000"/>
                <w:sz w:val="20"/>
              </w:rPr>
              <w:t xml:space="preserve">
   образец печатных материалов; </w:t>
            </w:r>
          </w:p>
          <w:p>
            <w:pPr>
              <w:spacing w:after="20"/>
              <w:ind w:left="20"/>
              <w:jc w:val="both"/>
            </w:pPr>
            <w:r>
              <w:rPr>
                <w:rFonts w:ascii="Times New Roman"/>
                <w:b w:val="false"/>
                <w:i w:val="false"/>
                <w:color w:val="000000"/>
                <w:sz w:val="20"/>
              </w:rPr>
              <w:t xml:space="preserve">
   2) инструкции по отбору проб и проведению испытаний; </w:t>
            </w:r>
          </w:p>
          <w:p>
            <w:pPr>
              <w:spacing w:after="20"/>
              <w:ind w:left="20"/>
              <w:jc w:val="both"/>
            </w:pPr>
            <w:r>
              <w:rPr>
                <w:rFonts w:ascii="Times New Roman"/>
                <w:b w:val="false"/>
                <w:i w:val="false"/>
                <w:color w:val="000000"/>
                <w:sz w:val="20"/>
              </w:rPr>
              <w:t>
   3) качественные и количественные показатели с указанием допустимых пределов;</w:t>
            </w:r>
          </w:p>
          <w:p>
            <w:pPr>
              <w:spacing w:after="20"/>
              <w:ind w:left="20"/>
              <w:jc w:val="both"/>
            </w:pPr>
            <w:r>
              <w:rPr>
                <w:rFonts w:ascii="Times New Roman"/>
                <w:b w:val="false"/>
                <w:i w:val="false"/>
                <w:color w:val="000000"/>
                <w:sz w:val="20"/>
              </w:rPr>
              <w:t xml:space="preserve">
   4) условия хранения и меры предосторожности; </w:t>
            </w:r>
          </w:p>
          <w:p>
            <w:pPr>
              <w:spacing w:after="20"/>
              <w:ind w:left="20"/>
              <w:jc w:val="both"/>
            </w:pPr>
            <w:r>
              <w:rPr>
                <w:rFonts w:ascii="Times New Roman"/>
                <w:b w:val="false"/>
                <w:i w:val="false"/>
                <w:color w:val="000000"/>
                <w:sz w:val="20"/>
              </w:rPr>
              <w:t xml:space="preserve">
   5) срок годности или максимальный срок хранения до повторного контроля. </w:t>
            </w:r>
          </w:p>
          <w:p>
            <w:pPr>
              <w:spacing w:after="20"/>
              <w:ind w:left="20"/>
              <w:jc w:val="both"/>
            </w:pPr>
            <w:r>
              <w:rPr>
                <w:rFonts w:ascii="Times New Roman"/>
                <w:b w:val="false"/>
                <w:i w:val="false"/>
                <w:color w:val="000000"/>
                <w:sz w:val="20"/>
              </w:rPr>
              <w:t>
</w:t>
            </w:r>
            <w:r>
              <w:rPr>
                <w:rFonts w:ascii="Times New Roman"/>
                <w:b/>
                <w:i w:val="false"/>
                <w:color w:val="000000"/>
                <w:sz w:val="20"/>
              </w:rPr>
              <w:t>Спецификации на промежуточную и нерасфасованную продукцию</w:t>
            </w:r>
          </w:p>
          <w:p>
            <w:pPr>
              <w:spacing w:after="20"/>
              <w:ind w:left="20"/>
              <w:jc w:val="both"/>
            </w:pPr>
            <w:r>
              <w:rPr>
                <w:rFonts w:ascii="Times New Roman"/>
                <w:b w:val="false"/>
                <w:i w:val="false"/>
                <w:color w:val="000000"/>
                <w:sz w:val="20"/>
              </w:rPr>
              <w:t>
   4.15. Спецификации на промежуточную и нерасфасованную продукцию имеются в наличии для критических стадий или при ее приобретении и отгрузке. Эти спецификации являются аналогичными спецификациям, соответственно, либо на исходное сырье, либо на готовую продукцию.</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Спецификации на готовую продукцию</w:t>
            </w:r>
          </w:p>
          <w:p>
            <w:pPr>
              <w:spacing w:after="20"/>
              <w:ind w:left="20"/>
              <w:jc w:val="both"/>
            </w:pPr>
            <w:r>
              <w:rPr>
                <w:rFonts w:ascii="Times New Roman"/>
                <w:b w:val="false"/>
                <w:i w:val="false"/>
                <w:color w:val="000000"/>
                <w:sz w:val="20"/>
              </w:rPr>
              <w:t>
   4.16. Спецификации на готовую продукцию содержат следующие данные:</w:t>
            </w:r>
          </w:p>
          <w:p>
            <w:pPr>
              <w:spacing w:after="20"/>
              <w:ind w:left="20"/>
              <w:jc w:val="both"/>
            </w:pPr>
            <w:r>
              <w:rPr>
                <w:rFonts w:ascii="Times New Roman"/>
                <w:b w:val="false"/>
                <w:i w:val="false"/>
                <w:color w:val="000000"/>
                <w:sz w:val="20"/>
              </w:rPr>
              <w:t xml:space="preserve">
   1) наименование лекарственного препарата и код при необходимости; </w:t>
            </w:r>
          </w:p>
          <w:p>
            <w:pPr>
              <w:spacing w:after="20"/>
              <w:ind w:left="20"/>
              <w:jc w:val="both"/>
            </w:pPr>
            <w:r>
              <w:rPr>
                <w:rFonts w:ascii="Times New Roman"/>
                <w:b w:val="false"/>
                <w:i w:val="false"/>
                <w:color w:val="000000"/>
                <w:sz w:val="20"/>
              </w:rPr>
              <w:t xml:space="preserve">
   2) состав или ссылку на соответствующий документ; </w:t>
            </w:r>
          </w:p>
          <w:p>
            <w:pPr>
              <w:spacing w:after="20"/>
              <w:ind w:left="20"/>
              <w:jc w:val="both"/>
            </w:pPr>
            <w:r>
              <w:rPr>
                <w:rFonts w:ascii="Times New Roman"/>
                <w:b w:val="false"/>
                <w:i w:val="false"/>
                <w:color w:val="000000"/>
                <w:sz w:val="20"/>
              </w:rPr>
              <w:t xml:space="preserve">
   3) описание лекарственной формы и подробные сведения об упаковке; </w:t>
            </w:r>
          </w:p>
          <w:p>
            <w:pPr>
              <w:spacing w:after="20"/>
              <w:ind w:left="20"/>
              <w:jc w:val="both"/>
            </w:pPr>
            <w:r>
              <w:rPr>
                <w:rFonts w:ascii="Times New Roman"/>
                <w:b w:val="false"/>
                <w:i w:val="false"/>
                <w:color w:val="000000"/>
                <w:sz w:val="20"/>
              </w:rPr>
              <w:t xml:space="preserve">
   4) инструкции по отбору проб и проведению испытаний или ссылку на соответствующий документ; </w:t>
            </w:r>
          </w:p>
          <w:p>
            <w:pPr>
              <w:spacing w:after="20"/>
              <w:ind w:left="20"/>
              <w:jc w:val="both"/>
            </w:pPr>
            <w:r>
              <w:rPr>
                <w:rFonts w:ascii="Times New Roman"/>
                <w:b w:val="false"/>
                <w:i w:val="false"/>
                <w:color w:val="000000"/>
                <w:sz w:val="20"/>
              </w:rPr>
              <w:t>
   5) качественные и количественные показатели с указанием допустимых пределов;</w:t>
            </w:r>
          </w:p>
          <w:p>
            <w:pPr>
              <w:spacing w:after="20"/>
              <w:ind w:left="20"/>
              <w:jc w:val="both"/>
            </w:pPr>
            <w:r>
              <w:rPr>
                <w:rFonts w:ascii="Times New Roman"/>
                <w:b w:val="false"/>
                <w:i w:val="false"/>
                <w:color w:val="000000"/>
                <w:sz w:val="20"/>
              </w:rPr>
              <w:t xml:space="preserve">
   6) условия хранения и особые меры предосторожности при использовании при необходимости; </w:t>
            </w:r>
          </w:p>
          <w:p>
            <w:pPr>
              <w:spacing w:after="20"/>
              <w:ind w:left="20"/>
              <w:jc w:val="both"/>
            </w:pPr>
            <w:r>
              <w:rPr>
                <w:rFonts w:ascii="Times New Roman"/>
                <w:b w:val="false"/>
                <w:i w:val="false"/>
                <w:color w:val="000000"/>
                <w:sz w:val="20"/>
              </w:rPr>
              <w:t>
   7) срок годности.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Производственная рецептура и технологические инструкции</w:t>
            </w:r>
          </w:p>
          <w:p>
            <w:pPr>
              <w:spacing w:after="20"/>
              <w:ind w:left="20"/>
              <w:jc w:val="both"/>
            </w:pPr>
            <w:r>
              <w:rPr>
                <w:rFonts w:ascii="Times New Roman"/>
                <w:b w:val="false"/>
                <w:i w:val="false"/>
                <w:color w:val="000000"/>
                <w:sz w:val="20"/>
              </w:rPr>
              <w:t xml:space="preserve">
   На каждый производимый лекарственный препарат и каждый размер серии имеются утвержденные письменные производственная рецептура и технологические инструкции. </w:t>
            </w:r>
          </w:p>
          <w:p>
            <w:pPr>
              <w:spacing w:after="20"/>
              <w:ind w:left="20"/>
              <w:jc w:val="both"/>
            </w:pPr>
            <w:r>
              <w:rPr>
                <w:rFonts w:ascii="Times New Roman"/>
                <w:b w:val="false"/>
                <w:i w:val="false"/>
                <w:color w:val="000000"/>
                <w:sz w:val="20"/>
              </w:rPr>
              <w:t>
   4.17. Производственная рецептура включает:</w:t>
            </w:r>
          </w:p>
          <w:p>
            <w:pPr>
              <w:spacing w:after="20"/>
              <w:ind w:left="20"/>
              <w:jc w:val="both"/>
            </w:pPr>
            <w:r>
              <w:rPr>
                <w:rFonts w:ascii="Times New Roman"/>
                <w:b w:val="false"/>
                <w:i w:val="false"/>
                <w:color w:val="000000"/>
                <w:sz w:val="20"/>
              </w:rPr>
              <w:t>
   1) наименование лекарственного препарата со ссылкой на код в соответствии со спецификацией (если применимо);</w:t>
            </w:r>
          </w:p>
          <w:p>
            <w:pPr>
              <w:spacing w:after="20"/>
              <w:ind w:left="20"/>
              <w:jc w:val="both"/>
            </w:pPr>
            <w:r>
              <w:rPr>
                <w:rFonts w:ascii="Times New Roman"/>
                <w:b w:val="false"/>
                <w:i w:val="false"/>
                <w:color w:val="000000"/>
                <w:sz w:val="20"/>
              </w:rPr>
              <w:t>
   2) описание лекарственной формы, дозировку препарата и размера серии;</w:t>
            </w:r>
          </w:p>
          <w:p>
            <w:pPr>
              <w:spacing w:after="20"/>
              <w:ind w:left="20"/>
              <w:jc w:val="both"/>
            </w:pPr>
            <w:r>
              <w:rPr>
                <w:rFonts w:ascii="Times New Roman"/>
                <w:b w:val="false"/>
                <w:i w:val="false"/>
                <w:color w:val="000000"/>
                <w:sz w:val="20"/>
              </w:rPr>
              <w:t>
   3) перечень всех исходных материалов, которые будут использоваться, с указанием количества каждого; также указывается любое вещество, которое может исчезнуть в ходе технологического процесса;</w:t>
            </w:r>
          </w:p>
          <w:p>
            <w:pPr>
              <w:spacing w:after="20"/>
              <w:ind w:left="20"/>
              <w:jc w:val="both"/>
            </w:pPr>
            <w:r>
              <w:rPr>
                <w:rFonts w:ascii="Times New Roman"/>
                <w:b w:val="false"/>
                <w:i w:val="false"/>
                <w:color w:val="000000"/>
                <w:sz w:val="20"/>
              </w:rPr>
              <w:t>
   4) ожидаемый выход готовой продукции с указанием допустимых пределов и выходы соответствующих промежуточных продуктов, где это возможно.</w:t>
            </w:r>
          </w:p>
          <w:p>
            <w:pPr>
              <w:spacing w:after="20"/>
              <w:ind w:left="20"/>
              <w:jc w:val="both"/>
            </w:pPr>
            <w:r>
              <w:rPr>
                <w:rFonts w:ascii="Times New Roman"/>
                <w:b w:val="false"/>
                <w:i w:val="false"/>
                <w:color w:val="000000"/>
                <w:sz w:val="20"/>
              </w:rPr>
              <w:t xml:space="preserve">
   4.18. Технологические инструкции содержат: </w:t>
            </w:r>
          </w:p>
          <w:p>
            <w:pPr>
              <w:spacing w:after="20"/>
              <w:ind w:left="20"/>
              <w:jc w:val="both"/>
            </w:pPr>
            <w:r>
              <w:rPr>
                <w:rFonts w:ascii="Times New Roman"/>
                <w:b w:val="false"/>
                <w:i w:val="false"/>
                <w:color w:val="000000"/>
                <w:sz w:val="20"/>
              </w:rPr>
              <w:t>
   1) данные о месте осуществления процесса и об основном оборудовании, которое при этом используется;</w:t>
            </w:r>
          </w:p>
          <w:p>
            <w:pPr>
              <w:spacing w:after="20"/>
              <w:ind w:left="20"/>
              <w:jc w:val="both"/>
            </w:pPr>
            <w:r>
              <w:rPr>
                <w:rFonts w:ascii="Times New Roman"/>
                <w:b w:val="false"/>
                <w:i w:val="false"/>
                <w:color w:val="000000"/>
                <w:sz w:val="20"/>
              </w:rPr>
              <w:t>
   2) методы или ссылки на методы, которые используются для подготовки критического оборудования, например: очистка, монтаж, калибровка, стерилизация;</w:t>
            </w:r>
          </w:p>
          <w:p>
            <w:pPr>
              <w:spacing w:after="20"/>
              <w:ind w:left="20"/>
              <w:jc w:val="both"/>
            </w:pPr>
            <w:r>
              <w:rPr>
                <w:rFonts w:ascii="Times New Roman"/>
                <w:b w:val="false"/>
                <w:i w:val="false"/>
                <w:color w:val="000000"/>
                <w:sz w:val="20"/>
              </w:rPr>
              <w:t>
   3) инструкции по проверке того, что оборудование и рабочее место свободны от предыдущей продукции, ненужных для запланированного процесса документов и материалов, а также по проверке чистоты оборудования и его готовности к следующему процессу;</w:t>
            </w:r>
          </w:p>
          <w:p>
            <w:pPr>
              <w:spacing w:after="20"/>
              <w:ind w:left="20"/>
              <w:jc w:val="both"/>
            </w:pPr>
            <w:r>
              <w:rPr>
                <w:rFonts w:ascii="Times New Roman"/>
                <w:b w:val="false"/>
                <w:i w:val="false"/>
                <w:color w:val="000000"/>
                <w:sz w:val="20"/>
              </w:rPr>
              <w:t>
   4) подробные постадийные технологические инструкции, например: проверка материалов, предварительная обработка, порядок загрузки сырья, критические параметры процесса: время, температура и т.п.;</w:t>
            </w:r>
          </w:p>
          <w:p>
            <w:pPr>
              <w:spacing w:after="20"/>
              <w:ind w:left="20"/>
              <w:jc w:val="both"/>
            </w:pPr>
            <w:r>
              <w:rPr>
                <w:rFonts w:ascii="Times New Roman"/>
                <w:b w:val="false"/>
                <w:i w:val="false"/>
                <w:color w:val="000000"/>
                <w:sz w:val="20"/>
              </w:rPr>
              <w:t>
   5) инструкции по всем видам контроля в процессе производства с указанием допустимых пределов;</w:t>
            </w:r>
          </w:p>
          <w:p>
            <w:pPr>
              <w:spacing w:after="20"/>
              <w:ind w:left="20"/>
              <w:jc w:val="both"/>
            </w:pPr>
            <w:r>
              <w:rPr>
                <w:rFonts w:ascii="Times New Roman"/>
                <w:b w:val="false"/>
                <w:i w:val="false"/>
                <w:color w:val="000000"/>
                <w:sz w:val="20"/>
              </w:rPr>
              <w:t>
   6) при необходимости, требования к хранению нерасфасованной продукции, включая тару, маркировку и специальные условия хранения, где это требуется;</w:t>
            </w:r>
          </w:p>
          <w:p>
            <w:pPr>
              <w:spacing w:after="20"/>
              <w:ind w:left="20"/>
              <w:jc w:val="both"/>
            </w:pPr>
            <w:r>
              <w:rPr>
                <w:rFonts w:ascii="Times New Roman"/>
                <w:b w:val="false"/>
                <w:i w:val="false"/>
                <w:color w:val="000000"/>
                <w:sz w:val="20"/>
              </w:rPr>
              <w:t xml:space="preserve">
   7) все подлежащие соблюдению особые меры предосторожности.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Инструкции по упаковке</w:t>
            </w:r>
          </w:p>
          <w:p>
            <w:pPr>
              <w:spacing w:after="20"/>
              <w:ind w:left="20"/>
              <w:jc w:val="both"/>
            </w:pPr>
            <w:r>
              <w:rPr>
                <w:rFonts w:ascii="Times New Roman"/>
                <w:b w:val="false"/>
                <w:i w:val="false"/>
                <w:color w:val="000000"/>
                <w:sz w:val="20"/>
              </w:rPr>
              <w:t xml:space="preserve">
   4.19. Для каждого лекарственного препарата, размера и типа упаковки в наличии имеются инструкции по упаковке. Они включают следующие сведения или содержат ссылки на них: </w:t>
            </w:r>
          </w:p>
          <w:p>
            <w:pPr>
              <w:spacing w:after="20"/>
              <w:ind w:left="20"/>
              <w:jc w:val="both"/>
            </w:pPr>
            <w:r>
              <w:rPr>
                <w:rFonts w:ascii="Times New Roman"/>
                <w:b w:val="false"/>
                <w:i w:val="false"/>
                <w:color w:val="000000"/>
                <w:sz w:val="20"/>
              </w:rPr>
              <w:t>
   1) наименование лекарственного препарата, включая номер серии нерасфасованной продукции и готового продукта;</w:t>
            </w:r>
          </w:p>
          <w:p>
            <w:pPr>
              <w:spacing w:after="20"/>
              <w:ind w:left="20"/>
              <w:jc w:val="both"/>
            </w:pPr>
            <w:r>
              <w:rPr>
                <w:rFonts w:ascii="Times New Roman"/>
                <w:b w:val="false"/>
                <w:i w:val="false"/>
                <w:color w:val="000000"/>
                <w:sz w:val="20"/>
              </w:rPr>
              <w:t xml:space="preserve">
   2) описание его лекарственной формы и дозировки где применимо; </w:t>
            </w:r>
          </w:p>
          <w:p>
            <w:pPr>
              <w:spacing w:after="20"/>
              <w:ind w:left="20"/>
              <w:jc w:val="both"/>
            </w:pPr>
            <w:r>
              <w:rPr>
                <w:rFonts w:ascii="Times New Roman"/>
                <w:b w:val="false"/>
                <w:i w:val="false"/>
                <w:color w:val="000000"/>
                <w:sz w:val="20"/>
              </w:rPr>
              <w:t>
   3) количество лекарственного препарата в окончательной упаковке, выраженное в штуках, единицах массы или объема;</w:t>
            </w:r>
          </w:p>
          <w:p>
            <w:pPr>
              <w:spacing w:after="20"/>
              <w:ind w:left="20"/>
              <w:jc w:val="both"/>
            </w:pPr>
            <w:r>
              <w:rPr>
                <w:rFonts w:ascii="Times New Roman"/>
                <w:b w:val="false"/>
                <w:i w:val="false"/>
                <w:color w:val="000000"/>
                <w:sz w:val="20"/>
              </w:rPr>
              <w:t>
   4) полный перечень всех необходимых упаковочных материалов, включая их количества, размеры и типы с указанием кода или номера, относящихся к спецификациям на каждый упаковочный материал;</w:t>
            </w:r>
          </w:p>
          <w:p>
            <w:pPr>
              <w:spacing w:after="20"/>
              <w:ind w:left="20"/>
              <w:jc w:val="both"/>
            </w:pPr>
            <w:r>
              <w:rPr>
                <w:rFonts w:ascii="Times New Roman"/>
                <w:b w:val="false"/>
                <w:i w:val="false"/>
                <w:color w:val="000000"/>
                <w:sz w:val="20"/>
              </w:rPr>
              <w:t>
   5) где применимо, образец или копию соответствующих печатных упаковочных материалов и образцы, указывающие на место нанесения номера серии и срока годности продукции;</w:t>
            </w:r>
          </w:p>
          <w:p>
            <w:pPr>
              <w:spacing w:after="20"/>
              <w:ind w:left="20"/>
              <w:jc w:val="both"/>
            </w:pPr>
            <w:r>
              <w:rPr>
                <w:rFonts w:ascii="Times New Roman"/>
                <w:b w:val="false"/>
                <w:i w:val="false"/>
                <w:color w:val="000000"/>
                <w:sz w:val="20"/>
              </w:rPr>
              <w:t>
   6) требования по проверке того, что оборудование и рабочее место свободны от предыдущей продукции, документов или материалов, ненужных для запланированных операций по упаковке - очистка линии, а также по проверке чистоты оборудования и его готовности к следующему процессу;</w:t>
            </w:r>
          </w:p>
          <w:p>
            <w:pPr>
              <w:spacing w:after="20"/>
              <w:ind w:left="20"/>
              <w:jc w:val="both"/>
            </w:pPr>
            <w:r>
              <w:rPr>
                <w:rFonts w:ascii="Times New Roman"/>
                <w:b w:val="false"/>
                <w:i w:val="false"/>
                <w:color w:val="000000"/>
                <w:sz w:val="20"/>
              </w:rPr>
              <w:t xml:space="preserve">
   7) подлежащие соблюдению специальные меры предосторожности, включая тщательную проверку зоны упаковки и оборудования, гарантирующие очистку упаковочной линии перед началом работы; </w:t>
            </w:r>
          </w:p>
          <w:p>
            <w:pPr>
              <w:spacing w:after="20"/>
              <w:ind w:left="20"/>
              <w:jc w:val="both"/>
            </w:pPr>
            <w:r>
              <w:rPr>
                <w:rFonts w:ascii="Times New Roman"/>
                <w:b w:val="false"/>
                <w:i w:val="false"/>
                <w:color w:val="000000"/>
                <w:sz w:val="20"/>
              </w:rPr>
              <w:t>
   8) описание процесса упаковки со всеми основными вспомогательными операциями и используемым оборудованием;</w:t>
            </w:r>
          </w:p>
          <w:p>
            <w:pPr>
              <w:spacing w:after="20"/>
              <w:ind w:left="20"/>
              <w:jc w:val="both"/>
            </w:pPr>
            <w:r>
              <w:rPr>
                <w:rFonts w:ascii="Times New Roman"/>
                <w:b w:val="false"/>
                <w:i w:val="false"/>
                <w:color w:val="000000"/>
                <w:sz w:val="20"/>
              </w:rPr>
              <w:t>
   9) подробное описание контроля в процессе производства с указаниями по отбору проб и допустимых пределов.</w:t>
            </w:r>
          </w:p>
          <w:p>
            <w:pPr>
              <w:spacing w:after="20"/>
              <w:ind w:left="20"/>
              <w:jc w:val="both"/>
            </w:pPr>
            <w:r>
              <w:rPr>
                <w:rFonts w:ascii="Times New Roman"/>
                <w:b w:val="false"/>
                <w:i w:val="false"/>
                <w:color w:val="000000"/>
                <w:sz w:val="20"/>
              </w:rPr>
              <w:t>
   Дополнительно разрабатываются другие документы, конкретизирующие положения, производственная рецептура и технологические инструкции.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Записи по производству серии</w:t>
            </w:r>
          </w:p>
          <w:p>
            <w:pPr>
              <w:spacing w:after="20"/>
              <w:ind w:left="20"/>
              <w:jc w:val="both"/>
            </w:pPr>
            <w:r>
              <w:rPr>
                <w:rFonts w:ascii="Times New Roman"/>
                <w:b w:val="false"/>
                <w:i w:val="false"/>
                <w:color w:val="000000"/>
                <w:sz w:val="20"/>
              </w:rPr>
              <w:t>
   4.20. На каждую произведенную серию сохраняют записи по производству серии.</w:t>
            </w:r>
          </w:p>
          <w:p>
            <w:pPr>
              <w:spacing w:after="20"/>
              <w:ind w:left="20"/>
              <w:jc w:val="both"/>
            </w:pPr>
            <w:r>
              <w:rPr>
                <w:rFonts w:ascii="Times New Roman"/>
                <w:b w:val="false"/>
                <w:i w:val="false"/>
                <w:color w:val="000000"/>
                <w:sz w:val="20"/>
              </w:rPr>
              <w:t>
   Они основываются на соответствующих частях утвержденных документов: производственной рецептуры и технологических инструкций и содержат следующую информацию:</w:t>
            </w:r>
          </w:p>
          <w:p>
            <w:pPr>
              <w:spacing w:after="20"/>
              <w:ind w:left="20"/>
              <w:jc w:val="both"/>
            </w:pPr>
            <w:r>
              <w:rPr>
                <w:rFonts w:ascii="Times New Roman"/>
                <w:b w:val="false"/>
                <w:i w:val="false"/>
                <w:color w:val="000000"/>
                <w:sz w:val="20"/>
              </w:rPr>
              <w:t xml:space="preserve">
   1) наименование и номер серии продукции; </w:t>
            </w:r>
          </w:p>
          <w:p>
            <w:pPr>
              <w:spacing w:after="20"/>
              <w:ind w:left="20"/>
              <w:jc w:val="both"/>
            </w:pPr>
            <w:r>
              <w:rPr>
                <w:rFonts w:ascii="Times New Roman"/>
                <w:b w:val="false"/>
                <w:i w:val="false"/>
                <w:color w:val="000000"/>
                <w:sz w:val="20"/>
              </w:rPr>
              <w:t xml:space="preserve">
   2) даты и время начала и завершения технологического процесса, а также основных промежуточных стадий; </w:t>
            </w:r>
          </w:p>
          <w:p>
            <w:pPr>
              <w:spacing w:after="20"/>
              <w:ind w:left="20"/>
              <w:jc w:val="both"/>
            </w:pPr>
            <w:r>
              <w:rPr>
                <w:rFonts w:ascii="Times New Roman"/>
                <w:b w:val="false"/>
                <w:i w:val="false"/>
                <w:color w:val="000000"/>
                <w:sz w:val="20"/>
              </w:rPr>
              <w:t>
   3) фамилию(и) оператора(ов) каждой основной технологической операции и, при необходимости, лица, проверившего каждую из этих операций;</w:t>
            </w:r>
          </w:p>
          <w:p>
            <w:pPr>
              <w:spacing w:after="20"/>
              <w:ind w:left="20"/>
              <w:jc w:val="both"/>
            </w:pPr>
            <w:r>
              <w:rPr>
                <w:rFonts w:ascii="Times New Roman"/>
                <w:b w:val="false"/>
                <w:i w:val="false"/>
                <w:color w:val="000000"/>
                <w:sz w:val="20"/>
              </w:rPr>
              <w:t>
   4) номер серии и (или) номер аналитического контроля, а также фактически отвешенное количество исходных материалов каждого вида, включая номер серии и количество любого добавленного регенерированного или переработанного материала;</w:t>
            </w:r>
          </w:p>
          <w:p>
            <w:pPr>
              <w:spacing w:after="20"/>
              <w:ind w:left="20"/>
              <w:jc w:val="both"/>
            </w:pPr>
            <w:r>
              <w:rPr>
                <w:rFonts w:ascii="Times New Roman"/>
                <w:b w:val="false"/>
                <w:i w:val="false"/>
                <w:color w:val="000000"/>
                <w:sz w:val="20"/>
              </w:rPr>
              <w:t xml:space="preserve">
   5) сведения о любой относящейся к делу технологической операции или любом действии, а также об основном использованном оборудовании; </w:t>
            </w:r>
          </w:p>
          <w:p>
            <w:pPr>
              <w:spacing w:after="20"/>
              <w:ind w:left="20"/>
              <w:jc w:val="both"/>
            </w:pPr>
            <w:r>
              <w:rPr>
                <w:rFonts w:ascii="Times New Roman"/>
                <w:b w:val="false"/>
                <w:i w:val="false"/>
                <w:color w:val="000000"/>
                <w:sz w:val="20"/>
              </w:rPr>
              <w:t xml:space="preserve">
   6) записи по контролю в процессе производства с указанием исполнителей и полученных результатов; </w:t>
            </w:r>
          </w:p>
          <w:p>
            <w:pPr>
              <w:spacing w:after="20"/>
              <w:ind w:left="20"/>
              <w:jc w:val="both"/>
            </w:pPr>
            <w:r>
              <w:rPr>
                <w:rFonts w:ascii="Times New Roman"/>
                <w:b w:val="false"/>
                <w:i w:val="false"/>
                <w:color w:val="000000"/>
                <w:sz w:val="20"/>
              </w:rPr>
              <w:t xml:space="preserve">
   7) выход продукции на различных стадиях производства; </w:t>
            </w:r>
          </w:p>
          <w:p>
            <w:pPr>
              <w:spacing w:after="20"/>
              <w:ind w:left="20"/>
              <w:jc w:val="both"/>
            </w:pPr>
            <w:r>
              <w:rPr>
                <w:rFonts w:ascii="Times New Roman"/>
                <w:b w:val="false"/>
                <w:i w:val="false"/>
                <w:color w:val="000000"/>
                <w:sz w:val="20"/>
              </w:rPr>
              <w:t>
   8) подробные сведения об особых проблемах, с подписанным разрешением на любое отклонение от технологических инструкций;</w:t>
            </w:r>
          </w:p>
          <w:p>
            <w:pPr>
              <w:spacing w:after="20"/>
              <w:ind w:left="20"/>
              <w:jc w:val="both"/>
            </w:pPr>
            <w:r>
              <w:rPr>
                <w:rFonts w:ascii="Times New Roman"/>
                <w:b w:val="false"/>
                <w:i w:val="false"/>
                <w:color w:val="000000"/>
                <w:sz w:val="20"/>
              </w:rPr>
              <w:t>
   9) подпись лица, ответственного за технологический процесс, с указанием даты.</w:t>
            </w:r>
          </w:p>
          <w:p>
            <w:pPr>
              <w:spacing w:after="20"/>
              <w:ind w:left="20"/>
              <w:jc w:val="both"/>
            </w:pPr>
            <w:r>
              <w:rPr>
                <w:rFonts w:ascii="Times New Roman"/>
                <w:b w:val="false"/>
                <w:i w:val="false"/>
                <w:color w:val="000000"/>
                <w:sz w:val="20"/>
              </w:rPr>
              <w:t>
   В том случае, если валидированный процесс подвергается постоянному мониторингу и контролю, автоматически создаваемые отчеты ограничиваются кратким резюме о соответствии и отчетами об отклонениях от спецификации.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Записи по упаковке серии</w:t>
            </w:r>
          </w:p>
          <w:p>
            <w:pPr>
              <w:spacing w:after="20"/>
              <w:ind w:left="20"/>
              <w:jc w:val="both"/>
            </w:pPr>
            <w:r>
              <w:rPr>
                <w:rFonts w:ascii="Times New Roman"/>
                <w:b w:val="false"/>
                <w:i w:val="false"/>
                <w:color w:val="000000"/>
                <w:sz w:val="20"/>
              </w:rPr>
              <w:t>
   4.21. На каждую произведенную серию или часть серии сохраняются записи по упаковке серии. Они основываются на соответствующих частях инструкций по упаковке.</w:t>
            </w:r>
          </w:p>
          <w:p>
            <w:pPr>
              <w:spacing w:after="20"/>
              <w:ind w:left="20"/>
              <w:jc w:val="both"/>
            </w:pPr>
            <w:r>
              <w:rPr>
                <w:rFonts w:ascii="Times New Roman"/>
                <w:b w:val="false"/>
                <w:i w:val="false"/>
                <w:color w:val="000000"/>
                <w:sz w:val="20"/>
              </w:rPr>
              <w:t>
   Записи по упаковке серии включают в себя следующие данные:</w:t>
            </w:r>
          </w:p>
          <w:p>
            <w:pPr>
              <w:spacing w:after="20"/>
              <w:ind w:left="20"/>
              <w:jc w:val="both"/>
            </w:pPr>
            <w:r>
              <w:rPr>
                <w:rFonts w:ascii="Times New Roman"/>
                <w:b w:val="false"/>
                <w:i w:val="false"/>
                <w:color w:val="000000"/>
                <w:sz w:val="20"/>
              </w:rPr>
              <w:t xml:space="preserve">
   1) наименование и номер серии лекарственного препарата; </w:t>
            </w:r>
          </w:p>
          <w:p>
            <w:pPr>
              <w:spacing w:after="20"/>
              <w:ind w:left="20"/>
              <w:jc w:val="both"/>
            </w:pPr>
            <w:r>
              <w:rPr>
                <w:rFonts w:ascii="Times New Roman"/>
                <w:b w:val="false"/>
                <w:i w:val="false"/>
                <w:color w:val="000000"/>
                <w:sz w:val="20"/>
              </w:rPr>
              <w:t xml:space="preserve">
   2) дату (даты) и время проведения операций по упаковке; </w:t>
            </w:r>
          </w:p>
          <w:p>
            <w:pPr>
              <w:spacing w:after="20"/>
              <w:ind w:left="20"/>
              <w:jc w:val="both"/>
            </w:pPr>
            <w:r>
              <w:rPr>
                <w:rFonts w:ascii="Times New Roman"/>
                <w:b w:val="false"/>
                <w:i w:val="false"/>
                <w:color w:val="000000"/>
                <w:sz w:val="20"/>
              </w:rPr>
              <w:t>
   3) фамилию(и) оператора(ов) каждой основной технологической операции, при необходимости, лица, проверившего каждую из этих операций;</w:t>
            </w:r>
          </w:p>
          <w:p>
            <w:pPr>
              <w:spacing w:after="20"/>
              <w:ind w:left="20"/>
              <w:jc w:val="both"/>
            </w:pPr>
            <w:r>
              <w:rPr>
                <w:rFonts w:ascii="Times New Roman"/>
                <w:b w:val="false"/>
                <w:i w:val="false"/>
                <w:color w:val="000000"/>
                <w:sz w:val="20"/>
              </w:rPr>
              <w:t xml:space="preserve">
   4) записи проверок идентичности и соответствия инструкциям по упаковке, включая результаты контроля в процессе производства; </w:t>
            </w:r>
          </w:p>
          <w:p>
            <w:pPr>
              <w:spacing w:after="20"/>
              <w:ind w:left="20"/>
              <w:jc w:val="both"/>
            </w:pPr>
            <w:r>
              <w:rPr>
                <w:rFonts w:ascii="Times New Roman"/>
                <w:b w:val="false"/>
                <w:i w:val="false"/>
                <w:color w:val="000000"/>
                <w:sz w:val="20"/>
              </w:rPr>
              <w:t>
   5) подробные сведения об осуществленных операциях по упаковке, включая ссылки на использованное оборудование и упаковочные линии;</w:t>
            </w:r>
          </w:p>
          <w:p>
            <w:pPr>
              <w:spacing w:after="20"/>
              <w:ind w:left="20"/>
              <w:jc w:val="both"/>
            </w:pPr>
            <w:r>
              <w:rPr>
                <w:rFonts w:ascii="Times New Roman"/>
                <w:b w:val="false"/>
                <w:i w:val="false"/>
                <w:color w:val="000000"/>
                <w:sz w:val="20"/>
              </w:rPr>
              <w:t xml:space="preserve">
   6) образцы использованного печатного упаковочного материала, включая образцы, с нанесенными номером серии, сроком годности и прочими дополнительными маркировочными данными, где применимо; </w:t>
            </w:r>
          </w:p>
          <w:p>
            <w:pPr>
              <w:spacing w:after="20"/>
              <w:ind w:left="20"/>
              <w:jc w:val="both"/>
            </w:pPr>
            <w:r>
              <w:rPr>
                <w:rFonts w:ascii="Times New Roman"/>
                <w:b w:val="false"/>
                <w:i w:val="false"/>
                <w:color w:val="000000"/>
                <w:sz w:val="20"/>
              </w:rPr>
              <w:t>
   7) подробные сведения об особых проблемах или необычных происшествиях с подписанным разрешением на любое отклонение от инструкций по упаковке;</w:t>
            </w:r>
          </w:p>
          <w:p>
            <w:pPr>
              <w:spacing w:after="20"/>
              <w:ind w:left="20"/>
              <w:jc w:val="both"/>
            </w:pPr>
            <w:r>
              <w:rPr>
                <w:rFonts w:ascii="Times New Roman"/>
                <w:b w:val="false"/>
                <w:i w:val="false"/>
                <w:color w:val="000000"/>
                <w:sz w:val="20"/>
              </w:rPr>
              <w:t>
   8) количество и ссылку на номер или наименование всех печатных упаковочных материалов и нерасфасованной продукции, выданных, использованных, уничтоженных или возвращенных на склад, а также количество готового продукта для составления соответствующего баланса. Надежный электронный контроль в процессе упаковки является основанием не включения такой информации.</w:t>
            </w:r>
          </w:p>
          <w:p>
            <w:pPr>
              <w:spacing w:after="20"/>
              <w:ind w:left="20"/>
              <w:jc w:val="both"/>
            </w:pPr>
            <w:r>
              <w:rPr>
                <w:rFonts w:ascii="Times New Roman"/>
                <w:b w:val="false"/>
                <w:i w:val="false"/>
                <w:color w:val="000000"/>
                <w:sz w:val="20"/>
              </w:rPr>
              <w:t>
   9) подпись лица, ответственного за процесс упаковки, с указанием даты.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Процедуры и записи</w:t>
            </w:r>
          </w:p>
          <w:p>
            <w:pPr>
              <w:spacing w:after="20"/>
              <w:ind w:left="20"/>
              <w:jc w:val="both"/>
            </w:pPr>
            <w:r>
              <w:rPr>
                <w:rFonts w:ascii="Times New Roman"/>
                <w:b w:val="false"/>
                <w:i w:val="false"/>
                <w:color w:val="000000"/>
                <w:sz w:val="20"/>
              </w:rPr>
              <w:t>
</w:t>
            </w:r>
            <w:r>
              <w:rPr>
                <w:rFonts w:ascii="Times New Roman"/>
                <w:b/>
                <w:i w:val="false"/>
                <w:color w:val="000000"/>
                <w:sz w:val="20"/>
              </w:rPr>
              <w:t>Приемка</w:t>
            </w:r>
          </w:p>
          <w:p>
            <w:pPr>
              <w:spacing w:after="20"/>
              <w:ind w:left="20"/>
              <w:jc w:val="both"/>
            </w:pPr>
            <w:r>
              <w:rPr>
                <w:rFonts w:ascii="Times New Roman"/>
                <w:b w:val="false"/>
                <w:i w:val="false"/>
                <w:color w:val="000000"/>
                <w:sz w:val="20"/>
              </w:rPr>
              <w:t xml:space="preserve">
   4.22. На приемку каждой поставки каждого вида исходных материалов, в том числе нерасфасованной, промежуточной или готовой продукции, а также первичных, вторичных и печатных упаковочных материалов в наличии имеются письменные процедуры и подтверждающие записи. </w:t>
            </w:r>
          </w:p>
          <w:p>
            <w:pPr>
              <w:spacing w:after="20"/>
              <w:ind w:left="20"/>
              <w:jc w:val="both"/>
            </w:pPr>
            <w:r>
              <w:rPr>
                <w:rFonts w:ascii="Times New Roman"/>
                <w:b w:val="false"/>
                <w:i w:val="false"/>
                <w:color w:val="000000"/>
                <w:sz w:val="20"/>
              </w:rPr>
              <w:t xml:space="preserve">
   4.23. Записи по приемке содержат: </w:t>
            </w:r>
          </w:p>
          <w:p>
            <w:pPr>
              <w:spacing w:after="20"/>
              <w:ind w:left="20"/>
              <w:jc w:val="both"/>
            </w:pPr>
            <w:r>
              <w:rPr>
                <w:rFonts w:ascii="Times New Roman"/>
                <w:b w:val="false"/>
                <w:i w:val="false"/>
                <w:color w:val="000000"/>
                <w:sz w:val="20"/>
              </w:rPr>
              <w:t xml:space="preserve">
   1) наименование материала в накладной и на таре; </w:t>
            </w:r>
          </w:p>
          <w:p>
            <w:pPr>
              <w:spacing w:after="20"/>
              <w:ind w:left="20"/>
              <w:jc w:val="both"/>
            </w:pPr>
            <w:r>
              <w:rPr>
                <w:rFonts w:ascii="Times New Roman"/>
                <w:b w:val="false"/>
                <w:i w:val="false"/>
                <w:color w:val="000000"/>
                <w:sz w:val="20"/>
              </w:rPr>
              <w:t>
   2) внутризаводское наименование и (или) код материала;</w:t>
            </w:r>
          </w:p>
          <w:p>
            <w:pPr>
              <w:spacing w:after="20"/>
              <w:ind w:left="20"/>
              <w:jc w:val="both"/>
            </w:pPr>
            <w:r>
              <w:rPr>
                <w:rFonts w:ascii="Times New Roman"/>
                <w:b w:val="false"/>
                <w:i w:val="false"/>
                <w:color w:val="000000"/>
                <w:sz w:val="20"/>
              </w:rPr>
              <w:t>
   3) дату приемки;</w:t>
            </w:r>
          </w:p>
          <w:p>
            <w:pPr>
              <w:spacing w:after="20"/>
              <w:ind w:left="20"/>
              <w:jc w:val="both"/>
            </w:pPr>
            <w:r>
              <w:rPr>
                <w:rFonts w:ascii="Times New Roman"/>
                <w:b w:val="false"/>
                <w:i w:val="false"/>
                <w:color w:val="000000"/>
                <w:sz w:val="20"/>
              </w:rPr>
              <w:t xml:space="preserve">
   4) наименование поставщика и наименование производителя; </w:t>
            </w:r>
          </w:p>
          <w:p>
            <w:pPr>
              <w:spacing w:after="20"/>
              <w:ind w:left="20"/>
              <w:jc w:val="both"/>
            </w:pPr>
            <w:r>
              <w:rPr>
                <w:rFonts w:ascii="Times New Roman"/>
                <w:b w:val="false"/>
                <w:i w:val="false"/>
                <w:color w:val="000000"/>
                <w:sz w:val="20"/>
              </w:rPr>
              <w:t xml:space="preserve">
   5) номер серии производителя или кодовый номер; </w:t>
            </w:r>
          </w:p>
          <w:p>
            <w:pPr>
              <w:spacing w:after="20"/>
              <w:ind w:left="20"/>
              <w:jc w:val="both"/>
            </w:pPr>
            <w:r>
              <w:rPr>
                <w:rFonts w:ascii="Times New Roman"/>
                <w:b w:val="false"/>
                <w:i w:val="false"/>
                <w:color w:val="000000"/>
                <w:sz w:val="20"/>
              </w:rPr>
              <w:t xml:space="preserve">
   6) общее количество полученных материалов и число единиц упаковок; </w:t>
            </w:r>
          </w:p>
          <w:p>
            <w:pPr>
              <w:spacing w:after="20"/>
              <w:ind w:left="20"/>
              <w:jc w:val="both"/>
            </w:pPr>
            <w:r>
              <w:rPr>
                <w:rFonts w:ascii="Times New Roman"/>
                <w:b w:val="false"/>
                <w:i w:val="false"/>
                <w:color w:val="000000"/>
                <w:sz w:val="20"/>
              </w:rPr>
              <w:t>
   7) номер серии, присвоенный после приемки;</w:t>
            </w:r>
          </w:p>
          <w:p>
            <w:pPr>
              <w:spacing w:after="20"/>
              <w:ind w:left="20"/>
              <w:jc w:val="both"/>
            </w:pPr>
            <w:r>
              <w:rPr>
                <w:rFonts w:ascii="Times New Roman"/>
                <w:b w:val="false"/>
                <w:i w:val="false"/>
                <w:color w:val="000000"/>
                <w:sz w:val="20"/>
              </w:rPr>
              <w:t>
   8) любые существенные замечания.</w:t>
            </w:r>
          </w:p>
          <w:p>
            <w:pPr>
              <w:spacing w:after="20"/>
              <w:ind w:left="20"/>
              <w:jc w:val="both"/>
            </w:pPr>
            <w:r>
              <w:rPr>
                <w:rFonts w:ascii="Times New Roman"/>
                <w:b w:val="false"/>
                <w:i w:val="false"/>
                <w:color w:val="000000"/>
                <w:sz w:val="20"/>
              </w:rPr>
              <w:t>
   4.24. В наличии имеются письменные процедуры по внутризаводской маркировке, карантину и хранению исходных, упаковочных и других материалов.</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Отбор проб</w:t>
            </w:r>
          </w:p>
          <w:p>
            <w:pPr>
              <w:spacing w:after="20"/>
              <w:ind w:left="20"/>
              <w:jc w:val="both"/>
            </w:pPr>
            <w:r>
              <w:rPr>
                <w:rFonts w:ascii="Times New Roman"/>
                <w:b w:val="false"/>
                <w:i w:val="false"/>
                <w:color w:val="000000"/>
                <w:sz w:val="20"/>
              </w:rPr>
              <w:t>
   4.25. В наличии имеются письменные процедуры по отбору проб, содержащие сведения об используемых методах и оборудовании, количествах, которые отбираются, и любых подлежащих соблюдению мерах предосторожности во избежание контаминации материала или любого ухудшения его качества.</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Проведение испытаний</w:t>
            </w:r>
          </w:p>
          <w:p>
            <w:pPr>
              <w:spacing w:after="20"/>
              <w:ind w:left="20"/>
              <w:jc w:val="both"/>
            </w:pPr>
            <w:r>
              <w:rPr>
                <w:rFonts w:ascii="Times New Roman"/>
                <w:b w:val="false"/>
                <w:i w:val="false"/>
                <w:color w:val="000000"/>
                <w:sz w:val="20"/>
              </w:rPr>
              <w:t>
   4.26. В наличии имеются письменные методики испытания образцов материалов и продукции на различных стадиях производства, с указанием используемых методов и оборудования. Проведенные испытания оформляются документально.</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Прочее</w:t>
            </w:r>
          </w:p>
          <w:p>
            <w:pPr>
              <w:spacing w:after="20"/>
              <w:ind w:left="20"/>
              <w:jc w:val="both"/>
            </w:pPr>
            <w:r>
              <w:rPr>
                <w:rFonts w:ascii="Times New Roman"/>
                <w:b w:val="false"/>
                <w:i w:val="false"/>
                <w:color w:val="000000"/>
                <w:sz w:val="20"/>
              </w:rPr>
              <w:t>
   4.27. Имеются письменные процедуры, устанавливающие порядок выпуска и отклонения материалов и продукции, в частности, выдачи Уполномоченным лицом разрешения на выпуск готовой продукции. Все записи доступны Уполномоченному лицу. Внедряется система для обозначения специальных наблюдений и любых изменений в отношении критических данных.</w:t>
            </w:r>
          </w:p>
          <w:p>
            <w:pPr>
              <w:spacing w:after="20"/>
              <w:ind w:left="20"/>
              <w:jc w:val="both"/>
            </w:pPr>
            <w:r>
              <w:rPr>
                <w:rFonts w:ascii="Times New Roman"/>
                <w:b w:val="false"/>
                <w:i w:val="false"/>
                <w:color w:val="000000"/>
                <w:sz w:val="20"/>
              </w:rPr>
              <w:t>
   4.28. Ведутся и сохраняются записи по реализации каждой серии продукции в целях облегчения отзыва этой серии.</w:t>
            </w:r>
          </w:p>
          <w:p>
            <w:pPr>
              <w:spacing w:after="20"/>
              <w:ind w:left="20"/>
              <w:jc w:val="both"/>
            </w:pPr>
            <w:r>
              <w:rPr>
                <w:rFonts w:ascii="Times New Roman"/>
                <w:b w:val="false"/>
                <w:i w:val="false"/>
                <w:color w:val="000000"/>
                <w:sz w:val="20"/>
              </w:rPr>
              <w:t xml:space="preserve">
   4.29. В наличии имеются письменно изложенные политики, принципы, процедуры, планы, протоколы, отчеты и относящиеся к ним записи предпринятых действий или сделанных заключений, где применимо, в отношении: </w:t>
            </w:r>
          </w:p>
          <w:p>
            <w:pPr>
              <w:spacing w:after="20"/>
              <w:ind w:left="20"/>
              <w:jc w:val="both"/>
            </w:pPr>
            <w:r>
              <w:rPr>
                <w:rFonts w:ascii="Times New Roman"/>
                <w:b w:val="false"/>
                <w:i w:val="false"/>
                <w:color w:val="000000"/>
                <w:sz w:val="20"/>
              </w:rPr>
              <w:t xml:space="preserve">
   валидации и квалификации процессов, оборудования и систем; </w:t>
            </w:r>
          </w:p>
          <w:p>
            <w:pPr>
              <w:spacing w:after="20"/>
              <w:ind w:left="20"/>
              <w:jc w:val="both"/>
            </w:pPr>
            <w:r>
              <w:rPr>
                <w:rFonts w:ascii="Times New Roman"/>
                <w:b w:val="false"/>
                <w:i w:val="false"/>
                <w:color w:val="000000"/>
                <w:sz w:val="20"/>
              </w:rPr>
              <w:t xml:space="preserve">
   монтажа и калибровки оборудования; </w:t>
            </w:r>
          </w:p>
          <w:p>
            <w:pPr>
              <w:spacing w:after="20"/>
              <w:ind w:left="20"/>
              <w:jc w:val="both"/>
            </w:pPr>
            <w:r>
              <w:rPr>
                <w:rFonts w:ascii="Times New Roman"/>
                <w:b w:val="false"/>
                <w:i w:val="false"/>
                <w:color w:val="000000"/>
                <w:sz w:val="20"/>
              </w:rPr>
              <w:t>
   переноса технологий;</w:t>
            </w:r>
          </w:p>
          <w:p>
            <w:pPr>
              <w:spacing w:after="20"/>
              <w:ind w:left="20"/>
              <w:jc w:val="both"/>
            </w:pPr>
            <w:r>
              <w:rPr>
                <w:rFonts w:ascii="Times New Roman"/>
                <w:b w:val="false"/>
                <w:i w:val="false"/>
                <w:color w:val="000000"/>
                <w:sz w:val="20"/>
              </w:rPr>
              <w:t xml:space="preserve">
   технического обслуживания, очистки и дезинфекции; </w:t>
            </w:r>
          </w:p>
          <w:p>
            <w:pPr>
              <w:spacing w:after="20"/>
              <w:ind w:left="20"/>
              <w:jc w:val="both"/>
            </w:pPr>
            <w:r>
              <w:rPr>
                <w:rFonts w:ascii="Times New Roman"/>
                <w:b w:val="false"/>
                <w:i w:val="false"/>
                <w:color w:val="000000"/>
                <w:sz w:val="20"/>
              </w:rPr>
              <w:t>
   персонала, включая списки лиц с образцами подписей, обучение правилам GMP и техническим вопросам, переодеванию и гигиеническим требованиям, а также проверку эффективности обучения;</w:t>
            </w:r>
          </w:p>
          <w:p>
            <w:pPr>
              <w:spacing w:after="20"/>
              <w:ind w:left="20"/>
              <w:jc w:val="both"/>
            </w:pPr>
            <w:r>
              <w:rPr>
                <w:rFonts w:ascii="Times New Roman"/>
                <w:b w:val="false"/>
                <w:i w:val="false"/>
                <w:color w:val="000000"/>
                <w:sz w:val="20"/>
              </w:rPr>
              <w:t xml:space="preserve">
   мониторинга производственной среды; </w:t>
            </w:r>
          </w:p>
          <w:p>
            <w:pPr>
              <w:spacing w:after="20"/>
              <w:ind w:left="20"/>
              <w:jc w:val="both"/>
            </w:pPr>
            <w:r>
              <w:rPr>
                <w:rFonts w:ascii="Times New Roman"/>
                <w:b w:val="false"/>
                <w:i w:val="false"/>
                <w:color w:val="000000"/>
                <w:sz w:val="20"/>
              </w:rPr>
              <w:t xml:space="preserve">
   мероприятий, направленных на осуществление контроля появления и распространения вредителей; </w:t>
            </w:r>
          </w:p>
          <w:p>
            <w:pPr>
              <w:spacing w:after="20"/>
              <w:ind w:left="20"/>
              <w:jc w:val="both"/>
            </w:pPr>
            <w:r>
              <w:rPr>
                <w:rFonts w:ascii="Times New Roman"/>
                <w:b w:val="false"/>
                <w:i w:val="false"/>
                <w:color w:val="000000"/>
                <w:sz w:val="20"/>
              </w:rPr>
              <w:t>
   претензий;</w:t>
            </w:r>
          </w:p>
          <w:p>
            <w:pPr>
              <w:spacing w:after="20"/>
              <w:ind w:left="20"/>
              <w:jc w:val="both"/>
            </w:pPr>
            <w:r>
              <w:rPr>
                <w:rFonts w:ascii="Times New Roman"/>
                <w:b w:val="false"/>
                <w:i w:val="false"/>
                <w:color w:val="000000"/>
                <w:sz w:val="20"/>
              </w:rPr>
              <w:t xml:space="preserve">
   отзывов продукции; </w:t>
            </w:r>
          </w:p>
          <w:p>
            <w:pPr>
              <w:spacing w:after="20"/>
              <w:ind w:left="20"/>
              <w:jc w:val="both"/>
            </w:pPr>
            <w:r>
              <w:rPr>
                <w:rFonts w:ascii="Times New Roman"/>
                <w:b w:val="false"/>
                <w:i w:val="false"/>
                <w:color w:val="000000"/>
                <w:sz w:val="20"/>
              </w:rPr>
              <w:t>
   возвратов продукции;</w:t>
            </w:r>
          </w:p>
          <w:p>
            <w:pPr>
              <w:spacing w:after="20"/>
              <w:ind w:left="20"/>
              <w:jc w:val="both"/>
            </w:pPr>
            <w:r>
              <w:rPr>
                <w:rFonts w:ascii="Times New Roman"/>
                <w:b w:val="false"/>
                <w:i w:val="false"/>
                <w:color w:val="000000"/>
                <w:sz w:val="20"/>
              </w:rPr>
              <w:t>
   контроля изменений;</w:t>
            </w:r>
          </w:p>
          <w:p>
            <w:pPr>
              <w:spacing w:after="20"/>
              <w:ind w:left="20"/>
              <w:jc w:val="both"/>
            </w:pPr>
            <w:r>
              <w:rPr>
                <w:rFonts w:ascii="Times New Roman"/>
                <w:b w:val="false"/>
                <w:i w:val="false"/>
                <w:color w:val="000000"/>
                <w:sz w:val="20"/>
              </w:rPr>
              <w:t>
   расследования отклонений и несоответствий;</w:t>
            </w:r>
          </w:p>
          <w:p>
            <w:pPr>
              <w:spacing w:after="20"/>
              <w:ind w:left="20"/>
              <w:jc w:val="both"/>
            </w:pPr>
            <w:r>
              <w:rPr>
                <w:rFonts w:ascii="Times New Roman"/>
                <w:b w:val="false"/>
                <w:i w:val="false"/>
                <w:color w:val="000000"/>
                <w:sz w:val="20"/>
              </w:rPr>
              <w:t>
   внутреннего аудита качества или соответствия требованиям GMP;</w:t>
            </w:r>
          </w:p>
          <w:p>
            <w:pPr>
              <w:spacing w:after="20"/>
              <w:ind w:left="20"/>
              <w:jc w:val="both"/>
            </w:pPr>
            <w:r>
              <w:rPr>
                <w:rFonts w:ascii="Times New Roman"/>
                <w:b w:val="false"/>
                <w:i w:val="false"/>
                <w:color w:val="000000"/>
                <w:sz w:val="20"/>
              </w:rPr>
              <w:t>
   обобщение записей при необходимости;</w:t>
            </w:r>
          </w:p>
          <w:p>
            <w:pPr>
              <w:spacing w:after="20"/>
              <w:ind w:left="20"/>
              <w:jc w:val="both"/>
            </w:pPr>
            <w:r>
              <w:rPr>
                <w:rFonts w:ascii="Times New Roman"/>
                <w:b w:val="false"/>
                <w:i w:val="false"/>
                <w:color w:val="000000"/>
                <w:sz w:val="20"/>
              </w:rPr>
              <w:t>
   аудита поставщиков.</w:t>
            </w:r>
          </w:p>
          <w:p>
            <w:pPr>
              <w:spacing w:after="20"/>
              <w:ind w:left="20"/>
              <w:jc w:val="both"/>
            </w:pPr>
            <w:r>
              <w:rPr>
                <w:rFonts w:ascii="Times New Roman"/>
                <w:b w:val="false"/>
                <w:i w:val="false"/>
                <w:color w:val="000000"/>
                <w:sz w:val="20"/>
              </w:rPr>
              <w:t xml:space="preserve">
   4.30. В наличии имеются четкие инструкции по эксплуатации основных единиц производственного и контрольно-аналитического оборудования. </w:t>
            </w:r>
          </w:p>
          <w:p>
            <w:pPr>
              <w:spacing w:after="20"/>
              <w:ind w:left="20"/>
              <w:jc w:val="both"/>
            </w:pPr>
            <w:r>
              <w:rPr>
                <w:rFonts w:ascii="Times New Roman"/>
                <w:b w:val="false"/>
                <w:i w:val="false"/>
                <w:color w:val="000000"/>
                <w:sz w:val="20"/>
              </w:rPr>
              <w:t>
   4.31. Ведутся регистрационные журналы для наиболее важного или критического технологического и контрольно-аналитического оборудования, а также для помещений, где производилась продукция. В этих журналах следует регистрировать в хронологическом порядке любое использование этих помещений, оборудования и методов, проведение калибровки, технического обслуживания, очистки или ремонта, с указанием дат и лиц, выполнивших эти работы.</w:t>
            </w:r>
          </w:p>
          <w:p>
            <w:pPr>
              <w:spacing w:after="20"/>
              <w:ind w:left="20"/>
              <w:jc w:val="both"/>
            </w:pPr>
            <w:r>
              <w:rPr>
                <w:rFonts w:ascii="Times New Roman"/>
                <w:b w:val="false"/>
                <w:i w:val="false"/>
                <w:color w:val="000000"/>
                <w:sz w:val="20"/>
              </w:rPr>
              <w:t>
   4.32. Следует вести учет документов в рамках системы управления качеством.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Технологические операции осуществляются по четко установленным процедурам; они отвечают настоящему Стандарту для получения продукции требуемого качества и соответствуют лицензии на производство и регистрационному досье.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требования</w:t>
            </w:r>
          </w:p>
          <w:p>
            <w:pPr>
              <w:spacing w:after="20"/>
              <w:ind w:left="20"/>
              <w:jc w:val="both"/>
            </w:pPr>
            <w:r>
              <w:rPr>
                <w:rFonts w:ascii="Times New Roman"/>
                <w:b w:val="false"/>
                <w:i w:val="false"/>
                <w:color w:val="000000"/>
                <w:sz w:val="20"/>
              </w:rPr>
              <w:t>
   5.1. Производственный процесс осуществляется и контролируется квалифицированным персоналом.</w:t>
            </w:r>
          </w:p>
          <w:p>
            <w:pPr>
              <w:spacing w:after="20"/>
              <w:ind w:left="20"/>
              <w:jc w:val="both"/>
            </w:pPr>
            <w:r>
              <w:rPr>
                <w:rFonts w:ascii="Times New Roman"/>
                <w:b w:val="false"/>
                <w:i w:val="false"/>
                <w:color w:val="000000"/>
                <w:sz w:val="20"/>
              </w:rPr>
              <w:t>
   5.2. Все действия, проводимые с материалами и продукцией, такие как приемка и карантин, отбор проб, хранение, маркировка, выдача в производство, технологический процесс, упаковка и реализация, осуществляются согласно письменным процедурам или инструкциям и оформляются документально.</w:t>
            </w:r>
          </w:p>
          <w:p>
            <w:pPr>
              <w:spacing w:after="20"/>
              <w:ind w:left="20"/>
              <w:jc w:val="both"/>
            </w:pPr>
            <w:r>
              <w:rPr>
                <w:rFonts w:ascii="Times New Roman"/>
                <w:b w:val="false"/>
                <w:i w:val="false"/>
                <w:color w:val="000000"/>
                <w:sz w:val="20"/>
              </w:rPr>
              <w:t xml:space="preserve">
   5.3. Все поступающие материалы проверяются, чтобы гарантировать, что поставка соответствует заказу. Тара очищается при необходимости и маркируется с указанием требуемой информации. </w:t>
            </w:r>
          </w:p>
          <w:p>
            <w:pPr>
              <w:spacing w:after="20"/>
              <w:ind w:left="20"/>
              <w:jc w:val="both"/>
            </w:pPr>
            <w:r>
              <w:rPr>
                <w:rFonts w:ascii="Times New Roman"/>
                <w:b w:val="false"/>
                <w:i w:val="false"/>
                <w:color w:val="000000"/>
                <w:sz w:val="20"/>
              </w:rPr>
              <w:t xml:space="preserve">
   5.4. Факты повреждения тары и упаковки и любые другие проблемы, которые неблагоприятно влияют на качество материалов, расследуются, оформляются документально, а информация о них направляется в подразделения контроля качества. </w:t>
            </w:r>
          </w:p>
          <w:p>
            <w:pPr>
              <w:spacing w:after="20"/>
              <w:ind w:left="20"/>
              <w:jc w:val="both"/>
            </w:pPr>
            <w:r>
              <w:rPr>
                <w:rFonts w:ascii="Times New Roman"/>
                <w:b w:val="false"/>
                <w:i w:val="false"/>
                <w:color w:val="000000"/>
                <w:sz w:val="20"/>
              </w:rPr>
              <w:t>
   5.5. Поступающие материалы и произведенная готовая продукция немедленно помещаются в карантин, действующий по принципу раздельного хранения или за счет организационных мер, и содержатся в нем до получения разрешения на использование или реализацию.</w:t>
            </w:r>
          </w:p>
          <w:p>
            <w:pPr>
              <w:spacing w:after="20"/>
              <w:ind w:left="20"/>
              <w:jc w:val="both"/>
            </w:pPr>
            <w:r>
              <w:rPr>
                <w:rFonts w:ascii="Times New Roman"/>
                <w:b w:val="false"/>
                <w:i w:val="false"/>
                <w:color w:val="000000"/>
                <w:sz w:val="20"/>
              </w:rPr>
              <w:t>
   5.6. Приемку закупаемых промежуточной и нерасфасованной продукции проводят в соответствии с правилами, действующими для исходных материалов.</w:t>
            </w:r>
          </w:p>
          <w:p>
            <w:pPr>
              <w:spacing w:after="20"/>
              <w:ind w:left="20"/>
              <w:jc w:val="both"/>
            </w:pPr>
            <w:r>
              <w:rPr>
                <w:rFonts w:ascii="Times New Roman"/>
                <w:b w:val="false"/>
                <w:i w:val="false"/>
                <w:color w:val="000000"/>
                <w:sz w:val="20"/>
              </w:rPr>
              <w:t>
   5.7. Все материалы и продукцию хранят в соответствующих условиях, установленных производителем, в определенном порядке, обеспечивающем разделение по сериям и установленную очередность использования складских запасов.</w:t>
            </w:r>
          </w:p>
          <w:p>
            <w:pPr>
              <w:spacing w:after="20"/>
              <w:ind w:left="20"/>
              <w:jc w:val="both"/>
            </w:pPr>
            <w:r>
              <w:rPr>
                <w:rFonts w:ascii="Times New Roman"/>
                <w:b w:val="false"/>
                <w:i w:val="false"/>
                <w:color w:val="000000"/>
                <w:sz w:val="20"/>
              </w:rPr>
              <w:t>
   5.8. Проводят проверки выходов и материального баланса, чтобы убедиться в отсутствии расхождений с допустимыми пределами.</w:t>
            </w:r>
          </w:p>
          <w:p>
            <w:pPr>
              <w:spacing w:after="20"/>
              <w:ind w:left="20"/>
              <w:jc w:val="both"/>
            </w:pPr>
            <w:r>
              <w:rPr>
                <w:rFonts w:ascii="Times New Roman"/>
                <w:b w:val="false"/>
                <w:i w:val="false"/>
                <w:color w:val="000000"/>
                <w:sz w:val="20"/>
              </w:rPr>
              <w:t>
   5.9. Не допускается одновременное или последовательное проведение операций с различными продуктами в одном и том же помещении за исключением тех случаев, когда не существует риска перепутывания или перекрестной контаминации.</w:t>
            </w:r>
          </w:p>
          <w:p>
            <w:pPr>
              <w:spacing w:after="20"/>
              <w:ind w:left="20"/>
              <w:jc w:val="both"/>
            </w:pPr>
            <w:r>
              <w:rPr>
                <w:rFonts w:ascii="Times New Roman"/>
                <w:b w:val="false"/>
                <w:i w:val="false"/>
                <w:color w:val="000000"/>
                <w:sz w:val="20"/>
              </w:rPr>
              <w:t>
   5.10. Продукция и материалы защищаются от микробной и другой контаминации на всех стадиях производства.</w:t>
            </w:r>
          </w:p>
          <w:p>
            <w:pPr>
              <w:spacing w:after="20"/>
              <w:ind w:left="20"/>
              <w:jc w:val="both"/>
            </w:pPr>
            <w:r>
              <w:rPr>
                <w:rFonts w:ascii="Times New Roman"/>
                <w:b w:val="false"/>
                <w:i w:val="false"/>
                <w:color w:val="000000"/>
                <w:sz w:val="20"/>
              </w:rPr>
              <w:t>
   5.11. При работе с сухими материалами и продукцией принимают особые меры предосторожности по предотвращению образования и распространения пыли. Это особенно важно при работе с высоко активными и сенсибилизирующими веществами.</w:t>
            </w:r>
          </w:p>
          <w:p>
            <w:pPr>
              <w:spacing w:after="20"/>
              <w:ind w:left="20"/>
              <w:jc w:val="both"/>
            </w:pPr>
            <w:r>
              <w:rPr>
                <w:rFonts w:ascii="Times New Roman"/>
                <w:b w:val="false"/>
                <w:i w:val="false"/>
                <w:color w:val="000000"/>
                <w:sz w:val="20"/>
              </w:rPr>
              <w:t xml:space="preserve">
   5.12. В течение всего времени процесса производства используемые материалы, тара для нерасфасованной продукции, основные единицы оборудования и, при необходимости, помещения маркируются этикетками или иным способом с указанием производимой продукции или обрабатываемых материалов, а также где применимо их дозировки и номера серии. Там, где это приемлемо, такая маркировка указывает стадию технологического процесса. </w:t>
            </w:r>
          </w:p>
          <w:p>
            <w:pPr>
              <w:spacing w:after="20"/>
              <w:ind w:left="20"/>
              <w:jc w:val="both"/>
            </w:pPr>
            <w:r>
              <w:rPr>
                <w:rFonts w:ascii="Times New Roman"/>
                <w:b w:val="false"/>
                <w:i w:val="false"/>
                <w:color w:val="000000"/>
                <w:sz w:val="20"/>
              </w:rPr>
              <w:t xml:space="preserve">
   5.13. Форма этикеток, прикрепляемых к контейнерам, оборудованию или помещениям, устанавливаются предприятием и обеспечивает четкое и однозначное толкование. В дополнение к информации на этикетках для указания статуса используют цвета, например: в карантине, принято, отклонено, чистое и др. </w:t>
            </w:r>
          </w:p>
          <w:p>
            <w:pPr>
              <w:spacing w:after="20"/>
              <w:ind w:left="20"/>
              <w:jc w:val="both"/>
            </w:pPr>
            <w:r>
              <w:rPr>
                <w:rFonts w:ascii="Times New Roman"/>
                <w:b w:val="false"/>
                <w:i w:val="false"/>
                <w:color w:val="000000"/>
                <w:sz w:val="20"/>
              </w:rPr>
              <w:t xml:space="preserve">
   5.14. Контролируют правильность соединения трубопроводов и других частей оборудования, применяемых для транспортирования продукции из одной зоны в другую. </w:t>
            </w:r>
          </w:p>
          <w:p>
            <w:pPr>
              <w:spacing w:after="20"/>
              <w:ind w:left="20"/>
              <w:jc w:val="both"/>
            </w:pPr>
            <w:r>
              <w:rPr>
                <w:rFonts w:ascii="Times New Roman"/>
                <w:b w:val="false"/>
                <w:i w:val="false"/>
                <w:color w:val="000000"/>
                <w:sz w:val="20"/>
              </w:rPr>
              <w:t xml:space="preserve">
   5.15. Не допускаются любые отклонения от инструкций или процедур. Если произошло отклонение от них, то оно письменно санкционируется лицом, имеющим соответствующие полномочия, с привлечением при необходимости подразделения контроля качества. </w:t>
            </w:r>
          </w:p>
          <w:p>
            <w:pPr>
              <w:spacing w:after="20"/>
              <w:ind w:left="20"/>
              <w:jc w:val="both"/>
            </w:pPr>
            <w:r>
              <w:rPr>
                <w:rFonts w:ascii="Times New Roman"/>
                <w:b w:val="false"/>
                <w:i w:val="false"/>
                <w:color w:val="000000"/>
                <w:sz w:val="20"/>
              </w:rPr>
              <w:t>
   5.16. В производственные помещения входит только персонал, имеющий право доступа в них.</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Предотвращение перекрестной контаминации при производстве</w:t>
            </w:r>
          </w:p>
          <w:p>
            <w:pPr>
              <w:spacing w:after="20"/>
              <w:ind w:left="20"/>
              <w:jc w:val="both"/>
            </w:pPr>
            <w:r>
              <w:rPr>
                <w:rFonts w:ascii="Times New Roman"/>
                <w:b w:val="false"/>
                <w:i w:val="false"/>
                <w:color w:val="000000"/>
                <w:sz w:val="20"/>
              </w:rPr>
              <w:t>
   5.17. Производство продукции не лекарственного назначения не осуществляется в помещениях и на оборудовании, предназначенных для производства лекарственных средств, но, если это обосновано, разрешается в случае, если принимаются меры по предотвращению перекрестной контаминации лекарственных средств.  Производство и (или) хранение технических ядов, таких как пестициды, кроме случаев, когда они используются для производства лекарственных средств и гербициды, недопустимо в помещениях, используемых для производства и (или) хранения лекарственных средств.</w:t>
            </w:r>
          </w:p>
          <w:p>
            <w:pPr>
              <w:spacing w:after="20"/>
              <w:ind w:left="20"/>
              <w:jc w:val="both"/>
            </w:pPr>
            <w:r>
              <w:rPr>
                <w:rFonts w:ascii="Times New Roman"/>
                <w:b w:val="false"/>
                <w:i w:val="false"/>
                <w:color w:val="000000"/>
                <w:sz w:val="20"/>
              </w:rPr>
              <w:t>
   5.18. Контаминация исходных материалов или продукции другими исходными материалами или продукцией предотвращается. Рриск случайной перекрестной контаминации, возникающий в результате неконтролируемого распространения пыли, газов, паров, аэрозолей, генетического материала или организмов от активных веществ, других исходных материалов и продуктов в процессе обработки, от остатков на оборудовании и с одежды операторов, оценивается. Степень риска зависит от природы контаминирующего материала и контаминируемой продукции. </w:t>
            </w:r>
          </w:p>
          <w:p>
            <w:pPr>
              <w:spacing w:after="20"/>
              <w:ind w:left="20"/>
              <w:jc w:val="both"/>
            </w:pPr>
            <w:r>
              <w:rPr>
                <w:rFonts w:ascii="Times New Roman"/>
                <w:b w:val="false"/>
                <w:i w:val="false"/>
                <w:color w:val="000000"/>
                <w:sz w:val="20"/>
              </w:rPr>
              <w:t xml:space="preserve">
   Наиболее опасной является контаминация лекарственных средств, предназначенных для инъекций, а также принимаемых в течение длительного времени. </w:t>
            </w:r>
          </w:p>
          <w:p>
            <w:pPr>
              <w:spacing w:after="20"/>
              <w:ind w:left="20"/>
              <w:jc w:val="both"/>
            </w:pPr>
            <w:r>
              <w:rPr>
                <w:rFonts w:ascii="Times New Roman"/>
                <w:b w:val="false"/>
                <w:i w:val="false"/>
                <w:color w:val="000000"/>
                <w:sz w:val="20"/>
              </w:rPr>
              <w:t>
   Контаминация любой продукции представляет риск для безопасности пациентов в зависимости от характера и степени контаминации.</w:t>
            </w:r>
          </w:p>
          <w:p>
            <w:pPr>
              <w:spacing w:after="20"/>
              <w:ind w:left="20"/>
              <w:jc w:val="both"/>
            </w:pPr>
            <w:r>
              <w:rPr>
                <w:rFonts w:ascii="Times New Roman"/>
                <w:b w:val="false"/>
                <w:i w:val="false"/>
                <w:color w:val="000000"/>
                <w:sz w:val="20"/>
              </w:rPr>
              <w:t>
   5.19. Перекрестную контаминацию предотвращают за счет правильного проекта помещений и оборудования, как описано в главе 3 части I настоящего Стандарта. Это подкрепляется соответствующим дизайном процесса и внедрением любых соответствующих технических или организационных мер, в том числе эффективных и воспроизводимых процессов очистки для контроля риска перекрестной контаминации.</w:t>
            </w:r>
          </w:p>
          <w:p>
            <w:pPr>
              <w:spacing w:after="20"/>
              <w:ind w:left="20"/>
              <w:jc w:val="both"/>
            </w:pPr>
            <w:r>
              <w:rPr>
                <w:rFonts w:ascii="Times New Roman"/>
                <w:b w:val="false"/>
                <w:i w:val="false"/>
                <w:color w:val="000000"/>
                <w:sz w:val="20"/>
              </w:rPr>
              <w:t>
   5.20. Для оценки и контроля риска перекрестной контаминации производимой продукции используется процесс управления рисками для качества, включая оценку активности и токсикологическую оценку. Следует принять во внимание такие факторы, как дизайн или проект и использование помещений и оборудования, потоки персонала и материалов, микробиологический контроль, физико-химические характеристики активных веществ, характеристики процесса, возможности процессов очистки и аналитические возможности в отношении соответствующих пределов, установленных исходя из оценки производимой продукции. Результат процесса управления рисками для качества является основанием для определения необходимости и уровня, до которого помещения и оборудование выделяются для конкретного лекарственного средства или группы лекарственных средств. Уровень выделения варьирует от специально выделенных частей, контактирующих с продуктом, до выделения всего производства. Приемлема локализация производственной деятельности в выделенных автономных производственных зонах на многоцелевом участке, где это оправдано.</w:t>
            </w:r>
          </w:p>
          <w:p>
            <w:pPr>
              <w:spacing w:after="20"/>
              <w:ind w:left="20"/>
              <w:jc w:val="both"/>
            </w:pPr>
            <w:r>
              <w:rPr>
                <w:rFonts w:ascii="Times New Roman"/>
                <w:b w:val="false"/>
                <w:i w:val="false"/>
                <w:color w:val="000000"/>
                <w:sz w:val="20"/>
              </w:rPr>
              <w:t>
   5.21. Результаты процесса управления рисками для качества становятся основой для определения уровня технических и организационных мер, необходимых для контроля рисков перекрестной контаминации. Эти меры включают следующее:</w:t>
            </w:r>
          </w:p>
          <w:p>
            <w:pPr>
              <w:spacing w:after="20"/>
              <w:ind w:left="20"/>
              <w:jc w:val="both"/>
            </w:pPr>
            <w:r>
              <w:rPr>
                <w:rFonts w:ascii="Times New Roman"/>
                <w:b w:val="false"/>
                <w:i w:val="false"/>
                <w:color w:val="000000"/>
                <w:sz w:val="20"/>
              </w:rPr>
              <w:t>
   Технические меры:</w:t>
            </w:r>
          </w:p>
          <w:p>
            <w:pPr>
              <w:spacing w:after="20"/>
              <w:ind w:left="20"/>
              <w:jc w:val="both"/>
            </w:pPr>
            <w:r>
              <w:rPr>
                <w:rFonts w:ascii="Times New Roman"/>
                <w:b w:val="false"/>
                <w:i w:val="false"/>
                <w:color w:val="000000"/>
                <w:sz w:val="20"/>
              </w:rPr>
              <w:t>
   1) выделенные производства: помещения и оборудование;</w:t>
            </w:r>
          </w:p>
          <w:p>
            <w:pPr>
              <w:spacing w:after="20"/>
              <w:ind w:left="20"/>
              <w:jc w:val="both"/>
            </w:pPr>
            <w:r>
              <w:rPr>
                <w:rFonts w:ascii="Times New Roman"/>
                <w:b w:val="false"/>
                <w:i w:val="false"/>
                <w:color w:val="000000"/>
                <w:sz w:val="20"/>
              </w:rPr>
              <w:t>
   2) автономные производственные площади, имеющие отдельное технологическое оборудование и отдельные системы вентиляции и кондиционирования воздуха. Изолируются определенные вспомогательные системы от тех, которые используются в других зонах;</w:t>
            </w:r>
          </w:p>
          <w:p>
            <w:pPr>
              <w:spacing w:after="20"/>
              <w:ind w:left="20"/>
              <w:jc w:val="both"/>
            </w:pPr>
            <w:r>
              <w:rPr>
                <w:rFonts w:ascii="Times New Roman"/>
                <w:b w:val="false"/>
                <w:i w:val="false"/>
                <w:color w:val="000000"/>
                <w:sz w:val="20"/>
              </w:rPr>
              <w:t>
   3) дизайн производственного процесса, помещений и оборудования, позволяющие свести к минимуму возможность перекрестной контаминации в процессе обработки, эксплуатации, технического обслуживания и очистки;</w:t>
            </w:r>
          </w:p>
          <w:p>
            <w:pPr>
              <w:spacing w:after="20"/>
              <w:ind w:left="20"/>
              <w:jc w:val="both"/>
            </w:pPr>
            <w:r>
              <w:rPr>
                <w:rFonts w:ascii="Times New Roman"/>
                <w:b w:val="false"/>
                <w:i w:val="false"/>
                <w:color w:val="000000"/>
                <w:sz w:val="20"/>
              </w:rPr>
              <w:t>
   4) использование "закрытых систем" для обработки и передачи материала или продукта между оборудованием;</w:t>
            </w:r>
          </w:p>
          <w:p>
            <w:pPr>
              <w:spacing w:after="20"/>
              <w:ind w:left="20"/>
              <w:jc w:val="both"/>
            </w:pPr>
            <w:r>
              <w:rPr>
                <w:rFonts w:ascii="Times New Roman"/>
                <w:b w:val="false"/>
                <w:i w:val="false"/>
                <w:color w:val="000000"/>
                <w:sz w:val="20"/>
              </w:rPr>
              <w:t>
   5) использование систем с физическим барьером, в том числе изоляторов, как меры по локализации;</w:t>
            </w:r>
          </w:p>
          <w:p>
            <w:pPr>
              <w:spacing w:after="20"/>
              <w:ind w:left="20"/>
              <w:jc w:val="both"/>
            </w:pPr>
            <w:r>
              <w:rPr>
                <w:rFonts w:ascii="Times New Roman"/>
                <w:b w:val="false"/>
                <w:i w:val="false"/>
                <w:color w:val="000000"/>
                <w:sz w:val="20"/>
              </w:rPr>
              <w:t>
   6) контролируемое удаление пыли вблизи источника загрязнения, например, через локальные вытяжные устройства;</w:t>
            </w:r>
          </w:p>
          <w:p>
            <w:pPr>
              <w:spacing w:after="20"/>
              <w:ind w:left="20"/>
              <w:jc w:val="both"/>
            </w:pPr>
            <w:r>
              <w:rPr>
                <w:rFonts w:ascii="Times New Roman"/>
                <w:b w:val="false"/>
                <w:i w:val="false"/>
                <w:color w:val="000000"/>
                <w:sz w:val="20"/>
              </w:rPr>
              <w:t>
   7) выделение технологического оборудования, выделение частей, контактирующих с продуктом, или выделение отдельных частей, которые труднее всего очищать, выделение инструментов для обслуживания;</w:t>
            </w:r>
          </w:p>
          <w:p>
            <w:pPr>
              <w:spacing w:after="20"/>
              <w:ind w:left="20"/>
              <w:jc w:val="both"/>
            </w:pPr>
            <w:r>
              <w:rPr>
                <w:rFonts w:ascii="Times New Roman"/>
                <w:b w:val="false"/>
                <w:i w:val="false"/>
                <w:color w:val="000000"/>
                <w:sz w:val="20"/>
              </w:rPr>
              <w:t>
   8) использование одноразовых технологий;</w:t>
            </w:r>
          </w:p>
          <w:p>
            <w:pPr>
              <w:spacing w:after="20"/>
              <w:ind w:left="20"/>
              <w:jc w:val="both"/>
            </w:pPr>
            <w:r>
              <w:rPr>
                <w:rFonts w:ascii="Times New Roman"/>
                <w:b w:val="false"/>
                <w:i w:val="false"/>
                <w:color w:val="000000"/>
                <w:sz w:val="20"/>
              </w:rPr>
              <w:t>
   9) использование оборудования, спроектированного с учетом облегчения очистки;</w:t>
            </w:r>
          </w:p>
          <w:p>
            <w:pPr>
              <w:spacing w:after="20"/>
              <w:ind w:left="20"/>
              <w:jc w:val="both"/>
            </w:pPr>
            <w:r>
              <w:rPr>
                <w:rFonts w:ascii="Times New Roman"/>
                <w:b w:val="false"/>
                <w:i w:val="false"/>
                <w:color w:val="000000"/>
                <w:sz w:val="20"/>
              </w:rPr>
              <w:t>
   10) надлежащее использование воздушных шлюзов и каскада давлений для локализации потенциального содержащегося в воздухе контаминанта в пределах определенной зоны;</w:t>
            </w:r>
          </w:p>
          <w:p>
            <w:pPr>
              <w:spacing w:after="20"/>
              <w:ind w:left="20"/>
              <w:jc w:val="both"/>
            </w:pPr>
            <w:r>
              <w:rPr>
                <w:rFonts w:ascii="Times New Roman"/>
                <w:b w:val="false"/>
                <w:i w:val="false"/>
                <w:color w:val="000000"/>
                <w:sz w:val="20"/>
              </w:rPr>
              <w:t>
   11) сведение к минимуму риска загрязнения, вызванного рециркуляцией или повторным использованием неочищенного или недостаточно очищенного воздуха;</w:t>
            </w:r>
          </w:p>
          <w:p>
            <w:pPr>
              <w:spacing w:after="20"/>
              <w:ind w:left="20"/>
              <w:jc w:val="both"/>
            </w:pPr>
            <w:r>
              <w:rPr>
                <w:rFonts w:ascii="Times New Roman"/>
                <w:b w:val="false"/>
                <w:i w:val="false"/>
                <w:color w:val="000000"/>
                <w:sz w:val="20"/>
              </w:rPr>
              <w:t>
   12) использование систем автоматической очистки на месте с валидированной результативностью;</w:t>
            </w:r>
          </w:p>
          <w:p>
            <w:pPr>
              <w:spacing w:after="20"/>
              <w:ind w:left="20"/>
              <w:jc w:val="both"/>
            </w:pPr>
            <w:r>
              <w:rPr>
                <w:rFonts w:ascii="Times New Roman"/>
                <w:b w:val="false"/>
                <w:i w:val="false"/>
                <w:color w:val="000000"/>
                <w:sz w:val="20"/>
              </w:rPr>
              <w:t xml:space="preserve">
   13) для общих зон очистки разделение зон мойки оборудования, сушки и хранения. </w:t>
            </w:r>
          </w:p>
          <w:p>
            <w:pPr>
              <w:spacing w:after="20"/>
              <w:ind w:left="20"/>
              <w:jc w:val="both"/>
            </w:pPr>
            <w:r>
              <w:rPr>
                <w:rFonts w:ascii="Times New Roman"/>
                <w:b w:val="false"/>
                <w:i w:val="false"/>
                <w:color w:val="000000"/>
                <w:sz w:val="20"/>
              </w:rPr>
              <w:t>
   Организационные меры:</w:t>
            </w:r>
          </w:p>
          <w:p>
            <w:pPr>
              <w:spacing w:after="20"/>
              <w:ind w:left="20"/>
              <w:jc w:val="both"/>
            </w:pPr>
            <w:r>
              <w:rPr>
                <w:rFonts w:ascii="Times New Roman"/>
                <w:b w:val="false"/>
                <w:i w:val="false"/>
                <w:color w:val="000000"/>
                <w:sz w:val="20"/>
              </w:rPr>
              <w:t>
   1) выделение всего производства или автономных производственных площадей на основе кампаний, выделение с разделением во времени, с последующей очисткой с валидированной результативностью;</w:t>
            </w:r>
          </w:p>
          <w:p>
            <w:pPr>
              <w:spacing w:after="20"/>
              <w:ind w:left="20"/>
              <w:jc w:val="both"/>
            </w:pPr>
            <w:r>
              <w:rPr>
                <w:rFonts w:ascii="Times New Roman"/>
                <w:b w:val="false"/>
                <w:i w:val="false"/>
                <w:color w:val="000000"/>
                <w:sz w:val="20"/>
              </w:rPr>
              <w:t>
   2) хранение специальной защитной одежды внутри зон, где обрабатываются продукты с высоким риском перекрестной контаминации;</w:t>
            </w:r>
          </w:p>
          <w:p>
            <w:pPr>
              <w:spacing w:after="20"/>
              <w:ind w:left="20"/>
              <w:jc w:val="both"/>
            </w:pPr>
            <w:r>
              <w:rPr>
                <w:rFonts w:ascii="Times New Roman"/>
                <w:b w:val="false"/>
                <w:i w:val="false"/>
                <w:color w:val="000000"/>
                <w:sz w:val="20"/>
              </w:rPr>
              <w:t>
   3) верификацию очистки после кампании каждого продукта рассматривают как инструмент обнаружения продуктов, представляющих высокий риск в поддержку подтверждения эффективности подхода, основанного на управлении рисками для качества;</w:t>
            </w:r>
          </w:p>
          <w:p>
            <w:pPr>
              <w:spacing w:after="20"/>
              <w:ind w:left="20"/>
              <w:jc w:val="both"/>
            </w:pPr>
            <w:r>
              <w:rPr>
                <w:rFonts w:ascii="Times New Roman"/>
                <w:b w:val="false"/>
                <w:i w:val="false"/>
                <w:color w:val="000000"/>
                <w:sz w:val="20"/>
              </w:rPr>
              <w:t>
   4) в зависимости от риска контаминации верификация очистки поверхностей, не контактирующих с продукцией, и мониторинг воздуха в производственной зоне и (или) прилегающих зонах, чтобы продемонстрировать эффективность мер против контаминации взвешенными частицами или контаминации путем механического переноса;</w:t>
            </w:r>
          </w:p>
          <w:p>
            <w:pPr>
              <w:spacing w:after="20"/>
              <w:ind w:left="20"/>
              <w:jc w:val="both"/>
            </w:pPr>
            <w:r>
              <w:rPr>
                <w:rFonts w:ascii="Times New Roman"/>
                <w:b w:val="false"/>
                <w:i w:val="false"/>
                <w:color w:val="000000"/>
                <w:sz w:val="20"/>
              </w:rPr>
              <w:t>
   5) специальные меры по обращению с отходами, с загрязненными промывными водами и с загрязненной одеждой;</w:t>
            </w:r>
          </w:p>
          <w:p>
            <w:pPr>
              <w:spacing w:after="20"/>
              <w:ind w:left="20"/>
              <w:jc w:val="both"/>
            </w:pPr>
            <w:r>
              <w:rPr>
                <w:rFonts w:ascii="Times New Roman"/>
                <w:b w:val="false"/>
                <w:i w:val="false"/>
                <w:color w:val="000000"/>
                <w:sz w:val="20"/>
              </w:rPr>
              <w:t>
   6) регистрация случаев проливания и рассыпания, инцидентов или отклонений от процедур;</w:t>
            </w:r>
          </w:p>
          <w:p>
            <w:pPr>
              <w:spacing w:after="20"/>
              <w:ind w:left="20"/>
              <w:jc w:val="both"/>
            </w:pPr>
            <w:r>
              <w:rPr>
                <w:rFonts w:ascii="Times New Roman"/>
                <w:b w:val="false"/>
                <w:i w:val="false"/>
                <w:color w:val="000000"/>
                <w:sz w:val="20"/>
              </w:rPr>
              <w:t>
   7) разработка процессов очистки для помещений и оборудования таким образом, чтобы процессы очистки сами по себе не представляли риска перекрестной контаминации;</w:t>
            </w:r>
          </w:p>
          <w:p>
            <w:pPr>
              <w:spacing w:after="20"/>
              <w:ind w:left="20"/>
              <w:jc w:val="both"/>
            </w:pPr>
            <w:r>
              <w:rPr>
                <w:rFonts w:ascii="Times New Roman"/>
                <w:b w:val="false"/>
                <w:i w:val="false"/>
                <w:color w:val="000000"/>
                <w:sz w:val="20"/>
              </w:rPr>
              <w:t>
   8) разработка подробных форм для записей в процессе очистки для обеспечения выполнения очистки в соответствии с утвержденными процедурами и использование этикеток статуса очистки оборудования и производственных зон;</w:t>
            </w:r>
          </w:p>
          <w:p>
            <w:pPr>
              <w:spacing w:after="20"/>
              <w:ind w:left="20"/>
              <w:jc w:val="both"/>
            </w:pPr>
            <w:r>
              <w:rPr>
                <w:rFonts w:ascii="Times New Roman"/>
                <w:b w:val="false"/>
                <w:i w:val="false"/>
                <w:color w:val="000000"/>
                <w:sz w:val="20"/>
              </w:rPr>
              <w:t>
   9) использование общих зон очистки по принципу кампаний;</w:t>
            </w:r>
          </w:p>
          <w:p>
            <w:pPr>
              <w:spacing w:after="20"/>
              <w:ind w:left="20"/>
              <w:jc w:val="both"/>
            </w:pPr>
            <w:r>
              <w:rPr>
                <w:rFonts w:ascii="Times New Roman"/>
                <w:b w:val="false"/>
                <w:i w:val="false"/>
                <w:color w:val="000000"/>
                <w:sz w:val="20"/>
              </w:rPr>
              <w:t>
   10) надзор за поведением персонала для обеспечения эффективности обучения и соответствия надлежащим мероприятиям процедурного контроля.</w:t>
            </w:r>
          </w:p>
          <w:p>
            <w:pPr>
              <w:spacing w:after="20"/>
              <w:ind w:left="20"/>
              <w:jc w:val="both"/>
            </w:pPr>
            <w:r>
              <w:rPr>
                <w:rFonts w:ascii="Times New Roman"/>
                <w:b w:val="false"/>
                <w:i w:val="false"/>
                <w:color w:val="000000"/>
                <w:sz w:val="20"/>
              </w:rPr>
              <w:t>
   5.22. Мероприятия по предотвращению перекрестной контаминации и их эффективность периодически проверяются в соответствии с установленными процедурами.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Валидация</w:t>
            </w:r>
          </w:p>
          <w:p>
            <w:pPr>
              <w:spacing w:after="20"/>
              <w:ind w:left="20"/>
              <w:jc w:val="both"/>
            </w:pPr>
            <w:r>
              <w:rPr>
                <w:rFonts w:ascii="Times New Roman"/>
                <w:b w:val="false"/>
                <w:i w:val="false"/>
                <w:color w:val="000000"/>
                <w:sz w:val="20"/>
              </w:rPr>
              <w:t xml:space="preserve">
   5.23. Мероприятия по валидации подкрепляют настоящий Стандарт, их проводят в соответствии со стандартными операционными процедурами. Результаты и заключения оформляются документально. </w:t>
            </w:r>
          </w:p>
          <w:p>
            <w:pPr>
              <w:spacing w:after="20"/>
              <w:ind w:left="20"/>
              <w:jc w:val="both"/>
            </w:pPr>
            <w:r>
              <w:rPr>
                <w:rFonts w:ascii="Times New Roman"/>
                <w:b w:val="false"/>
                <w:i w:val="false"/>
                <w:color w:val="000000"/>
                <w:sz w:val="20"/>
              </w:rPr>
              <w:t xml:space="preserve">
   5.24. При введении новой производственной рецептуры или нового метода производства доказывается их пригодность для серийного производства. Доказывается, что данный процесс при использовании предусмотренных материалов и оборудования позволяет постоянно производить продукцию требуемого качества. </w:t>
            </w:r>
          </w:p>
          <w:p>
            <w:pPr>
              <w:spacing w:after="20"/>
              <w:ind w:left="20"/>
              <w:jc w:val="both"/>
            </w:pPr>
            <w:r>
              <w:rPr>
                <w:rFonts w:ascii="Times New Roman"/>
                <w:b w:val="false"/>
                <w:i w:val="false"/>
                <w:color w:val="000000"/>
                <w:sz w:val="20"/>
              </w:rPr>
              <w:t xml:space="preserve">
   5.25. Существенные изменения производственного процесса, включая любое изменение оборудования или исходных и упаковочных материалов, которое влияют на качество продукции и (или) воспроизводимость процесса, проходят валидацию. </w:t>
            </w:r>
          </w:p>
          <w:p>
            <w:pPr>
              <w:spacing w:after="20"/>
              <w:ind w:left="20"/>
              <w:jc w:val="both"/>
            </w:pPr>
            <w:r>
              <w:rPr>
                <w:rFonts w:ascii="Times New Roman"/>
                <w:b w:val="false"/>
                <w:i w:val="false"/>
                <w:color w:val="000000"/>
                <w:sz w:val="20"/>
              </w:rPr>
              <w:t>
   5.26. Процессы и процедуры подвергают периодической ревалидации (повторной валидации) для гарантии того, что они остаются пригодными для достижения определенных результатов.</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Исходные материалы</w:t>
            </w:r>
          </w:p>
          <w:p>
            <w:pPr>
              <w:spacing w:after="20"/>
              <w:ind w:left="20"/>
              <w:jc w:val="both"/>
            </w:pPr>
            <w:r>
              <w:rPr>
                <w:rFonts w:ascii="Times New Roman"/>
                <w:b w:val="false"/>
                <w:i w:val="false"/>
                <w:color w:val="000000"/>
                <w:sz w:val="20"/>
              </w:rPr>
              <w:t>
   5.27. В рамках фармацевтической системы качества документируются выбор, квалификация, утверждение и поддержание статуса поставщиков исходных материалов наряду с закупками и приемкой. Уровень контроля устанавливается с учетом источника их происхождения, производственного процесса, сложности цепи поставок и конечного назначения материала в лекарственном средстве. Для каждого утвержденного поставщика или материала в наличии имеются подтверждающие свидетельства. Персонал, вовлеченный в эту деятельность, имеет актуальные знания о поставщиках, цепях поставок и связанных с ними рисках. Исходные материалы по возможности приобретают непосредственно у его производителя.</w:t>
            </w:r>
          </w:p>
          <w:p>
            <w:pPr>
              <w:spacing w:after="20"/>
              <w:ind w:left="20"/>
              <w:jc w:val="both"/>
            </w:pPr>
            <w:r>
              <w:rPr>
                <w:rFonts w:ascii="Times New Roman"/>
                <w:b w:val="false"/>
                <w:i w:val="false"/>
                <w:color w:val="000000"/>
                <w:sz w:val="20"/>
              </w:rPr>
              <w:t>
   5.28. Требования к качеству исходных материалов, установленные производителем лекарственного препарата, обсуждаются и согласоваются с поставщиками. Соответствующие аспекты производства, испытаний и контроля, в том числе требования к обработке, маркировке, упаковыванию и реализации, процедуры по рассмотрению претензий, отзыву и изъятию фиксируются в официальных соглашениях по качеству или в спецификациях. </w:t>
            </w:r>
          </w:p>
          <w:p>
            <w:pPr>
              <w:spacing w:after="20"/>
              <w:ind w:left="20"/>
              <w:jc w:val="both"/>
            </w:pPr>
            <w:r>
              <w:rPr>
                <w:rFonts w:ascii="Times New Roman"/>
                <w:b w:val="false"/>
                <w:i w:val="false"/>
                <w:color w:val="000000"/>
                <w:sz w:val="20"/>
              </w:rPr>
              <w:t>
   5.29. Для утверждения и поддержания статуса поставщиков активных фармацевтических субстанций и вспомогательных веществ требуется следующее:</w:t>
            </w:r>
          </w:p>
          <w:p>
            <w:pPr>
              <w:spacing w:after="20"/>
              <w:ind w:left="20"/>
              <w:jc w:val="both"/>
            </w:pPr>
            <w:r>
              <w:rPr>
                <w:rFonts w:ascii="Times New Roman"/>
                <w:b w:val="false"/>
                <w:i w:val="false"/>
                <w:color w:val="000000"/>
                <w:sz w:val="20"/>
              </w:rPr>
              <w:t>
   Активные фармацевтические субстанции:</w:t>
            </w:r>
          </w:p>
          <w:p>
            <w:pPr>
              <w:spacing w:after="20"/>
              <w:ind w:left="20"/>
              <w:jc w:val="both"/>
            </w:pPr>
            <w:r>
              <w:rPr>
                <w:rFonts w:ascii="Times New Roman"/>
                <w:b w:val="false"/>
                <w:i w:val="false"/>
                <w:color w:val="000000"/>
                <w:sz w:val="20"/>
              </w:rPr>
              <w:t>
   устанавливается прослеживаемая цепь поставок. Связанные с цепью поставок риски подвергаются формальной оценке и периодической проверке, начиная от исходных материалов для активной фармацевтической субстанции до готового лекарственного препарата. Существуют соответствующие меры по снижению степени риска в отношении качества фармацевтической субстанции.</w:t>
            </w:r>
          </w:p>
          <w:p>
            <w:pPr>
              <w:spacing w:after="20"/>
              <w:ind w:left="20"/>
              <w:jc w:val="both"/>
            </w:pPr>
            <w:r>
              <w:rPr>
                <w:rFonts w:ascii="Times New Roman"/>
                <w:b w:val="false"/>
                <w:i w:val="false"/>
                <w:color w:val="000000"/>
                <w:sz w:val="20"/>
              </w:rPr>
              <w:t xml:space="preserve">
   У производителя или импортера лекарственного средства имеются в наличии и сохраняются записи о прослеживаемости каждой цепи поставок. </w:t>
            </w:r>
          </w:p>
          <w:p>
            <w:pPr>
              <w:spacing w:after="20"/>
              <w:ind w:left="20"/>
              <w:jc w:val="both"/>
            </w:pPr>
            <w:r>
              <w:rPr>
                <w:rFonts w:ascii="Times New Roman"/>
                <w:b w:val="false"/>
                <w:i w:val="false"/>
                <w:color w:val="000000"/>
                <w:sz w:val="20"/>
              </w:rPr>
              <w:t xml:space="preserve">
   Для подтверждения их соответствия требованиям GMP и надлежащей дистрибьюторской практики проводятся аудиты производителей и дистрибьюторов фармацевтических субстанций. Держатель лицензии на производство лекарственного препарата проверяет соблюдение таких требований самостоятельно либо через лицо, действующее от его имени по контракту. </w:t>
            </w:r>
          </w:p>
          <w:p>
            <w:pPr>
              <w:spacing w:after="20"/>
              <w:ind w:left="20"/>
              <w:jc w:val="both"/>
            </w:pPr>
            <w:r>
              <w:rPr>
                <w:rFonts w:ascii="Times New Roman"/>
                <w:b w:val="false"/>
                <w:i w:val="false"/>
                <w:color w:val="000000"/>
                <w:sz w:val="20"/>
              </w:rPr>
              <w:t>
   Для обеспечения полной и ясной оценки соблюдения требований GMP аудиты имеют соответствующую продолжительность и область аудита, уделяется внимание источникам потенциальной перекрестной контаминации от других материалов, используемых на производственной площадке. Отчет полностью отражает все, что было сделано, и четко определяет любые обнаруженные в результате аудита недостатки. Осуществляются все необходимые корректирующие и предупреждающие действия.</w:t>
            </w:r>
          </w:p>
          <w:p>
            <w:pPr>
              <w:spacing w:after="20"/>
              <w:ind w:left="20"/>
              <w:jc w:val="both"/>
            </w:pPr>
            <w:r>
              <w:rPr>
                <w:rFonts w:ascii="Times New Roman"/>
                <w:b w:val="false"/>
                <w:i w:val="false"/>
                <w:color w:val="000000"/>
                <w:sz w:val="20"/>
              </w:rPr>
              <w:t>
   Последующие аудиты проводятся с установленной на основе анализа рисков периодичностью для обеспечения соблюдения стандартов и дальнейшего использования утвержденной цепи поставок.</w:t>
            </w:r>
          </w:p>
          <w:p>
            <w:pPr>
              <w:spacing w:after="20"/>
              <w:ind w:left="20"/>
              <w:jc w:val="both"/>
            </w:pPr>
            <w:r>
              <w:rPr>
                <w:rFonts w:ascii="Times New Roman"/>
                <w:b w:val="false"/>
                <w:i w:val="false"/>
                <w:color w:val="000000"/>
                <w:sz w:val="20"/>
              </w:rPr>
              <w:t>
   Вспомогательные вещества:</w:t>
            </w:r>
          </w:p>
          <w:p>
            <w:pPr>
              <w:spacing w:after="20"/>
              <w:ind w:left="20"/>
              <w:jc w:val="both"/>
            </w:pPr>
            <w:r>
              <w:rPr>
                <w:rFonts w:ascii="Times New Roman"/>
                <w:b w:val="false"/>
                <w:i w:val="false"/>
                <w:color w:val="000000"/>
                <w:sz w:val="20"/>
              </w:rPr>
              <w:t xml:space="preserve">
   вспомогательные вещества и поставщики вспомогательных веществ контролируются на основе результатов формализованной системы оценки рисков для качества. </w:t>
            </w:r>
          </w:p>
          <w:p>
            <w:pPr>
              <w:spacing w:after="20"/>
              <w:ind w:left="20"/>
              <w:jc w:val="both"/>
            </w:pPr>
            <w:r>
              <w:rPr>
                <w:rFonts w:ascii="Times New Roman"/>
                <w:b w:val="false"/>
                <w:i w:val="false"/>
                <w:color w:val="000000"/>
                <w:sz w:val="20"/>
              </w:rPr>
              <w:t>
   5.30. В каждой поставке исходных материалов тара проверяется на целостность упаковки, в том числе целостность пломб, а также на соответствие сведений, указанных в накладной, этикеткам поставщика и утвержденной производителем и поставщиком информации, одобренной производителем лекарственного препарата. Приемочные проверки документируются. </w:t>
            </w:r>
          </w:p>
          <w:p>
            <w:pPr>
              <w:spacing w:after="20"/>
              <w:ind w:left="20"/>
              <w:jc w:val="both"/>
            </w:pPr>
            <w:r>
              <w:rPr>
                <w:rFonts w:ascii="Times New Roman"/>
                <w:b w:val="false"/>
                <w:i w:val="false"/>
                <w:color w:val="000000"/>
                <w:sz w:val="20"/>
              </w:rPr>
              <w:t>
   5.31. Если одна поставка материала состоит из различных серий, то каждую серию необходимо рассматривать как отдельную в отношении отбора проб, проведения испытания и выдачи разрешения на использование. </w:t>
            </w:r>
          </w:p>
          <w:p>
            <w:pPr>
              <w:spacing w:after="20"/>
              <w:ind w:left="20"/>
              <w:jc w:val="both"/>
            </w:pPr>
            <w:r>
              <w:rPr>
                <w:rFonts w:ascii="Times New Roman"/>
                <w:b w:val="false"/>
                <w:i w:val="false"/>
                <w:color w:val="000000"/>
                <w:sz w:val="20"/>
              </w:rPr>
              <w:t xml:space="preserve">
   5.32. Находящиеся в складской зоне исходные материалы соответствующим образом маркируются согласно пункта 5.13 части I настоящего Стандарта. Этикетки содержат следующую информацию: </w:t>
            </w:r>
          </w:p>
          <w:p>
            <w:pPr>
              <w:spacing w:after="20"/>
              <w:ind w:left="20"/>
              <w:jc w:val="both"/>
            </w:pPr>
            <w:r>
              <w:rPr>
                <w:rFonts w:ascii="Times New Roman"/>
                <w:b w:val="false"/>
                <w:i w:val="false"/>
                <w:color w:val="000000"/>
                <w:sz w:val="20"/>
              </w:rPr>
              <w:t>
   присвоенное наименование продукции и при необходимости внутризаводской код;</w:t>
            </w:r>
          </w:p>
          <w:p>
            <w:pPr>
              <w:spacing w:after="20"/>
              <w:ind w:left="20"/>
              <w:jc w:val="both"/>
            </w:pPr>
            <w:r>
              <w:rPr>
                <w:rFonts w:ascii="Times New Roman"/>
                <w:b w:val="false"/>
                <w:i w:val="false"/>
                <w:color w:val="000000"/>
                <w:sz w:val="20"/>
              </w:rPr>
              <w:t>
   номер серии, присвоенный при получении;</w:t>
            </w:r>
          </w:p>
          <w:p>
            <w:pPr>
              <w:spacing w:after="20"/>
              <w:ind w:left="20"/>
              <w:jc w:val="both"/>
            </w:pPr>
            <w:r>
              <w:rPr>
                <w:rFonts w:ascii="Times New Roman"/>
                <w:b w:val="false"/>
                <w:i w:val="false"/>
                <w:color w:val="000000"/>
                <w:sz w:val="20"/>
              </w:rPr>
              <w:t>
   статус содержимого, где применимо, например, в карантине, на испытании, разрешено, отклонено;</w:t>
            </w:r>
          </w:p>
          <w:p>
            <w:pPr>
              <w:spacing w:after="20"/>
              <w:ind w:left="20"/>
              <w:jc w:val="both"/>
            </w:pPr>
            <w:r>
              <w:rPr>
                <w:rFonts w:ascii="Times New Roman"/>
                <w:b w:val="false"/>
                <w:i w:val="false"/>
                <w:color w:val="000000"/>
                <w:sz w:val="20"/>
              </w:rPr>
              <w:t>
   срок годности или дату, после которой требуется повторный контроль, где применимо.</w:t>
            </w:r>
          </w:p>
          <w:p>
            <w:pPr>
              <w:spacing w:after="20"/>
              <w:ind w:left="20"/>
              <w:jc w:val="both"/>
            </w:pPr>
            <w:r>
              <w:rPr>
                <w:rFonts w:ascii="Times New Roman"/>
                <w:b w:val="false"/>
                <w:i w:val="false"/>
                <w:color w:val="000000"/>
                <w:sz w:val="20"/>
              </w:rPr>
              <w:t>
   Если используются полностью компьютеризированные системы хранения, то вышеуказанная информация не обязательно содержится на этикетке в читаемой форме.</w:t>
            </w:r>
          </w:p>
          <w:p>
            <w:pPr>
              <w:spacing w:after="20"/>
              <w:ind w:left="20"/>
              <w:jc w:val="both"/>
            </w:pPr>
            <w:r>
              <w:rPr>
                <w:rFonts w:ascii="Times New Roman"/>
                <w:b w:val="false"/>
                <w:i w:val="false"/>
                <w:color w:val="000000"/>
                <w:sz w:val="20"/>
              </w:rPr>
              <w:t xml:space="preserve">
   5.33. Имеются соответствующие процедуры или меры, гарантирующие подлинность содержимого каждой тары исходных материалов. Тара, из которой были отобраны пробы маркируется согласно пункта 6.13 части I настоящего Стандарта. </w:t>
            </w:r>
          </w:p>
          <w:p>
            <w:pPr>
              <w:spacing w:after="20"/>
              <w:ind w:left="20"/>
              <w:jc w:val="both"/>
            </w:pPr>
            <w:r>
              <w:rPr>
                <w:rFonts w:ascii="Times New Roman"/>
                <w:b w:val="false"/>
                <w:i w:val="false"/>
                <w:color w:val="000000"/>
                <w:sz w:val="20"/>
              </w:rPr>
              <w:t xml:space="preserve">
   5.34. Следует использовать только те исходные материалы, которые разрешены подразделением контроля качества, и срок годности которых не истек. </w:t>
            </w:r>
          </w:p>
          <w:p>
            <w:pPr>
              <w:spacing w:after="20"/>
              <w:ind w:left="20"/>
              <w:jc w:val="both"/>
            </w:pPr>
            <w:r>
              <w:rPr>
                <w:rFonts w:ascii="Times New Roman"/>
                <w:b w:val="false"/>
                <w:i w:val="false"/>
                <w:color w:val="000000"/>
                <w:sz w:val="20"/>
              </w:rPr>
              <w:t xml:space="preserve">
   5.35. Производители готовой продукции несут ответственность за все испытания исходных материалов, которые указаны в регистрационном досье. Производители готовой продукции используют частично или полностью результаты испытаний утвержденного производителя исходных материалов, но как минимум выполняют испытание на подлинность каждой серии, проведя отбор проб исходных и упаковочных материалов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настоящему Стандарту. Испытания исходного сырья на подлинность выполняются в соответствии с методами и спецификациями соответствующего регистрационного досье.</w:t>
            </w:r>
          </w:p>
          <w:p>
            <w:pPr>
              <w:spacing w:after="20"/>
              <w:ind w:left="20"/>
              <w:jc w:val="both"/>
            </w:pPr>
            <w:r>
              <w:rPr>
                <w:rFonts w:ascii="Times New Roman"/>
                <w:b w:val="false"/>
                <w:i w:val="false"/>
                <w:color w:val="000000"/>
                <w:sz w:val="20"/>
              </w:rPr>
              <w:t>
   5.36. Обоснование передачи испытаний для исполнения сторонней организацией оформляется документально с соблюдением следующих требований:</w:t>
            </w:r>
          </w:p>
          <w:p>
            <w:pPr>
              <w:spacing w:after="20"/>
              <w:ind w:left="20"/>
              <w:jc w:val="both"/>
            </w:pPr>
            <w:r>
              <w:rPr>
                <w:rFonts w:ascii="Times New Roman"/>
                <w:b w:val="false"/>
                <w:i w:val="false"/>
                <w:color w:val="000000"/>
                <w:sz w:val="20"/>
              </w:rPr>
              <w:t>
   1) уделяется внимание контролю за распределением - транспортированием, оптовой реализацией, хранением и поставков исходных материалов в целях поддержания характеристик качества исходных материалов и обеспечения того, чтобы результаты испытаний были по-прежнему применимы к поставленным материалам;</w:t>
            </w:r>
          </w:p>
          <w:p>
            <w:pPr>
              <w:spacing w:after="20"/>
              <w:ind w:left="20"/>
              <w:jc w:val="both"/>
            </w:pPr>
            <w:r>
              <w:rPr>
                <w:rFonts w:ascii="Times New Roman"/>
                <w:b w:val="false"/>
                <w:i w:val="false"/>
                <w:color w:val="000000"/>
                <w:sz w:val="20"/>
              </w:rPr>
              <w:t>
   2) производитель лекарственного препарата самостоятельно или через третьих лиц проводит аудиты площадки (площадок), осуществляющих испытания исходных материалов, в том числе отбор проб, с периодичностью, определенной с учетом рисков;</w:t>
            </w:r>
          </w:p>
          <w:p>
            <w:pPr>
              <w:spacing w:after="20"/>
              <w:ind w:left="20"/>
              <w:jc w:val="both"/>
            </w:pPr>
            <w:r>
              <w:rPr>
                <w:rFonts w:ascii="Times New Roman"/>
                <w:b w:val="false"/>
                <w:i w:val="false"/>
                <w:color w:val="000000"/>
                <w:sz w:val="20"/>
              </w:rPr>
              <w:t>
   3) сертификат анализа, предоставленный производителем или поставщиком исходных материалов, подписывается назначенным лицом с соответствующей квалификацией и опытом. Подпись гарантирует, что каждая серия проверена на соответствие согласованным спецификациям исходных материалов, если только такое свидетельство не предоставляется отдельно;</w:t>
            </w:r>
          </w:p>
          <w:p>
            <w:pPr>
              <w:spacing w:after="20"/>
              <w:ind w:left="20"/>
              <w:jc w:val="both"/>
            </w:pPr>
            <w:r>
              <w:rPr>
                <w:rFonts w:ascii="Times New Roman"/>
                <w:b w:val="false"/>
                <w:i w:val="false"/>
                <w:color w:val="000000"/>
                <w:sz w:val="20"/>
              </w:rPr>
              <w:t>
   4) до сокращения внутренних испытаний производитель лекарственного препарата имеет соответствующий опыт работы с производителем исходных материалов, включая опыт работы через поставщика, включая оценку ранее полученных серий и историю их соответствия. Рассматриваются любые значительные изменения в процессах производства или испытаний;</w:t>
            </w:r>
          </w:p>
          <w:p>
            <w:pPr>
              <w:spacing w:after="20"/>
              <w:ind w:left="20"/>
              <w:jc w:val="both"/>
            </w:pPr>
            <w:r>
              <w:rPr>
                <w:rFonts w:ascii="Times New Roman"/>
                <w:b w:val="false"/>
                <w:i w:val="false"/>
                <w:color w:val="000000"/>
                <w:sz w:val="20"/>
              </w:rPr>
              <w:t>
   5) производитель лекарственного препарата выполняет самостоятельно или с использованием отдельной утвержденной контрактной лаборатории полный контроль с периодичностью, определенной с учетом рисков, и сравнивать результаты с сертификатом анализа поставщика или производителя исходных материалов с целью проверки надежности последнего. Если эти испытания выявят любые расхождения, то проводится расследование и принимаются соответствующие меры. Сертификаты анализа поставщика или производителя исходных материалов не принимаются до тех пор, пока эти меры не будут завершены.</w:t>
            </w:r>
          </w:p>
          <w:p>
            <w:pPr>
              <w:spacing w:after="20"/>
              <w:ind w:left="20"/>
              <w:jc w:val="both"/>
            </w:pPr>
            <w:r>
              <w:rPr>
                <w:rFonts w:ascii="Times New Roman"/>
                <w:b w:val="false"/>
                <w:i w:val="false"/>
                <w:color w:val="000000"/>
                <w:sz w:val="20"/>
              </w:rPr>
              <w:t xml:space="preserve">
    5.37. Исходные материалы выдаются только специально назначенными лицами в соответствии с документально оформленной процедурой, чтобы гарантировать, что нужные исходные материалы точно отвешены или отмерены в чистую и надлежащим образом маркированную тару. </w:t>
            </w:r>
          </w:p>
          <w:p>
            <w:pPr>
              <w:spacing w:after="20"/>
              <w:ind w:left="20"/>
              <w:jc w:val="both"/>
            </w:pPr>
            <w:r>
              <w:rPr>
                <w:rFonts w:ascii="Times New Roman"/>
                <w:b w:val="false"/>
                <w:i w:val="false"/>
                <w:color w:val="000000"/>
                <w:sz w:val="20"/>
              </w:rPr>
              <w:t>
    5.38. Каждый выданный материал, его масса или объем подвергаются независимой проверке с записью результатов.</w:t>
            </w:r>
          </w:p>
          <w:p>
            <w:pPr>
              <w:spacing w:after="20"/>
              <w:ind w:left="20"/>
              <w:jc w:val="both"/>
            </w:pPr>
            <w:r>
              <w:rPr>
                <w:rFonts w:ascii="Times New Roman"/>
                <w:b w:val="false"/>
                <w:i w:val="false"/>
                <w:color w:val="000000"/>
                <w:sz w:val="20"/>
              </w:rPr>
              <w:t>
    5.39. Исходные материалы, выданные для каждой серии, хранятся в одном месте и отчетливо маркируются.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Технологические операции: промежуточная и нерасфасованная продукция</w:t>
            </w:r>
          </w:p>
          <w:p>
            <w:pPr>
              <w:spacing w:after="20"/>
              <w:ind w:left="20"/>
              <w:jc w:val="both"/>
            </w:pPr>
            <w:r>
              <w:rPr>
                <w:rFonts w:ascii="Times New Roman"/>
                <w:b w:val="false"/>
                <w:i w:val="false"/>
                <w:color w:val="000000"/>
                <w:sz w:val="20"/>
              </w:rPr>
              <w:t xml:space="preserve">
   5.40. Перед началом любой технологической операции принимаются меры, гарантирующие, что рабочая зона и оборудование очищены и освобождены от любых исходных материалов, продукции, остатков продукции или документации, не имеющих отношения к запланированной операции. </w:t>
            </w:r>
          </w:p>
          <w:p>
            <w:pPr>
              <w:spacing w:after="20"/>
              <w:ind w:left="20"/>
              <w:jc w:val="both"/>
            </w:pPr>
            <w:r>
              <w:rPr>
                <w:rFonts w:ascii="Times New Roman"/>
                <w:b w:val="false"/>
                <w:i w:val="false"/>
                <w:color w:val="000000"/>
                <w:sz w:val="20"/>
              </w:rPr>
              <w:t>
   5.41. Промежуточную и нерасфасованную продукцию хранят в надлежащих условиях.</w:t>
            </w:r>
          </w:p>
          <w:p>
            <w:pPr>
              <w:spacing w:after="20"/>
              <w:ind w:left="20"/>
              <w:jc w:val="both"/>
            </w:pPr>
            <w:r>
              <w:rPr>
                <w:rFonts w:ascii="Times New Roman"/>
                <w:b w:val="false"/>
                <w:i w:val="false"/>
                <w:color w:val="000000"/>
                <w:sz w:val="20"/>
              </w:rPr>
              <w:t xml:space="preserve">
   5.42. Критические процессы проходят валидацию, указанную в пунктах 5.23 - 5.26 части I настоящего Стандарта. </w:t>
            </w:r>
          </w:p>
          <w:p>
            <w:pPr>
              <w:spacing w:after="20"/>
              <w:ind w:left="20"/>
              <w:jc w:val="both"/>
            </w:pPr>
            <w:r>
              <w:rPr>
                <w:rFonts w:ascii="Times New Roman"/>
                <w:b w:val="false"/>
                <w:i w:val="false"/>
                <w:color w:val="000000"/>
                <w:sz w:val="20"/>
              </w:rPr>
              <w:t xml:space="preserve">
   5.43. Проводится и оформляется документально весь необходимый контроль в процессе производства и контроль производственной среды. </w:t>
            </w:r>
          </w:p>
          <w:p>
            <w:pPr>
              <w:spacing w:after="20"/>
              <w:ind w:left="20"/>
              <w:jc w:val="both"/>
            </w:pPr>
            <w:r>
              <w:rPr>
                <w:rFonts w:ascii="Times New Roman"/>
                <w:b w:val="false"/>
                <w:i w:val="false"/>
                <w:color w:val="000000"/>
                <w:sz w:val="20"/>
              </w:rPr>
              <w:t>
   5.44. Любое существенное отклонение от ожидаемого выхода продукции оформляется документально и расследуется.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Упаковочные материалы</w:t>
            </w:r>
          </w:p>
          <w:p>
            <w:pPr>
              <w:spacing w:after="20"/>
              <w:ind w:left="20"/>
              <w:jc w:val="both"/>
            </w:pPr>
            <w:r>
              <w:rPr>
                <w:rFonts w:ascii="Times New Roman"/>
                <w:b w:val="false"/>
                <w:i w:val="false"/>
                <w:color w:val="000000"/>
                <w:sz w:val="20"/>
              </w:rPr>
              <w:t>
   5.45. Закупке и контролю первичных и печатных упаковочных материалов, а также обращению с ними следует уделять такое же внимание, как и исходным материалам.</w:t>
            </w:r>
          </w:p>
          <w:p>
            <w:pPr>
              <w:spacing w:after="20"/>
              <w:ind w:left="20"/>
              <w:jc w:val="both"/>
            </w:pPr>
            <w:r>
              <w:rPr>
                <w:rFonts w:ascii="Times New Roman"/>
                <w:b w:val="false"/>
                <w:i w:val="false"/>
                <w:color w:val="000000"/>
                <w:sz w:val="20"/>
              </w:rPr>
              <w:t>
   5.46. Особое внимание следует уделять печатным материалам. Их следует хранить в безопасных условиях, исключающих доступ посторонних лиц. Разрезанные этикетки и другие разрозненные печатные материалы хранятся и транспортируются раздельно в закрытой таре, исключающей их перепутывание. Разрешение на использование упаковочных материалов выдается только специально назначенными лицами в соответствии с утвержденной и документально оформленной процедурой.</w:t>
            </w:r>
          </w:p>
          <w:p>
            <w:pPr>
              <w:spacing w:after="20"/>
              <w:ind w:left="20"/>
              <w:jc w:val="both"/>
            </w:pPr>
            <w:r>
              <w:rPr>
                <w:rFonts w:ascii="Times New Roman"/>
                <w:b w:val="false"/>
                <w:i w:val="false"/>
                <w:color w:val="000000"/>
                <w:sz w:val="20"/>
              </w:rPr>
              <w:t>
   5.47. Каждой поставке или серии первичных или печатных упаковочных материалов присваивается идентификационный номер или идентификационный знак.</w:t>
            </w:r>
          </w:p>
          <w:p>
            <w:pPr>
              <w:spacing w:after="20"/>
              <w:ind w:left="20"/>
              <w:jc w:val="both"/>
            </w:pPr>
            <w:r>
              <w:rPr>
                <w:rFonts w:ascii="Times New Roman"/>
                <w:b w:val="false"/>
                <w:i w:val="false"/>
                <w:color w:val="000000"/>
                <w:sz w:val="20"/>
              </w:rPr>
              <w:t>
   5.48. Просроченные или непригодные к использованию печатные или первичные упаковочные материалы уничтожаются с последующим документальным оформлением.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Операции по упаковке</w:t>
            </w:r>
          </w:p>
          <w:p>
            <w:pPr>
              <w:spacing w:after="20"/>
              <w:ind w:left="20"/>
              <w:jc w:val="both"/>
            </w:pPr>
            <w:r>
              <w:rPr>
                <w:rFonts w:ascii="Times New Roman"/>
                <w:b w:val="false"/>
                <w:i w:val="false"/>
                <w:color w:val="000000"/>
                <w:sz w:val="20"/>
              </w:rPr>
              <w:t xml:space="preserve">
   5.49. При составлении планов операций по упаковке особое внимание уделяется сведению к минимуму риска перекрестной контаминации, перепутывания или подмены. Не допускается упаковывать продукцию различных видов в непосредственной близости друг от друга за исключением случаев, предусматривающих физическое разделение. </w:t>
            </w:r>
          </w:p>
          <w:p>
            <w:pPr>
              <w:spacing w:after="20"/>
              <w:ind w:left="20"/>
              <w:jc w:val="both"/>
            </w:pPr>
            <w:r>
              <w:rPr>
                <w:rFonts w:ascii="Times New Roman"/>
                <w:b w:val="false"/>
                <w:i w:val="false"/>
                <w:color w:val="000000"/>
                <w:sz w:val="20"/>
              </w:rPr>
              <w:t xml:space="preserve">
   5.50. Перед началом операций по упаковке предпринимаются меры, гарантирующие, что рабочая зона, упаковочные линии, печатные машины и другое оборудование являются чистыми и не содержат любые использовавшиеся ранее лекарственные препараты, материалы или документы, если они не требуются для запланированной операции. Очистку линии проводят согласно соответствующей процедуре. </w:t>
            </w:r>
          </w:p>
          <w:p>
            <w:pPr>
              <w:spacing w:after="20"/>
              <w:ind w:left="20"/>
              <w:jc w:val="both"/>
            </w:pPr>
            <w:r>
              <w:rPr>
                <w:rFonts w:ascii="Times New Roman"/>
                <w:b w:val="false"/>
                <w:i w:val="false"/>
                <w:color w:val="000000"/>
                <w:sz w:val="20"/>
              </w:rPr>
              <w:t xml:space="preserve">
   5.51. Наименование и номер серии упаковываемой продукции указываются на каждом упаковочном месте или линии. </w:t>
            </w:r>
          </w:p>
          <w:p>
            <w:pPr>
              <w:spacing w:after="20"/>
              <w:ind w:left="20"/>
              <w:jc w:val="both"/>
            </w:pPr>
            <w:r>
              <w:rPr>
                <w:rFonts w:ascii="Times New Roman"/>
                <w:b w:val="false"/>
                <w:i w:val="false"/>
                <w:color w:val="000000"/>
                <w:sz w:val="20"/>
              </w:rPr>
              <w:t>
   5.52. При поступлении продукции и упаковочных материалов на участок упаковки следует проверить их количество, идентичность и соответствие инструкциям по упаковке.</w:t>
            </w:r>
          </w:p>
          <w:p>
            <w:pPr>
              <w:spacing w:after="20"/>
              <w:ind w:left="20"/>
              <w:jc w:val="both"/>
            </w:pPr>
            <w:r>
              <w:rPr>
                <w:rFonts w:ascii="Times New Roman"/>
                <w:b w:val="false"/>
                <w:i w:val="false"/>
                <w:color w:val="000000"/>
                <w:sz w:val="20"/>
              </w:rPr>
              <w:t xml:space="preserve">
   5.53. Материалы первичной упаковки чистые до начала операции наполнения. Уделяется внимание предотвращению и устранению любой контаминации, такой как осколки стекла и металлические частицы. </w:t>
            </w:r>
          </w:p>
          <w:p>
            <w:pPr>
              <w:spacing w:after="20"/>
              <w:ind w:left="20"/>
              <w:jc w:val="both"/>
            </w:pPr>
            <w:r>
              <w:rPr>
                <w:rFonts w:ascii="Times New Roman"/>
                <w:b w:val="false"/>
                <w:i w:val="false"/>
                <w:color w:val="000000"/>
                <w:sz w:val="20"/>
              </w:rPr>
              <w:t>
   5.54. Маркировку осуществляют немедленно после фасовки и укупорки. Если это не происходит, то принимаются необходимые меры, гарантирующие, что не произойдет перепутывания или ошибочной маркировки.</w:t>
            </w:r>
          </w:p>
          <w:p>
            <w:pPr>
              <w:spacing w:after="20"/>
              <w:ind w:left="20"/>
              <w:jc w:val="both"/>
            </w:pPr>
            <w:r>
              <w:rPr>
                <w:rFonts w:ascii="Times New Roman"/>
                <w:b w:val="false"/>
                <w:i w:val="false"/>
                <w:color w:val="000000"/>
                <w:sz w:val="20"/>
              </w:rPr>
              <w:t>
   5.54. Правильность выполнения любых печатных операций, осуществляемых либо как отдельная технологическая операция, либо в процессе упаковки, тщательно контролируется и оформляется документально. Особое внимание уделяется ручной маркировке, которую регулярно перепроверяют.</w:t>
            </w:r>
          </w:p>
          <w:p>
            <w:pPr>
              <w:spacing w:after="20"/>
              <w:ind w:left="20"/>
              <w:jc w:val="both"/>
            </w:pPr>
            <w:r>
              <w:rPr>
                <w:rFonts w:ascii="Times New Roman"/>
                <w:b w:val="false"/>
                <w:i w:val="false"/>
                <w:color w:val="000000"/>
                <w:sz w:val="20"/>
              </w:rPr>
              <w:t>
   5.56. Особые меры предосторожности соблюдаются при использовании разрезанных этикеток и нанесении штампов вне линии упаковки. Для предотвращения перепутывания печатного материала предпочтительнее использовать этикетки в рулоне вместо разрезанных этикеток.</w:t>
            </w:r>
          </w:p>
          <w:p>
            <w:pPr>
              <w:spacing w:after="20"/>
              <w:ind w:left="20"/>
              <w:jc w:val="both"/>
            </w:pPr>
            <w:r>
              <w:rPr>
                <w:rFonts w:ascii="Times New Roman"/>
                <w:b w:val="false"/>
                <w:i w:val="false"/>
                <w:color w:val="000000"/>
                <w:sz w:val="20"/>
              </w:rPr>
              <w:t xml:space="preserve">
   5.57. Проводят проверки, гарантирующие, что все электронные устройства считывания кода, счетчики этикеток и аналогичные устройства работают правильно. </w:t>
            </w:r>
          </w:p>
          <w:p>
            <w:pPr>
              <w:spacing w:after="20"/>
              <w:ind w:left="20"/>
              <w:jc w:val="both"/>
            </w:pPr>
            <w:r>
              <w:rPr>
                <w:rFonts w:ascii="Times New Roman"/>
                <w:b w:val="false"/>
                <w:i w:val="false"/>
                <w:color w:val="000000"/>
                <w:sz w:val="20"/>
              </w:rPr>
              <w:t>
   5.58. Маркировка упаковочных материалов, нанесенная с помощью печати или методом тиснения, отчетлива и устойчива к выцветанию или стиранию.</w:t>
            </w:r>
          </w:p>
          <w:p>
            <w:pPr>
              <w:spacing w:after="20"/>
              <w:ind w:left="20"/>
              <w:jc w:val="both"/>
            </w:pPr>
            <w:r>
              <w:rPr>
                <w:rFonts w:ascii="Times New Roman"/>
                <w:b w:val="false"/>
                <w:i w:val="false"/>
                <w:color w:val="000000"/>
                <w:sz w:val="20"/>
              </w:rPr>
              <w:t>
   5.59. При контроле процесса упаковки продукции на линии проверяется, как минимум, следующее:</w:t>
            </w:r>
          </w:p>
          <w:p>
            <w:pPr>
              <w:spacing w:after="20"/>
              <w:ind w:left="20"/>
              <w:jc w:val="both"/>
            </w:pPr>
            <w:r>
              <w:rPr>
                <w:rFonts w:ascii="Times New Roman"/>
                <w:b w:val="false"/>
                <w:i w:val="false"/>
                <w:color w:val="000000"/>
                <w:sz w:val="20"/>
              </w:rPr>
              <w:t>
   1) общий внешний вид упаковок;</w:t>
            </w:r>
          </w:p>
          <w:p>
            <w:pPr>
              <w:spacing w:after="20"/>
              <w:ind w:left="20"/>
              <w:jc w:val="both"/>
            </w:pPr>
            <w:r>
              <w:rPr>
                <w:rFonts w:ascii="Times New Roman"/>
                <w:b w:val="false"/>
                <w:i w:val="false"/>
                <w:color w:val="000000"/>
                <w:sz w:val="20"/>
              </w:rPr>
              <w:t>
   2) комплектность упаковок;</w:t>
            </w:r>
          </w:p>
          <w:p>
            <w:pPr>
              <w:spacing w:after="20"/>
              <w:ind w:left="20"/>
              <w:jc w:val="both"/>
            </w:pPr>
            <w:r>
              <w:rPr>
                <w:rFonts w:ascii="Times New Roman"/>
                <w:b w:val="false"/>
                <w:i w:val="false"/>
                <w:color w:val="000000"/>
                <w:sz w:val="20"/>
              </w:rPr>
              <w:t xml:space="preserve">
   3) использование надлежащих видов продукции и упаковочных материалов; </w:t>
            </w:r>
          </w:p>
          <w:p>
            <w:pPr>
              <w:spacing w:after="20"/>
              <w:ind w:left="20"/>
              <w:jc w:val="both"/>
            </w:pPr>
            <w:r>
              <w:rPr>
                <w:rFonts w:ascii="Times New Roman"/>
                <w:b w:val="false"/>
                <w:i w:val="false"/>
                <w:color w:val="000000"/>
                <w:sz w:val="20"/>
              </w:rPr>
              <w:t>
   4) правильность нанесения любой маркировки;</w:t>
            </w:r>
          </w:p>
          <w:p>
            <w:pPr>
              <w:spacing w:after="20"/>
              <w:ind w:left="20"/>
              <w:jc w:val="both"/>
            </w:pPr>
            <w:r>
              <w:rPr>
                <w:rFonts w:ascii="Times New Roman"/>
                <w:b w:val="false"/>
                <w:i w:val="false"/>
                <w:color w:val="000000"/>
                <w:sz w:val="20"/>
              </w:rPr>
              <w:t>
   5) правильность работы контрольных устройств на линии.</w:t>
            </w:r>
          </w:p>
          <w:p>
            <w:pPr>
              <w:spacing w:after="20"/>
              <w:ind w:left="20"/>
              <w:jc w:val="both"/>
            </w:pPr>
            <w:r>
              <w:rPr>
                <w:rFonts w:ascii="Times New Roman"/>
                <w:b w:val="false"/>
                <w:i w:val="false"/>
                <w:color w:val="000000"/>
                <w:sz w:val="20"/>
              </w:rPr>
              <w:t>
   Образцы, взятые с упаковочной линии, повторно на линию не возвращаются.</w:t>
            </w:r>
          </w:p>
          <w:p>
            <w:pPr>
              <w:spacing w:after="20"/>
              <w:ind w:left="20"/>
              <w:jc w:val="both"/>
            </w:pPr>
            <w:r>
              <w:rPr>
                <w:rFonts w:ascii="Times New Roman"/>
                <w:b w:val="false"/>
                <w:i w:val="false"/>
                <w:color w:val="000000"/>
                <w:sz w:val="20"/>
              </w:rPr>
              <w:t>
   5.60. Если при упаковке продукции возникли непредвиденные обстоятельства, она возвращается в производство только после специальной проверки, проведения расследования и с разрешения лица, имеющего соответствующие полномочия. Указанные действия оформляются в виде протокола, который хранится в установленном порядке.</w:t>
            </w:r>
          </w:p>
          <w:p>
            <w:pPr>
              <w:spacing w:after="20"/>
              <w:ind w:left="20"/>
              <w:jc w:val="both"/>
            </w:pPr>
            <w:r>
              <w:rPr>
                <w:rFonts w:ascii="Times New Roman"/>
                <w:b w:val="false"/>
                <w:i w:val="false"/>
                <w:color w:val="000000"/>
                <w:sz w:val="20"/>
              </w:rPr>
              <w:t>
   5.61. При существенном или необычном расхождении, установленном во время составления баланса между количеством нерасфасованной продукции, печатного упаковочного материала и числом произведенных единиц готовой продукции, проводится расследование и устанавливается причина этого расхождения до выдачи разрешения на выпуск.</w:t>
            </w:r>
          </w:p>
          <w:p>
            <w:pPr>
              <w:spacing w:after="20"/>
              <w:ind w:left="20"/>
              <w:jc w:val="both"/>
            </w:pPr>
            <w:r>
              <w:rPr>
                <w:rFonts w:ascii="Times New Roman"/>
                <w:b w:val="false"/>
                <w:i w:val="false"/>
                <w:color w:val="000000"/>
                <w:sz w:val="20"/>
              </w:rPr>
              <w:t>
   5.62. После завершения операций по упаковке любые оставшиеся упаковочные материалы с нанесенным на них номером серии уничтожаются с последующим документальным оформлением. Возврат на склад немаркированных упаковочных материалов производится в соответствии с утвержденной процедурой.</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Готовая продукция</w:t>
            </w:r>
          </w:p>
          <w:p>
            <w:pPr>
              <w:spacing w:after="20"/>
              <w:ind w:left="20"/>
              <w:jc w:val="both"/>
            </w:pPr>
            <w:r>
              <w:rPr>
                <w:rFonts w:ascii="Times New Roman"/>
                <w:b w:val="false"/>
                <w:i w:val="false"/>
                <w:color w:val="000000"/>
                <w:sz w:val="20"/>
              </w:rPr>
              <w:t>
   5.63. До выдачи разрешения на выпуск готовая продукция содержится в карантине в условиях, установленных производителем.</w:t>
            </w:r>
          </w:p>
          <w:p>
            <w:pPr>
              <w:spacing w:after="20"/>
              <w:ind w:left="20"/>
              <w:jc w:val="both"/>
            </w:pPr>
            <w:r>
              <w:rPr>
                <w:rFonts w:ascii="Times New Roman"/>
                <w:b w:val="false"/>
                <w:i w:val="false"/>
                <w:color w:val="000000"/>
                <w:sz w:val="20"/>
              </w:rPr>
              <w:t>
   5.64. До момента получения разрешения на выпуск проводится оценка готовой продукции и документации, порядок которой приведен в главе 6 настоящего Стандарта.</w:t>
            </w:r>
          </w:p>
          <w:p>
            <w:pPr>
              <w:spacing w:after="20"/>
              <w:ind w:left="20"/>
              <w:jc w:val="both"/>
            </w:pPr>
            <w:r>
              <w:rPr>
                <w:rFonts w:ascii="Times New Roman"/>
                <w:b w:val="false"/>
                <w:i w:val="false"/>
                <w:color w:val="000000"/>
                <w:sz w:val="20"/>
              </w:rPr>
              <w:t>
   5.65. После выдачи разрешения на выпуск готовая продукция хранится как пригодный для реализации запас в условиях, установленных производителем.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Отклоненные, повторно использованные и возвращенные материалы и продукция</w:t>
            </w:r>
          </w:p>
          <w:p>
            <w:pPr>
              <w:spacing w:after="20"/>
              <w:ind w:left="20"/>
              <w:jc w:val="both"/>
            </w:pPr>
            <w:r>
              <w:rPr>
                <w:rFonts w:ascii="Times New Roman"/>
                <w:b w:val="false"/>
                <w:i w:val="false"/>
                <w:color w:val="000000"/>
                <w:sz w:val="20"/>
              </w:rPr>
              <w:t>
   5.66. Отклоненные материалы и продукция имеют четкую маркировку и хранятся раздельно в зонах с ограниченным доступом. Они возвращаются поставщику, перерабатываются, если это допустимо или уничтожаются. Любые выполненные действия оформляются документально и утверждаются лицами, имеющими соответствующие полномочия.</w:t>
            </w:r>
          </w:p>
          <w:p>
            <w:pPr>
              <w:spacing w:after="20"/>
              <w:ind w:left="20"/>
              <w:jc w:val="both"/>
            </w:pPr>
            <w:r>
              <w:rPr>
                <w:rFonts w:ascii="Times New Roman"/>
                <w:b w:val="false"/>
                <w:i w:val="false"/>
                <w:color w:val="000000"/>
                <w:sz w:val="20"/>
              </w:rPr>
              <w:t>
   5.67. Переработка отклоненной продукции допускается в исключительных случаях при условии отсутствия ухудшения качества готовой продукции и выполнения всех требований спецификаций. Переработку осуществляют в соответствии с утвержденной процедурой после оценки возможного риска с последующим документальным оформлением.</w:t>
            </w:r>
          </w:p>
          <w:p>
            <w:pPr>
              <w:spacing w:after="20"/>
              <w:ind w:left="20"/>
              <w:jc w:val="both"/>
            </w:pPr>
            <w:r>
              <w:rPr>
                <w:rFonts w:ascii="Times New Roman"/>
                <w:b w:val="false"/>
                <w:i w:val="false"/>
                <w:color w:val="000000"/>
                <w:sz w:val="20"/>
              </w:rPr>
              <w:t>
   5.68. Повторное использование всей серии или части ранее произведенных серий соответствующего качества путем объединения с серией такой же продукции на определенной стадии производства, санкционируется заранее. Введение осуществляют в соответствии с установленной процедурой с учетом оценки возникающих рисков, включая любое возможное влияние на срок годности. Деятельность по повторному использованию оформляют документально.</w:t>
            </w:r>
          </w:p>
          <w:p>
            <w:pPr>
              <w:spacing w:after="20"/>
              <w:ind w:left="20"/>
              <w:jc w:val="both"/>
            </w:pPr>
            <w:r>
              <w:rPr>
                <w:rFonts w:ascii="Times New Roman"/>
                <w:b w:val="false"/>
                <w:i w:val="false"/>
                <w:color w:val="000000"/>
                <w:sz w:val="20"/>
              </w:rPr>
              <w:t>
   5.69. Необходимость дополнительного контроля любой готовой продукции, прошедшей переработку, или продукции, в которую была включена повторно использованная продукция, определяет подразделение контроля качества.</w:t>
            </w:r>
          </w:p>
          <w:p>
            <w:pPr>
              <w:spacing w:after="20"/>
              <w:ind w:left="20"/>
              <w:jc w:val="both"/>
            </w:pPr>
            <w:r>
              <w:rPr>
                <w:rFonts w:ascii="Times New Roman"/>
                <w:b w:val="false"/>
                <w:i w:val="false"/>
                <w:color w:val="000000"/>
                <w:sz w:val="20"/>
              </w:rPr>
              <w:t>
   5.70. Возвращенная с рынка продукция, над которой был утрачен контроль со стороны производителя, уничтожается, за исключением случаев, когда нет сомнений, что ее качество является удовлетворительным. Решение о повторной реализации, перемаркировке или повторном использовании принимается только после критической оценки, проведенной подразделением контроля качества в соответствии с письменной процедурой. При этом учитывается характер продукции, ее предыстория и состояние, соблюдение специальных условий хранения и время, прошедшее с даты выпуска. При любых сомнениях в отношении качества продукции не допускается ее повторное использование или повторный выпуск, но допускается ее химическая переработка с целью регенерации активных ингредиентов. Все выполняемые действия оформляются документально.</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Нехватка продукции в связи с производственными затруднениями</w:t>
            </w:r>
          </w:p>
          <w:p>
            <w:pPr>
              <w:spacing w:after="20"/>
              <w:ind w:left="20"/>
              <w:jc w:val="both"/>
            </w:pPr>
            <w:r>
              <w:rPr>
                <w:rFonts w:ascii="Times New Roman"/>
                <w:b w:val="false"/>
                <w:i w:val="false"/>
                <w:color w:val="000000"/>
                <w:sz w:val="20"/>
              </w:rPr>
              <w:t>
   5.71. Производитель сообщает держателю регистрационного удостоверения о любых затруднениях в производственных операциях, которые приводят к необычному ограничению поставки. Сообщение осуществляется своевременно для облегчения уведомления об ограничениях поставки со стороны держателя регистрационного удостоверения, направляемого в адрес соответствующих компетентных органов. Такое уведомление осуществляется согласно правовым обязательствам держателя регистрационного удостоверения. Держатель регистрационного удостоверения лекарственного препарата обеспечивает соответствующую и бесперебойную поставку лекарственного препарата в аптеки или лицам, уполномоченным на поставку лекарственных препаратов. Держатель регистрационного удостоверения извещается своевременно в случае затруднений в производственных процессах, которые приводят к ограничениям поставки лекарственного препарата.</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Контроль качества</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Настоящий раздел рассматривается в сочетании со всеми соответствующими разделами настоящего Стандарта.</w:t>
            </w:r>
          </w:p>
          <w:p>
            <w:pPr>
              <w:spacing w:after="20"/>
              <w:ind w:left="20"/>
              <w:jc w:val="both"/>
            </w:pPr>
            <w:r>
              <w:rPr>
                <w:rFonts w:ascii="Times New Roman"/>
                <w:b w:val="false"/>
                <w:i w:val="false"/>
                <w:color w:val="000000"/>
                <w:sz w:val="20"/>
              </w:rPr>
              <w:t xml:space="preserve">
   Контроль качества распространяется как на процедуры отбора проб, спецификации и на проведение испытаний, так и на процедуры организации, документирования и выпуска, гарантирующие проведение необходимых испытаний, а также обеспечивающие то, что исходные и упаковочные материалы не разрешены для использования, а продукция - для реализации и поставки до тех пор, пока их качество не будет признано соответствующим установленным требованиям. </w:t>
            </w:r>
          </w:p>
          <w:p>
            <w:pPr>
              <w:spacing w:after="20"/>
              <w:ind w:left="20"/>
              <w:jc w:val="both"/>
            </w:pPr>
            <w:r>
              <w:rPr>
                <w:rFonts w:ascii="Times New Roman"/>
                <w:b w:val="false"/>
                <w:i w:val="false"/>
                <w:color w:val="000000"/>
                <w:sz w:val="20"/>
              </w:rPr>
              <w:t>
   Контроль качества не ограничивается лабораторными работами и вовлечен в принятие всех решений, касающихся качества продукции. Основополагающим принципом для удовлетворительной работы подразделения контроля качества считается его независимость от производства.</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требования</w:t>
            </w:r>
          </w:p>
          <w:p>
            <w:pPr>
              <w:spacing w:after="20"/>
              <w:ind w:left="20"/>
              <w:jc w:val="both"/>
            </w:pPr>
            <w:r>
              <w:rPr>
                <w:rFonts w:ascii="Times New Roman"/>
                <w:b w:val="false"/>
                <w:i w:val="false"/>
                <w:color w:val="000000"/>
                <w:sz w:val="20"/>
              </w:rPr>
              <w:t>
   6.1. Каждый производитель имеет подразделение контроля качества, независимое от других подразделений и отделов. Руководитель этого подразделения имеет соответствующую квалификацию и опыт, в его распоряжении имеются одна или несколько контрольных лабораторий. Подразделение обеспечивается достаточными ресурсами для обеспечения эффективности и соответствующего выполнения мероприятий контроля качества.</w:t>
            </w:r>
          </w:p>
          <w:p>
            <w:pPr>
              <w:spacing w:after="20"/>
              <w:ind w:left="20"/>
              <w:jc w:val="both"/>
            </w:pPr>
            <w:r>
              <w:rPr>
                <w:rFonts w:ascii="Times New Roman"/>
                <w:b w:val="false"/>
                <w:i w:val="false"/>
                <w:color w:val="000000"/>
                <w:sz w:val="20"/>
              </w:rPr>
              <w:t xml:space="preserve">
   6.2. Основные обязанности руководителя подразделения контроля качества обобщены в главе 2 части 1 настоящего Стандарта. Подразделение контроля качества в целом имеет также и другие обязанности, такие как разработка, валидация и обеспечение выполнения всех процедур по контролю качества, наблюдение за контрольными и (или) архивными образцами материалов и продукции в соответствующих случаях, обеспечение правильности маркировки упаковок с материалами и продукцией, мониторинг стабильности продукции, участие в расследовании претензий в отношении качества продукции и т.д. Все эти операции осуществляют в соответствии с документированными процедурами и при необходимости их результаты оформляют документально. </w:t>
            </w:r>
          </w:p>
          <w:p>
            <w:pPr>
              <w:spacing w:after="20"/>
              <w:ind w:left="20"/>
              <w:jc w:val="both"/>
            </w:pPr>
            <w:r>
              <w:rPr>
                <w:rFonts w:ascii="Times New Roman"/>
                <w:b w:val="false"/>
                <w:i w:val="false"/>
                <w:color w:val="000000"/>
                <w:sz w:val="20"/>
              </w:rPr>
              <w:t>
   6.3. Оценка готовой продукции охватывает все относящиеся к ней факторы, включая условия производства, результаты испытаний в процессе производства, обзор производственной документации, включая документацию по упаковыванию, соответствие спецификациям на готовую продукцию и проверку окончательной упаковки.</w:t>
            </w:r>
          </w:p>
          <w:p>
            <w:pPr>
              <w:spacing w:after="20"/>
              <w:ind w:left="20"/>
              <w:jc w:val="both"/>
            </w:pPr>
            <w:r>
              <w:rPr>
                <w:rFonts w:ascii="Times New Roman"/>
                <w:b w:val="false"/>
                <w:i w:val="false"/>
                <w:color w:val="000000"/>
                <w:sz w:val="20"/>
              </w:rPr>
              <w:t>
   6.4. Персонал подразделения контроля качества имеет доступ в производственные зоны для осуществления отбора проб и при необходимости соответствующего расследования.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Надлежащая лабораторная практика контроля качества</w:t>
            </w:r>
          </w:p>
          <w:p>
            <w:pPr>
              <w:spacing w:after="20"/>
              <w:ind w:left="20"/>
              <w:jc w:val="both"/>
            </w:pPr>
            <w:r>
              <w:rPr>
                <w:rFonts w:ascii="Times New Roman"/>
                <w:b w:val="false"/>
                <w:i w:val="false"/>
                <w:color w:val="000000"/>
                <w:sz w:val="20"/>
              </w:rPr>
              <w:t xml:space="preserve">
   6.5. Помещения и оборудование контрольных лабораторий отвечают общим и специфическим требованиям к зонам контроля качества, приведенным в главе 3 настоящего Стандарта. </w:t>
            </w:r>
          </w:p>
          <w:p>
            <w:pPr>
              <w:spacing w:after="20"/>
              <w:ind w:left="20"/>
              <w:jc w:val="both"/>
            </w:pPr>
            <w:r>
              <w:rPr>
                <w:rFonts w:ascii="Times New Roman"/>
                <w:b w:val="false"/>
                <w:i w:val="false"/>
                <w:color w:val="000000"/>
                <w:sz w:val="20"/>
              </w:rPr>
              <w:t xml:space="preserve">
   Для предотвращения возможности случайной перекрестной контаминации лабораторное оборудование не перемещается между зонами с высокой степенью риска на рутинной основе. В частности, микробиологическая лаборатория организована таким образом, что сводит к минимуму риск перекрестного загрязнения. </w:t>
            </w:r>
          </w:p>
          <w:p>
            <w:pPr>
              <w:spacing w:after="20"/>
              <w:ind w:left="20"/>
              <w:jc w:val="both"/>
            </w:pPr>
            <w:r>
              <w:rPr>
                <w:rFonts w:ascii="Times New Roman"/>
                <w:b w:val="false"/>
                <w:i w:val="false"/>
                <w:color w:val="000000"/>
                <w:sz w:val="20"/>
              </w:rPr>
              <w:t>
   6.6. Персонал, помещения и оборудование лабораторий соответствует задачам, обусловленным характером и объемом производственных операций. В ряде случаев возможным является использование внешних лабораторий при условии выполнения ими требований, представленных в главе 7 настоящего Стандарта, и это отмечается в записях по контролю качества.</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Документация</w:t>
            </w:r>
          </w:p>
          <w:p>
            <w:pPr>
              <w:spacing w:after="20"/>
              <w:ind w:left="20"/>
              <w:jc w:val="both"/>
            </w:pPr>
            <w:r>
              <w:rPr>
                <w:rFonts w:ascii="Times New Roman"/>
                <w:b w:val="false"/>
                <w:i w:val="false"/>
                <w:color w:val="000000"/>
                <w:sz w:val="20"/>
              </w:rPr>
              <w:t>
   6.7. Документация лабораторий соответствует требованиям, изложенным в главе 4 настоящего Стандарта. Основная часть этой документации относится к контролю качества. В подразделении контроля качества имеется следующая документация:</w:t>
            </w:r>
          </w:p>
          <w:p>
            <w:pPr>
              <w:spacing w:after="20"/>
              <w:ind w:left="20"/>
              <w:jc w:val="both"/>
            </w:pPr>
            <w:r>
              <w:rPr>
                <w:rFonts w:ascii="Times New Roman"/>
                <w:b w:val="false"/>
                <w:i w:val="false"/>
                <w:color w:val="000000"/>
                <w:sz w:val="20"/>
              </w:rPr>
              <w:t>
   1) спецификации;</w:t>
            </w:r>
          </w:p>
          <w:p>
            <w:pPr>
              <w:spacing w:after="20"/>
              <w:ind w:left="20"/>
              <w:jc w:val="both"/>
            </w:pPr>
            <w:r>
              <w:rPr>
                <w:rFonts w:ascii="Times New Roman"/>
                <w:b w:val="false"/>
                <w:i w:val="false"/>
                <w:color w:val="000000"/>
                <w:sz w:val="20"/>
              </w:rPr>
              <w:t>
   2) процедуры, описывающие отбор проб, проведение испытаний, записи (в том числе аналитические рабочие листы и (или) лабораторные журналы), регистрацию и проверку;</w:t>
            </w:r>
          </w:p>
          <w:p>
            <w:pPr>
              <w:spacing w:after="20"/>
              <w:ind w:left="20"/>
              <w:jc w:val="both"/>
            </w:pPr>
            <w:r>
              <w:rPr>
                <w:rFonts w:ascii="Times New Roman"/>
                <w:b w:val="false"/>
                <w:i w:val="false"/>
                <w:color w:val="000000"/>
                <w:sz w:val="20"/>
              </w:rPr>
              <w:t>
   3) процедуры и записи калибровки и квалификации измерительных приборов и технического обслуживания оборудования;</w:t>
            </w:r>
          </w:p>
          <w:p>
            <w:pPr>
              <w:spacing w:after="20"/>
              <w:ind w:left="20"/>
              <w:jc w:val="both"/>
            </w:pPr>
            <w:r>
              <w:rPr>
                <w:rFonts w:ascii="Times New Roman"/>
                <w:b w:val="false"/>
                <w:i w:val="false"/>
                <w:color w:val="000000"/>
                <w:sz w:val="20"/>
              </w:rPr>
              <w:t>
   4) порядок расследования результатов, выходящих за пределы спецификаций и тенденций;</w:t>
            </w:r>
          </w:p>
          <w:p>
            <w:pPr>
              <w:spacing w:after="20"/>
              <w:ind w:left="20"/>
              <w:jc w:val="both"/>
            </w:pPr>
            <w:r>
              <w:rPr>
                <w:rFonts w:ascii="Times New Roman"/>
                <w:b w:val="false"/>
                <w:i w:val="false"/>
                <w:color w:val="000000"/>
                <w:sz w:val="20"/>
              </w:rPr>
              <w:t>
   5) аналитические отчеты и (или) сертификаты анализа или другие документы, подтверждающие качество;</w:t>
            </w:r>
          </w:p>
          <w:p>
            <w:pPr>
              <w:spacing w:after="20"/>
              <w:ind w:left="20"/>
              <w:jc w:val="both"/>
            </w:pPr>
            <w:r>
              <w:rPr>
                <w:rFonts w:ascii="Times New Roman"/>
                <w:b w:val="false"/>
                <w:i w:val="false"/>
                <w:color w:val="000000"/>
                <w:sz w:val="20"/>
              </w:rPr>
              <w:t>
   6) данные мониторинга производственной среды: воздуха, воды, других технологических сред</w:t>
            </w:r>
            <w:r>
              <w:rPr>
                <w:rFonts w:ascii="Times New Roman"/>
                <w:b/>
                <w:i w:val="false"/>
                <w:color w:val="000000"/>
                <w:sz w:val="20"/>
              </w:rPr>
              <w:t>,</w:t>
            </w:r>
            <w:r>
              <w:rPr>
                <w:rFonts w:ascii="Times New Roman"/>
                <w:b w:val="false"/>
                <w:i w:val="false"/>
                <w:color w:val="000000"/>
                <w:sz w:val="20"/>
              </w:rPr>
              <w:t xml:space="preserve"> где они требуются;</w:t>
            </w:r>
          </w:p>
          <w:p>
            <w:pPr>
              <w:spacing w:after="20"/>
              <w:ind w:left="20"/>
              <w:jc w:val="both"/>
            </w:pPr>
            <w:r>
              <w:rPr>
                <w:rFonts w:ascii="Times New Roman"/>
                <w:b w:val="false"/>
                <w:i w:val="false"/>
                <w:color w:val="000000"/>
                <w:sz w:val="20"/>
              </w:rPr>
              <w:t>
   7) записи по валидации методик испытаний, где применимо.</w:t>
            </w:r>
          </w:p>
          <w:p>
            <w:pPr>
              <w:spacing w:after="20"/>
              <w:ind w:left="20"/>
              <w:jc w:val="both"/>
            </w:pPr>
            <w:r>
              <w:rPr>
                <w:rFonts w:ascii="Times New Roman"/>
                <w:b w:val="false"/>
                <w:i w:val="false"/>
                <w:color w:val="000000"/>
                <w:sz w:val="20"/>
              </w:rPr>
              <w:t>
   6.8. Любую документацию по контролю качества, связанную с досье на серию лекарственного средства, хранят в соответствии с требованиями к сохранению документации серии, приведенными в главе 4 настоящего Стандарта.</w:t>
            </w:r>
          </w:p>
          <w:p>
            <w:pPr>
              <w:spacing w:after="20"/>
              <w:ind w:left="20"/>
              <w:jc w:val="both"/>
            </w:pPr>
            <w:r>
              <w:rPr>
                <w:rFonts w:ascii="Times New Roman"/>
                <w:b w:val="false"/>
                <w:i w:val="false"/>
                <w:color w:val="000000"/>
                <w:sz w:val="20"/>
              </w:rPr>
              <w:t>
   6.9. Для некоторых видов данных, например, результатов испытаний, выходов, контроля производственной среды и др. записи ведутся способом, позволяющим проводить оценку существующих тенденций. Любые данные, выходящие за пределы спецификации и тенденций, рассматриваются и направляются для проведения расследований.</w:t>
            </w:r>
          </w:p>
          <w:p>
            <w:pPr>
              <w:spacing w:after="20"/>
              <w:ind w:left="20"/>
              <w:jc w:val="both"/>
            </w:pPr>
            <w:r>
              <w:rPr>
                <w:rFonts w:ascii="Times New Roman"/>
                <w:b w:val="false"/>
                <w:i w:val="false"/>
                <w:color w:val="000000"/>
                <w:sz w:val="20"/>
              </w:rPr>
              <w:t>
   6.10. В дополнение к информации, являющейся частью документации серии, сохраняются и доступны другие исходные данные, зафиксированные в таких документах, как лабораторные журналы и (или) записи.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Отбор проб</w:t>
            </w:r>
          </w:p>
          <w:p>
            <w:pPr>
              <w:spacing w:after="20"/>
              <w:ind w:left="20"/>
              <w:jc w:val="both"/>
            </w:pPr>
            <w:r>
              <w:rPr>
                <w:rFonts w:ascii="Times New Roman"/>
                <w:b w:val="false"/>
                <w:i w:val="false"/>
                <w:color w:val="000000"/>
                <w:sz w:val="20"/>
              </w:rPr>
              <w:t>
   6.11 Отбор проб осуществляют и оформляют документально в соответствии с документированными процедурами, которые определяют:</w:t>
            </w:r>
          </w:p>
          <w:p>
            <w:pPr>
              <w:spacing w:after="20"/>
              <w:ind w:left="20"/>
              <w:jc w:val="both"/>
            </w:pPr>
            <w:r>
              <w:rPr>
                <w:rFonts w:ascii="Times New Roman"/>
                <w:b w:val="false"/>
                <w:i w:val="false"/>
                <w:color w:val="000000"/>
                <w:sz w:val="20"/>
              </w:rPr>
              <w:t>
   1) метод отбора проб;</w:t>
            </w:r>
          </w:p>
          <w:p>
            <w:pPr>
              <w:spacing w:after="20"/>
              <w:ind w:left="20"/>
              <w:jc w:val="both"/>
            </w:pPr>
            <w:r>
              <w:rPr>
                <w:rFonts w:ascii="Times New Roman"/>
                <w:b w:val="false"/>
                <w:i w:val="false"/>
                <w:color w:val="000000"/>
                <w:sz w:val="20"/>
              </w:rPr>
              <w:t>
   2) используемое оборудование;</w:t>
            </w:r>
          </w:p>
          <w:p>
            <w:pPr>
              <w:spacing w:after="20"/>
              <w:ind w:left="20"/>
              <w:jc w:val="both"/>
            </w:pPr>
            <w:r>
              <w:rPr>
                <w:rFonts w:ascii="Times New Roman"/>
                <w:b w:val="false"/>
                <w:i w:val="false"/>
                <w:color w:val="000000"/>
                <w:sz w:val="20"/>
              </w:rPr>
              <w:t>
   3) количество пробы, которое отбирается;</w:t>
            </w:r>
          </w:p>
          <w:p>
            <w:pPr>
              <w:spacing w:after="20"/>
              <w:ind w:left="20"/>
              <w:jc w:val="both"/>
            </w:pPr>
            <w:r>
              <w:rPr>
                <w:rFonts w:ascii="Times New Roman"/>
                <w:b w:val="false"/>
                <w:i w:val="false"/>
                <w:color w:val="000000"/>
                <w:sz w:val="20"/>
              </w:rPr>
              <w:t>
   4) инструкции по любому требуемому разделению пробы;</w:t>
            </w:r>
          </w:p>
          <w:p>
            <w:pPr>
              <w:spacing w:after="20"/>
              <w:ind w:left="20"/>
              <w:jc w:val="both"/>
            </w:pPr>
            <w:r>
              <w:rPr>
                <w:rFonts w:ascii="Times New Roman"/>
                <w:b w:val="false"/>
                <w:i w:val="false"/>
                <w:color w:val="000000"/>
                <w:sz w:val="20"/>
              </w:rPr>
              <w:t>
   5) тип и состояние контейнера, используемого для пробы;</w:t>
            </w:r>
          </w:p>
          <w:p>
            <w:pPr>
              <w:spacing w:after="20"/>
              <w:ind w:left="20"/>
              <w:jc w:val="both"/>
            </w:pPr>
            <w:r>
              <w:rPr>
                <w:rFonts w:ascii="Times New Roman"/>
                <w:b w:val="false"/>
                <w:i w:val="false"/>
                <w:color w:val="000000"/>
                <w:sz w:val="20"/>
              </w:rPr>
              <w:t>
   6) идентификацию контейнеров с отобранными пробами;</w:t>
            </w:r>
          </w:p>
          <w:p>
            <w:pPr>
              <w:spacing w:after="20"/>
              <w:ind w:left="20"/>
              <w:jc w:val="both"/>
            </w:pPr>
            <w:r>
              <w:rPr>
                <w:rFonts w:ascii="Times New Roman"/>
                <w:b w:val="false"/>
                <w:i w:val="false"/>
                <w:color w:val="000000"/>
                <w:sz w:val="20"/>
              </w:rPr>
              <w:t>
   7) любые подлежащие соблюдению особые меры предосторожности, особенно при отборе проб стерильных или вредных веществ;</w:t>
            </w:r>
          </w:p>
          <w:p>
            <w:pPr>
              <w:spacing w:after="20"/>
              <w:ind w:left="20"/>
              <w:jc w:val="both"/>
            </w:pPr>
            <w:r>
              <w:rPr>
                <w:rFonts w:ascii="Times New Roman"/>
                <w:b w:val="false"/>
                <w:i w:val="false"/>
                <w:color w:val="000000"/>
                <w:sz w:val="20"/>
              </w:rPr>
              <w:t>
   8) условия хранения;</w:t>
            </w:r>
          </w:p>
          <w:p>
            <w:pPr>
              <w:spacing w:after="20"/>
              <w:ind w:left="20"/>
              <w:jc w:val="both"/>
            </w:pPr>
            <w:r>
              <w:rPr>
                <w:rFonts w:ascii="Times New Roman"/>
                <w:b w:val="false"/>
                <w:i w:val="false"/>
                <w:color w:val="000000"/>
                <w:sz w:val="20"/>
              </w:rPr>
              <w:t>
   9) инструкции по очистке и хранению оборудования для отбора проб.</w:t>
            </w:r>
          </w:p>
          <w:p>
            <w:pPr>
              <w:spacing w:after="20"/>
              <w:ind w:left="20"/>
              <w:jc w:val="both"/>
            </w:pPr>
            <w:r>
              <w:rPr>
                <w:rFonts w:ascii="Times New Roman"/>
                <w:b w:val="false"/>
                <w:i w:val="false"/>
                <w:color w:val="000000"/>
                <w:sz w:val="20"/>
              </w:rPr>
              <w:t>
   6.12. Переданные для испытаний образцы репрезентативны для серии материала или продукции, из которой они отобраны. Отбираются другие пробы для контроля наиболее важных этапов процесса, например, его начала или окончания. Используемый план отбора проб надлежащим образом обосновывается и базируется на принципах управления рисками.</w:t>
            </w:r>
          </w:p>
          <w:p>
            <w:pPr>
              <w:spacing w:after="20"/>
              <w:ind w:left="20"/>
              <w:jc w:val="both"/>
            </w:pPr>
            <w:r>
              <w:rPr>
                <w:rFonts w:ascii="Times New Roman"/>
                <w:b w:val="false"/>
                <w:i w:val="false"/>
                <w:color w:val="000000"/>
                <w:sz w:val="20"/>
              </w:rPr>
              <w:t>
   6.13. Контейнеры с образцами имеют этикетку, указывающую его содержимое с номером серии, дату отбора проб, а также обозначение тарных мест, из которых были отобраны образцы. Работа с ними ведется таким образом, чтобы минимизировать риск перепутывания и защитить образцы от негативных условий хранения.</w:t>
            </w:r>
          </w:p>
          <w:p>
            <w:pPr>
              <w:spacing w:after="20"/>
              <w:ind w:left="20"/>
              <w:jc w:val="both"/>
            </w:pPr>
            <w:r>
              <w:rPr>
                <w:rFonts w:ascii="Times New Roman"/>
                <w:b w:val="false"/>
                <w:i w:val="false"/>
                <w:color w:val="000000"/>
                <w:sz w:val="20"/>
              </w:rPr>
              <w:t xml:space="preserve">
   6.14. Дополнительные требования в отношении контрольных и архивных образцов приведены в </w:t>
            </w:r>
            <w:r>
              <w:rPr>
                <w:rFonts w:ascii="Times New Roman"/>
                <w:b w:val="false"/>
                <w:i w:val="false"/>
                <w:color w:val="000000"/>
                <w:sz w:val="20"/>
              </w:rPr>
              <w:t>приложении 19</w:t>
            </w:r>
            <w:r>
              <w:rPr>
                <w:rFonts w:ascii="Times New Roman"/>
                <w:b w:val="false"/>
                <w:i w:val="false"/>
                <w:color w:val="000000"/>
                <w:sz w:val="20"/>
              </w:rPr>
              <w:t xml:space="preserve"> к настоящему Стандарту.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Проведение испытаний</w:t>
            </w:r>
          </w:p>
          <w:p>
            <w:pPr>
              <w:spacing w:after="20"/>
              <w:ind w:left="20"/>
              <w:jc w:val="both"/>
            </w:pPr>
            <w:r>
              <w:rPr>
                <w:rFonts w:ascii="Times New Roman"/>
                <w:b w:val="false"/>
                <w:i w:val="false"/>
                <w:color w:val="000000"/>
                <w:sz w:val="20"/>
              </w:rPr>
              <w:t>
   6.15. Методики испытаний валидируются. Лаборатория, которая использует методику испытаний и которая не выполняла ее первоначальную валидацию, верифицирует пригодность методики испытаний. Все операции по проведению испытаний, описанные в соответствующих документах регистрационного досье, проводят в соответствии с утвержденными методиками.</w:t>
            </w:r>
          </w:p>
          <w:p>
            <w:pPr>
              <w:spacing w:after="20"/>
              <w:ind w:left="20"/>
              <w:jc w:val="both"/>
            </w:pPr>
            <w:r>
              <w:rPr>
                <w:rFonts w:ascii="Times New Roman"/>
                <w:b w:val="false"/>
                <w:i w:val="false"/>
                <w:color w:val="000000"/>
                <w:sz w:val="20"/>
              </w:rPr>
              <w:t>
   6.16. Полученные результаты документально оформляются. Результаты для параметров, определенных в качестве показателей качества или как критические, и все вычисления тщательно проверяются и оцениваются на наличие тенденций</w:t>
            </w:r>
            <w:r>
              <w:rPr>
                <w:rFonts w:ascii="Times New Roman"/>
                <w:b/>
                <w:i w:val="false"/>
                <w:color w:val="000000"/>
                <w:sz w:val="20"/>
              </w:rPr>
              <w:t xml:space="preserve">. </w:t>
            </w:r>
            <w:r>
              <w:rPr>
                <w:rFonts w:ascii="Times New Roman"/>
                <w:b w:val="false"/>
                <w:i w:val="false"/>
                <w:color w:val="000000"/>
                <w:sz w:val="20"/>
              </w:rPr>
              <w:t>Все расчеты тщательно проверяются.</w:t>
            </w:r>
          </w:p>
          <w:p>
            <w:pPr>
              <w:spacing w:after="20"/>
              <w:ind w:left="20"/>
              <w:jc w:val="both"/>
            </w:pPr>
            <w:r>
              <w:rPr>
                <w:rFonts w:ascii="Times New Roman"/>
                <w:b w:val="false"/>
                <w:i w:val="false"/>
                <w:color w:val="000000"/>
                <w:sz w:val="20"/>
              </w:rPr>
              <w:t>
   6.17. Проведенные испытания документируются. Записи включают в себя, по меньшей мере, следующие данные:</w:t>
            </w:r>
          </w:p>
          <w:p>
            <w:pPr>
              <w:spacing w:after="20"/>
              <w:ind w:left="20"/>
              <w:jc w:val="both"/>
            </w:pPr>
            <w:r>
              <w:rPr>
                <w:rFonts w:ascii="Times New Roman"/>
                <w:b w:val="false"/>
                <w:i w:val="false"/>
                <w:color w:val="000000"/>
                <w:sz w:val="20"/>
              </w:rPr>
              <w:t>
   1) наименование исходных материалов или продукции и, где применимо, лекарственной формы;</w:t>
            </w:r>
          </w:p>
          <w:p>
            <w:pPr>
              <w:spacing w:after="20"/>
              <w:ind w:left="20"/>
              <w:jc w:val="both"/>
            </w:pPr>
            <w:r>
              <w:rPr>
                <w:rFonts w:ascii="Times New Roman"/>
                <w:b w:val="false"/>
                <w:i w:val="false"/>
                <w:color w:val="000000"/>
                <w:sz w:val="20"/>
              </w:rPr>
              <w:t>
   2) номер серии и, где применимо, наименование производителя и (или) поставщика;</w:t>
            </w:r>
          </w:p>
          <w:p>
            <w:pPr>
              <w:spacing w:after="20"/>
              <w:ind w:left="20"/>
              <w:jc w:val="both"/>
            </w:pPr>
            <w:r>
              <w:rPr>
                <w:rFonts w:ascii="Times New Roman"/>
                <w:b w:val="false"/>
                <w:i w:val="false"/>
                <w:color w:val="000000"/>
                <w:sz w:val="20"/>
              </w:rPr>
              <w:t>
   3) ссылки на соответствующие спецификации и методики проведения испытаний;</w:t>
            </w:r>
          </w:p>
          <w:p>
            <w:pPr>
              <w:spacing w:after="20"/>
              <w:ind w:left="20"/>
              <w:jc w:val="both"/>
            </w:pPr>
            <w:r>
              <w:rPr>
                <w:rFonts w:ascii="Times New Roman"/>
                <w:b w:val="false"/>
                <w:i w:val="false"/>
                <w:color w:val="000000"/>
                <w:sz w:val="20"/>
              </w:rPr>
              <w:t>
   4) результаты испытания, включая наблюдения и расчеты, и ссылки на все сертификаты анализа;</w:t>
            </w:r>
          </w:p>
          <w:p>
            <w:pPr>
              <w:spacing w:after="20"/>
              <w:ind w:left="20"/>
              <w:jc w:val="both"/>
            </w:pPr>
            <w:r>
              <w:rPr>
                <w:rFonts w:ascii="Times New Roman"/>
                <w:b w:val="false"/>
                <w:i w:val="false"/>
                <w:color w:val="000000"/>
                <w:sz w:val="20"/>
              </w:rPr>
              <w:t>
   5) даты проведения испытаний;</w:t>
            </w:r>
          </w:p>
          <w:p>
            <w:pPr>
              <w:spacing w:after="20"/>
              <w:ind w:left="20"/>
              <w:jc w:val="both"/>
            </w:pPr>
            <w:r>
              <w:rPr>
                <w:rFonts w:ascii="Times New Roman"/>
                <w:b w:val="false"/>
                <w:i w:val="false"/>
                <w:color w:val="000000"/>
                <w:sz w:val="20"/>
              </w:rPr>
              <w:t xml:space="preserve">
   6) фамилии лиц, выполнивших испытания; </w:t>
            </w:r>
          </w:p>
          <w:p>
            <w:pPr>
              <w:spacing w:after="20"/>
              <w:ind w:left="20"/>
              <w:jc w:val="both"/>
            </w:pPr>
            <w:r>
              <w:rPr>
                <w:rFonts w:ascii="Times New Roman"/>
                <w:b w:val="false"/>
                <w:i w:val="false"/>
                <w:color w:val="000000"/>
                <w:sz w:val="20"/>
              </w:rPr>
              <w:t>
   7) фамилии лиц, проверивших проведение испытаний и расчетов, где применимо;</w:t>
            </w:r>
          </w:p>
          <w:p>
            <w:pPr>
              <w:spacing w:after="20"/>
              <w:ind w:left="20"/>
              <w:jc w:val="both"/>
            </w:pPr>
            <w:r>
              <w:rPr>
                <w:rFonts w:ascii="Times New Roman"/>
                <w:b w:val="false"/>
                <w:i w:val="false"/>
                <w:color w:val="000000"/>
                <w:sz w:val="20"/>
              </w:rPr>
              <w:t>
   8) четкое заключение о выдаче разрешения или отклонении продукции или решение о другом статусе, дата и подпись ответственного лица.</w:t>
            </w:r>
          </w:p>
          <w:p>
            <w:pPr>
              <w:spacing w:after="20"/>
              <w:ind w:left="20"/>
              <w:jc w:val="both"/>
            </w:pPr>
            <w:r>
              <w:rPr>
                <w:rFonts w:ascii="Times New Roman"/>
                <w:b w:val="false"/>
                <w:i w:val="false"/>
                <w:color w:val="000000"/>
                <w:sz w:val="20"/>
              </w:rPr>
              <w:t>
   9) ссылка на использованное оборудование</w:t>
            </w:r>
            <w:r>
              <w:rPr>
                <w:rFonts w:ascii="Times New Roman"/>
                <w:b/>
                <w:i w:val="false"/>
                <w:color w:val="000000"/>
                <w:sz w:val="20"/>
              </w:rPr>
              <w:t>.</w:t>
            </w:r>
          </w:p>
          <w:p>
            <w:pPr>
              <w:spacing w:after="20"/>
              <w:ind w:left="20"/>
              <w:jc w:val="both"/>
            </w:pPr>
            <w:r>
              <w:rPr>
                <w:rFonts w:ascii="Times New Roman"/>
                <w:b w:val="false"/>
                <w:i w:val="false"/>
                <w:color w:val="000000"/>
                <w:sz w:val="20"/>
              </w:rPr>
              <w:t>
   6.18. Весь контроль в процессе производства, включая и тот, который выполняется в производственной зоне производственным персоналом, осуществляют в соответствии с методиками, утвержденными подразделением контроля качества, а его результаты – оформляют документально.</w:t>
            </w:r>
          </w:p>
          <w:p>
            <w:pPr>
              <w:spacing w:after="20"/>
              <w:ind w:left="20"/>
              <w:jc w:val="both"/>
            </w:pPr>
            <w:r>
              <w:rPr>
                <w:rFonts w:ascii="Times New Roman"/>
                <w:b w:val="false"/>
                <w:i w:val="false"/>
                <w:color w:val="000000"/>
                <w:sz w:val="20"/>
              </w:rPr>
              <w:t>
   6.19. Особое внимание уделяется качеству лабораторных реактивов, мерной посуды и титрованных растворов, стандартных образцов и питательных сред. Их готовят и контролируют в соответствии с документированными процедурами. Уровень контроля соразмерен с их назначением и доступными данными о стабильности.</w:t>
            </w:r>
          </w:p>
          <w:p>
            <w:pPr>
              <w:spacing w:after="20"/>
              <w:ind w:left="20"/>
              <w:jc w:val="both"/>
            </w:pPr>
            <w:r>
              <w:rPr>
                <w:rFonts w:ascii="Times New Roman"/>
                <w:b w:val="false"/>
                <w:i w:val="false"/>
                <w:color w:val="000000"/>
                <w:sz w:val="20"/>
              </w:rPr>
              <w:t>
   6.20. Стандартные образцы признаются пригодными для использования по назначению. Их квалификация и сертификация в качестве таковых четко устанавливается и документируется. Всякий раз в качестве первичных стандартных образцов предпочтительно используются фармакопейные стандартные образцы из официально признанных источников при их наличии, если иное не обосновано в полной мере. Использование вторичных стандартных образцов разрешается, только если была продемонстрирована и документирована их прослеживаемость до первичных стандартных образцов. Эти фармакопейные образцы используются в целях, описанных в соответствующих монографиях.</w:t>
            </w:r>
          </w:p>
          <w:p>
            <w:pPr>
              <w:spacing w:after="20"/>
              <w:ind w:left="20"/>
              <w:jc w:val="both"/>
            </w:pPr>
            <w:r>
              <w:rPr>
                <w:rFonts w:ascii="Times New Roman"/>
                <w:b w:val="false"/>
                <w:i w:val="false"/>
                <w:color w:val="000000"/>
                <w:sz w:val="20"/>
              </w:rPr>
              <w:t>
   6.21. Лабораторные реактивы, растворы, стандартные образцы и питательные среды, маркируются с указанием даты приготовления и, где применимо, вскрытия, и подписи исполнителя. На этикетках указываются сроки годности реактивов и питательных сред, а также особые условия хранения. Кроме того, для титрованных растворов указывают дату последнего установления титра и соответствующий последний действующий коэффициент поправки.</w:t>
            </w:r>
          </w:p>
          <w:p>
            <w:pPr>
              <w:spacing w:after="20"/>
              <w:ind w:left="20"/>
              <w:jc w:val="both"/>
            </w:pPr>
            <w:r>
              <w:rPr>
                <w:rFonts w:ascii="Times New Roman"/>
                <w:b w:val="false"/>
                <w:i w:val="false"/>
                <w:color w:val="000000"/>
                <w:sz w:val="20"/>
              </w:rPr>
              <w:t>
   6.22. При необходимости на контейнере указывают дату получения каждого вещества, используемого для проведения испытаний, например, реактивов, растворов и стандартных образцов. Инструкции по их использованию и хранению соблюдаются. В определенных случаях после получения или перед использованием реактивов проводятся их испытания на идентичность и (или) иного испытания.</w:t>
            </w:r>
          </w:p>
          <w:p>
            <w:pPr>
              <w:spacing w:after="20"/>
              <w:ind w:left="20"/>
              <w:jc w:val="both"/>
            </w:pPr>
            <w:r>
              <w:rPr>
                <w:rFonts w:ascii="Times New Roman"/>
                <w:b w:val="false"/>
                <w:i w:val="false"/>
                <w:color w:val="000000"/>
                <w:sz w:val="20"/>
              </w:rPr>
              <w:t xml:space="preserve">
   6.23. Питательные среды приготавливаются в соответствии с требованиями производителя среды, если иное научно не обосновано. Пригодность всех питательных сред проверяется перед их использованием. </w:t>
            </w:r>
          </w:p>
          <w:p>
            <w:pPr>
              <w:spacing w:after="20"/>
              <w:ind w:left="20"/>
              <w:jc w:val="both"/>
            </w:pPr>
            <w:r>
              <w:rPr>
                <w:rFonts w:ascii="Times New Roman"/>
                <w:b w:val="false"/>
                <w:i w:val="false"/>
                <w:color w:val="000000"/>
                <w:sz w:val="20"/>
              </w:rPr>
              <w:t>
   6.24. Использованные микробиологические среды и штаммы подвергаются деконтаминации в соответствии со стандартной процедурой и утилизируются таким образом, чтобы предотвратить перекрестную контаминацию и сохранение остатков. Сроки хранения используемых микробиологических сред устанавливаются, документируются и научно обосновываются.</w:t>
            </w:r>
          </w:p>
          <w:p>
            <w:pPr>
              <w:spacing w:after="20"/>
              <w:ind w:left="20"/>
              <w:jc w:val="both"/>
            </w:pPr>
            <w:r>
              <w:rPr>
                <w:rFonts w:ascii="Times New Roman"/>
                <w:b w:val="false"/>
                <w:i w:val="false"/>
                <w:color w:val="000000"/>
                <w:sz w:val="20"/>
              </w:rPr>
              <w:t>
   6.25 Животных, используемых для контроля компонентов, материалов или продукции, помещают в карантин перед работой с ними. Животных требуется содержать и контролировать таким образом, чтобы обеспечить их пригодность для запланированного использования. Животные идентифицируются, ведутся соответствующие записи, отражающие историю их использования.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 текущего испытания стабильности</w:t>
            </w:r>
          </w:p>
          <w:p>
            <w:pPr>
              <w:spacing w:after="20"/>
              <w:ind w:left="20"/>
              <w:jc w:val="both"/>
            </w:pPr>
            <w:r>
              <w:rPr>
                <w:rFonts w:ascii="Times New Roman"/>
                <w:b w:val="false"/>
                <w:i w:val="false"/>
                <w:color w:val="000000"/>
                <w:sz w:val="20"/>
              </w:rPr>
              <w:t>
   6.26. После начала реализации зарегистрированного лекарственного средства, проводят мониторинг стабильности лекарственного средства согласно действующей на постоянной основе программе, которая позволила бы выявить любую проблему со стабильностью продукции данного состава во вторичной или потребительской упаковке, например, изменения уровней примесей или профиля растворения.</w:t>
            </w:r>
          </w:p>
          <w:p>
            <w:pPr>
              <w:spacing w:after="20"/>
              <w:ind w:left="20"/>
              <w:jc w:val="both"/>
            </w:pPr>
            <w:r>
              <w:rPr>
                <w:rFonts w:ascii="Times New Roman"/>
                <w:b w:val="false"/>
                <w:i w:val="false"/>
                <w:color w:val="000000"/>
                <w:sz w:val="20"/>
              </w:rPr>
              <w:t xml:space="preserve">
   6.27. Целью программы по текущему изучению стабильности является осуществление мониторинга продукта на протяжении всего срока его годности и определение того, что продукт остается и останется в пределах своих спецификаций при хранении в указанных на маркировке условиях. </w:t>
            </w:r>
          </w:p>
          <w:p>
            <w:pPr>
              <w:spacing w:after="20"/>
              <w:ind w:left="20"/>
              <w:jc w:val="both"/>
            </w:pPr>
            <w:r>
              <w:rPr>
                <w:rFonts w:ascii="Times New Roman"/>
                <w:b w:val="false"/>
                <w:i w:val="false"/>
                <w:color w:val="000000"/>
                <w:sz w:val="20"/>
              </w:rPr>
              <w:t>
   6.28. Программа касается лекарственного средства в упаковке, предназначенной для реализации, однако уделяется внимание и нерасфасованной продукции. Например, если нерасфасованную продукцию хранят длительное время перед упаковкой и (или) перед передачей с производственного участка на участок упаковки, оценивается и изучается влияние таких условий на стабильность упакованной продукции. Дополнительно обращается внимание на промежуточную продукцию, которая хранится и используется в течение длительного периода. Исследование стабильности восстановленного продукта или приготовленного перед применением проводят при разработке лекарственного средства; текущий контроль стабильности такой продукции не требуется. Однако, где применимо, проводится контроль стабильности восстановленного продукта.</w:t>
            </w:r>
          </w:p>
          <w:p>
            <w:pPr>
              <w:spacing w:after="20"/>
              <w:ind w:left="20"/>
              <w:jc w:val="both"/>
            </w:pPr>
            <w:r>
              <w:rPr>
                <w:rFonts w:ascii="Times New Roman"/>
                <w:b w:val="false"/>
                <w:i w:val="false"/>
                <w:color w:val="000000"/>
                <w:sz w:val="20"/>
              </w:rPr>
              <w:t xml:space="preserve">
   6.29. Программа текущего испытания стабильности излагается в письменном виде в соответствии с общими правилами, приведенными в главе 4 настоящего стандарта, а результаты официально представлены в виде отчета. оборудование, используемое для программы текущего испытания стабильности (в частности, климатические камеры), проходит квалификацию и обслуживание в соответствии с требованиями главы 3 и квалификации и валидации, приведенной в </w:t>
            </w:r>
            <w:r>
              <w:rPr>
                <w:rFonts w:ascii="Times New Roman"/>
                <w:b w:val="false"/>
                <w:i w:val="false"/>
                <w:color w:val="000000"/>
                <w:sz w:val="20"/>
              </w:rPr>
              <w:t>приложении 15</w:t>
            </w:r>
            <w:r>
              <w:rPr>
                <w:rFonts w:ascii="Times New Roman"/>
                <w:b w:val="false"/>
                <w:i w:val="false"/>
                <w:color w:val="000000"/>
                <w:sz w:val="20"/>
              </w:rPr>
              <w:t xml:space="preserve"> к настоящему стандарту. </w:t>
            </w:r>
          </w:p>
          <w:p>
            <w:pPr>
              <w:spacing w:after="20"/>
              <w:ind w:left="20"/>
              <w:jc w:val="both"/>
            </w:pPr>
            <w:r>
              <w:rPr>
                <w:rFonts w:ascii="Times New Roman"/>
                <w:b w:val="false"/>
                <w:i w:val="false"/>
                <w:color w:val="000000"/>
                <w:sz w:val="20"/>
              </w:rPr>
              <w:t xml:space="preserve">
   6.30. План и (или) протокол текущего испытания стабильности охватывает период до окончания срока годности и содержит следующие данные, но не ограничиваясь ими: </w:t>
            </w:r>
          </w:p>
          <w:p>
            <w:pPr>
              <w:spacing w:after="20"/>
              <w:ind w:left="20"/>
              <w:jc w:val="both"/>
            </w:pPr>
            <w:r>
              <w:rPr>
                <w:rFonts w:ascii="Times New Roman"/>
                <w:b w:val="false"/>
                <w:i w:val="false"/>
                <w:color w:val="000000"/>
                <w:sz w:val="20"/>
              </w:rPr>
              <w:t>
   1) количество серии(й) для различных дозировок и разных размеров серий, если это применимо;</w:t>
            </w:r>
          </w:p>
          <w:p>
            <w:pPr>
              <w:spacing w:after="20"/>
              <w:ind w:left="20"/>
              <w:jc w:val="both"/>
            </w:pPr>
            <w:r>
              <w:rPr>
                <w:rFonts w:ascii="Times New Roman"/>
                <w:b w:val="false"/>
                <w:i w:val="false"/>
                <w:color w:val="000000"/>
                <w:sz w:val="20"/>
              </w:rPr>
              <w:t>
   2) соответствующие физические, химические, микробиологические и биологические методы испытаний;</w:t>
            </w:r>
          </w:p>
          <w:p>
            <w:pPr>
              <w:spacing w:after="20"/>
              <w:ind w:left="20"/>
              <w:jc w:val="both"/>
            </w:pPr>
            <w:r>
              <w:rPr>
                <w:rFonts w:ascii="Times New Roman"/>
                <w:b w:val="false"/>
                <w:i w:val="false"/>
                <w:color w:val="000000"/>
                <w:sz w:val="20"/>
              </w:rPr>
              <w:t>
   3) критерии приемлемости;</w:t>
            </w:r>
          </w:p>
          <w:p>
            <w:pPr>
              <w:spacing w:after="20"/>
              <w:ind w:left="20"/>
              <w:jc w:val="both"/>
            </w:pPr>
            <w:r>
              <w:rPr>
                <w:rFonts w:ascii="Times New Roman"/>
                <w:b w:val="false"/>
                <w:i w:val="false"/>
                <w:color w:val="000000"/>
                <w:sz w:val="20"/>
              </w:rPr>
              <w:t>
   4) ссылки на методики испытаний;</w:t>
            </w:r>
          </w:p>
          <w:p>
            <w:pPr>
              <w:spacing w:after="20"/>
              <w:ind w:left="20"/>
              <w:jc w:val="both"/>
            </w:pPr>
            <w:r>
              <w:rPr>
                <w:rFonts w:ascii="Times New Roman"/>
                <w:b w:val="false"/>
                <w:i w:val="false"/>
                <w:color w:val="000000"/>
                <w:sz w:val="20"/>
              </w:rPr>
              <w:t>
   5) описание системы контейнер/укупорочный элемент;</w:t>
            </w:r>
          </w:p>
          <w:p>
            <w:pPr>
              <w:spacing w:after="20"/>
              <w:ind w:left="20"/>
              <w:jc w:val="both"/>
            </w:pPr>
            <w:r>
              <w:rPr>
                <w:rFonts w:ascii="Times New Roman"/>
                <w:b w:val="false"/>
                <w:i w:val="false"/>
                <w:color w:val="000000"/>
                <w:sz w:val="20"/>
              </w:rPr>
              <w:t>
   6) частоту испытаний или точки контроля во времени;</w:t>
            </w:r>
          </w:p>
          <w:p>
            <w:pPr>
              <w:spacing w:after="20"/>
              <w:ind w:left="20"/>
              <w:jc w:val="both"/>
            </w:pPr>
            <w:r>
              <w:rPr>
                <w:rFonts w:ascii="Times New Roman"/>
                <w:b w:val="false"/>
                <w:i w:val="false"/>
                <w:color w:val="000000"/>
                <w:sz w:val="20"/>
              </w:rPr>
              <w:t>
   7) описание условий хранения;</w:t>
            </w:r>
          </w:p>
          <w:p>
            <w:pPr>
              <w:spacing w:after="20"/>
              <w:ind w:left="20"/>
              <w:jc w:val="both"/>
            </w:pPr>
            <w:r>
              <w:rPr>
                <w:rFonts w:ascii="Times New Roman"/>
                <w:b w:val="false"/>
                <w:i w:val="false"/>
                <w:color w:val="000000"/>
                <w:sz w:val="20"/>
              </w:rPr>
              <w:t>
   8) другие необходимые параметры, специфические для данного лекарственного средства.</w:t>
            </w:r>
          </w:p>
          <w:p>
            <w:pPr>
              <w:spacing w:after="20"/>
              <w:ind w:left="20"/>
              <w:jc w:val="both"/>
            </w:pPr>
            <w:r>
              <w:rPr>
                <w:rFonts w:ascii="Times New Roman"/>
                <w:b w:val="false"/>
                <w:i w:val="false"/>
                <w:color w:val="000000"/>
                <w:sz w:val="20"/>
              </w:rPr>
              <w:t>
   6.31. План и (или) протокол текущего испытания стабильности имеет отличия от плана первоначального долгосрочного испытания стабильности, представленного в регистрационном досье, при условии обоснования и документирования в плане.</w:t>
            </w:r>
          </w:p>
          <w:p>
            <w:pPr>
              <w:spacing w:after="20"/>
              <w:ind w:left="20"/>
              <w:jc w:val="both"/>
            </w:pPr>
            <w:r>
              <w:rPr>
                <w:rFonts w:ascii="Times New Roman"/>
                <w:b w:val="false"/>
                <w:i w:val="false"/>
                <w:color w:val="000000"/>
                <w:sz w:val="20"/>
              </w:rPr>
              <w:t>
   6.32. Количество серий и частота испытаний обеспечивает необходимое количество данных, чтобы иметь возможность провести анализ тенденций. Если не обосновано иное, в программу испытания стабильности ежегодно включают, как минимум, одну серию произведенного лекарственного средства в каждой дозировке и в каждом виде первичной упаковки. Исключением являются случаи, когда в течение года не произведено ни одной серии. Если для текущего испытания стабильности лекарственных средств используют животных и не существует альтернативных валидированных методик, частоту испытаний устанавливают с учетом подхода, связанного с оценкой риска. При условии научного обоснования используются планы с применением брэкетинга и построения матриц.</w:t>
            </w:r>
          </w:p>
          <w:p>
            <w:pPr>
              <w:spacing w:after="20"/>
              <w:ind w:left="20"/>
              <w:jc w:val="both"/>
            </w:pPr>
            <w:r>
              <w:rPr>
                <w:rFonts w:ascii="Times New Roman"/>
                <w:b w:val="false"/>
                <w:i w:val="false"/>
                <w:color w:val="000000"/>
                <w:sz w:val="20"/>
              </w:rPr>
              <w:t>
   6.33. В некоторых случаях в программу текущего испытания стабильности включают дополнительные серии. Например, текущее испытание стабильности осуществляют после любого значительного изменения или значительного отклонения в процессе производства или упаковывания. Для включения в программу принимаются во внимание любые операции по повторному использованию, переработке или регенерации.</w:t>
            </w:r>
          </w:p>
          <w:p>
            <w:pPr>
              <w:spacing w:after="20"/>
              <w:ind w:left="20"/>
              <w:jc w:val="both"/>
            </w:pPr>
            <w:r>
              <w:rPr>
                <w:rFonts w:ascii="Times New Roman"/>
                <w:b w:val="false"/>
                <w:i w:val="false"/>
                <w:color w:val="000000"/>
                <w:sz w:val="20"/>
              </w:rPr>
              <w:t xml:space="preserve">
   6.34. Результаты текущего испытания стабильности являются доступными ключевому персоналу и, в частности, Уполномоченному лицу. Если текущее изучение стабильности проводится на площадке, отличной от производственной площадки, на которой производится нерасфасованный продукт или готовая продукция, то между соответствующими сторонами имеется письменное соглашение. Результаты текущего испытания стабильности предоставляются на площадку производства для их обзора компетентным органом. </w:t>
            </w:r>
          </w:p>
          <w:p>
            <w:pPr>
              <w:spacing w:after="20"/>
              <w:ind w:left="20"/>
              <w:jc w:val="both"/>
            </w:pPr>
            <w:r>
              <w:rPr>
                <w:rFonts w:ascii="Times New Roman"/>
                <w:b w:val="false"/>
                <w:i w:val="false"/>
                <w:color w:val="000000"/>
                <w:sz w:val="20"/>
              </w:rPr>
              <w:t xml:space="preserve">
   6.35. Результаты, выходящие за пределы спецификации, или существенные нетипичные тенденции расследуются. Необходимо рассмотреть возможное влияние на серии, выпущенные на рынок, в соответствии с Главой 8 настоящего Стандарта и проконсультироваться с соответствующими компетентными органами. </w:t>
            </w:r>
          </w:p>
          <w:p>
            <w:pPr>
              <w:spacing w:after="20"/>
              <w:ind w:left="20"/>
              <w:jc w:val="both"/>
            </w:pPr>
            <w:r>
              <w:rPr>
                <w:rFonts w:ascii="Times New Roman"/>
                <w:b w:val="false"/>
                <w:i w:val="false"/>
                <w:color w:val="000000"/>
                <w:sz w:val="20"/>
              </w:rPr>
              <w:t>
   6.36. Заключения по всем полученным данным, в том числе любые промежуточные выводы по программе ведутся в письменном виде. Такие заключения подвергаются периодическому обзору.</w:t>
            </w:r>
          </w:p>
          <w:p>
            <w:pPr>
              <w:spacing w:after="20"/>
              <w:ind w:left="20"/>
              <w:jc w:val="both"/>
            </w:pPr>
            <w:r>
              <w:rPr>
                <w:rFonts w:ascii="Times New Roman"/>
                <w:b w:val="false"/>
                <w:i w:val="false"/>
                <w:color w:val="000000"/>
                <w:sz w:val="20"/>
              </w:rPr>
              <w:t>
</w:t>
            </w:r>
            <w:r>
              <w:rPr>
                <w:rFonts w:ascii="Times New Roman"/>
                <w:b/>
                <w:i w:val="false"/>
                <w:color w:val="000000"/>
                <w:sz w:val="20"/>
              </w:rPr>
              <w:t>Трансфер или передача методик испытаний</w:t>
            </w:r>
          </w:p>
          <w:p>
            <w:pPr>
              <w:spacing w:after="20"/>
              <w:ind w:left="20"/>
              <w:jc w:val="both"/>
            </w:pPr>
            <w:r>
              <w:rPr>
                <w:rFonts w:ascii="Times New Roman"/>
                <w:b w:val="false"/>
                <w:i w:val="false"/>
                <w:color w:val="000000"/>
                <w:sz w:val="20"/>
              </w:rPr>
              <w:t>
   6.37. До трансфера или передачи методики испытаний, передающая сторона убеждается в том, что методика (и) испытаний соответствует описанной в регистрационном досье.</w:t>
            </w:r>
          </w:p>
          <w:p>
            <w:pPr>
              <w:spacing w:after="20"/>
              <w:ind w:left="20"/>
              <w:jc w:val="both"/>
            </w:pPr>
            <w:r>
              <w:rPr>
                <w:rFonts w:ascii="Times New Roman"/>
                <w:b w:val="false"/>
                <w:i w:val="false"/>
                <w:color w:val="000000"/>
                <w:sz w:val="20"/>
              </w:rPr>
              <w:t xml:space="preserve">
   Проводится проверка первоначальной валидации методики испытаний для гарантии соответствия действующим рекомендациям. До начала процесса технического трансфера проводится и документально оформляется анализ расхождений, что требуется для определения необходимости проведения каких-либо дополнительных валидационных работ. </w:t>
            </w:r>
          </w:p>
          <w:p>
            <w:pPr>
              <w:spacing w:after="20"/>
              <w:ind w:left="20"/>
              <w:jc w:val="both"/>
            </w:pPr>
            <w:r>
              <w:rPr>
                <w:rFonts w:ascii="Times New Roman"/>
                <w:b w:val="false"/>
                <w:i w:val="false"/>
                <w:color w:val="000000"/>
                <w:sz w:val="20"/>
              </w:rPr>
              <w:t>
   6.38. Трансфер или передача методик испытаний от одной лаборатории в другую лабораторию описывается в подробном протоколе.</w:t>
            </w:r>
          </w:p>
          <w:p>
            <w:pPr>
              <w:spacing w:after="20"/>
              <w:ind w:left="20"/>
              <w:jc w:val="both"/>
            </w:pPr>
            <w:r>
              <w:rPr>
                <w:rFonts w:ascii="Times New Roman"/>
                <w:b w:val="false"/>
                <w:i w:val="false"/>
                <w:color w:val="000000"/>
                <w:sz w:val="20"/>
              </w:rPr>
              <w:t>
   6.39. Протокол трансфера или передачи включает, но не ограничиваясь этим, следующее:</w:t>
            </w:r>
          </w:p>
          <w:p>
            <w:pPr>
              <w:spacing w:after="20"/>
              <w:ind w:left="20"/>
              <w:jc w:val="both"/>
            </w:pPr>
            <w:r>
              <w:rPr>
                <w:rFonts w:ascii="Times New Roman"/>
                <w:b w:val="false"/>
                <w:i w:val="false"/>
                <w:color w:val="000000"/>
                <w:sz w:val="20"/>
              </w:rPr>
              <w:t>
   1) идентификацию испытаний, которые выполнены, и соответствующие методики испытаний, подлежащих передаче;</w:t>
            </w:r>
          </w:p>
          <w:p>
            <w:pPr>
              <w:spacing w:after="20"/>
              <w:ind w:left="20"/>
              <w:jc w:val="both"/>
            </w:pPr>
            <w:r>
              <w:rPr>
                <w:rFonts w:ascii="Times New Roman"/>
                <w:b w:val="false"/>
                <w:i w:val="false"/>
                <w:color w:val="000000"/>
                <w:sz w:val="20"/>
              </w:rPr>
              <w:t>
   2) идентификацию дополнительных требований к обучению;</w:t>
            </w:r>
          </w:p>
          <w:p>
            <w:pPr>
              <w:spacing w:after="20"/>
              <w:ind w:left="20"/>
              <w:jc w:val="both"/>
            </w:pPr>
            <w:r>
              <w:rPr>
                <w:rFonts w:ascii="Times New Roman"/>
                <w:b w:val="false"/>
                <w:i w:val="false"/>
                <w:color w:val="000000"/>
                <w:sz w:val="20"/>
              </w:rPr>
              <w:t>
   3) идентификацию стандартов и образцов для испытаний;</w:t>
            </w:r>
          </w:p>
          <w:p>
            <w:pPr>
              <w:spacing w:after="20"/>
              <w:ind w:left="20"/>
              <w:jc w:val="both"/>
            </w:pPr>
            <w:r>
              <w:rPr>
                <w:rFonts w:ascii="Times New Roman"/>
                <w:b w:val="false"/>
                <w:i w:val="false"/>
                <w:color w:val="000000"/>
                <w:sz w:val="20"/>
              </w:rPr>
              <w:t>
   4) идентификацию любых специальных условий транспортировки и хранения образцов для испытаний;</w:t>
            </w:r>
          </w:p>
          <w:p>
            <w:pPr>
              <w:spacing w:after="20"/>
              <w:ind w:left="20"/>
              <w:jc w:val="both"/>
            </w:pPr>
            <w:r>
              <w:rPr>
                <w:rFonts w:ascii="Times New Roman"/>
                <w:b w:val="false"/>
                <w:i w:val="false"/>
                <w:color w:val="000000"/>
                <w:sz w:val="20"/>
              </w:rPr>
              <w:t>
   5) критерии приемлемости, которые основываются на текущих валидационных исследованиях методологии.</w:t>
            </w:r>
          </w:p>
          <w:p>
            <w:pPr>
              <w:spacing w:after="20"/>
              <w:ind w:left="20"/>
              <w:jc w:val="both"/>
            </w:pPr>
            <w:r>
              <w:rPr>
                <w:rFonts w:ascii="Times New Roman"/>
                <w:b w:val="false"/>
                <w:i w:val="false"/>
                <w:color w:val="000000"/>
                <w:sz w:val="20"/>
              </w:rPr>
              <w:t>
   6.40. Отклонения от протокола расследуются до завершения процесса трансфера или передачи. Отчет о трансфере или передаче содержит сравнительный результат процесса и определяет области, требующие дальнейшей ревалидации методик испытаний, если применимо.</w:t>
            </w:r>
          </w:p>
          <w:p>
            <w:pPr>
              <w:spacing w:after="20"/>
              <w:ind w:left="20"/>
              <w:jc w:val="both"/>
            </w:pPr>
            <w:r>
              <w:rPr>
                <w:rFonts w:ascii="Times New Roman"/>
                <w:b w:val="false"/>
                <w:i w:val="false"/>
                <w:color w:val="000000"/>
                <w:sz w:val="20"/>
              </w:rPr>
              <w:t>
   6.41. Если применимо, рассматриваются особые требования, описанные в других европейских Руководствах и касающиеся трансфера конкретных аналитических методик.</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Деятельность, передаваемая для выполнения </w:t>
            </w:r>
          </w:p>
          <w:p>
            <w:pPr>
              <w:spacing w:after="20"/>
              <w:ind w:left="20"/>
              <w:jc w:val="both"/>
            </w:pPr>
            <w:r>
              <w:rPr>
                <w:rFonts w:ascii="Times New Roman"/>
                <w:b w:val="false"/>
                <w:i w:val="false"/>
                <w:color w:val="000000"/>
                <w:sz w:val="20"/>
              </w:rPr>
              <w:t>
</w:t>
            </w:r>
            <w:r>
              <w:rPr>
                <w:rFonts w:ascii="Times New Roman"/>
                <w:b/>
                <w:i w:val="false"/>
                <w:color w:val="000000"/>
                <w:sz w:val="20"/>
              </w:rPr>
              <w:t>другой организации или аутсорсинг</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Любая деятельность, на которую распространяется настоящий Стандарт и которая передана другой организации на аутсорсинг, надлежащим образом определяется, согласовывается и контролируется во избежание разночтений, способных привести к неудовлетворительному качеству продукции или выполняемых работ. Контракт между заказчиком и исполнителем оформляется в письменном виде с указанием четко определенных обязанностей каждой из сторон. Система управления качеством заказчика точно устанавливает, каким образом Уполномоченное лицо, подтверждающее выпуск каждой серии продукции, выполняет свои обязанности в полной мере.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требования</w:t>
            </w:r>
          </w:p>
          <w:p>
            <w:pPr>
              <w:spacing w:after="20"/>
              <w:ind w:left="20"/>
              <w:jc w:val="both"/>
            </w:pPr>
            <w:r>
              <w:rPr>
                <w:rFonts w:ascii="Times New Roman"/>
                <w:b w:val="false"/>
                <w:i w:val="false"/>
                <w:color w:val="000000"/>
                <w:sz w:val="20"/>
              </w:rPr>
              <w:t>
   7.1. Деятельность, передаваемая на аутсорсинг, оформляется письменным контрактом, в котором указаны продукция, работы или услуги, с которыми связана деятельность, передаваемая на аутсорсинг, и все связанные с такой деятельностью технические мероприятия.</w:t>
            </w:r>
          </w:p>
          <w:p>
            <w:pPr>
              <w:spacing w:after="20"/>
              <w:ind w:left="20"/>
              <w:jc w:val="both"/>
            </w:pPr>
            <w:r>
              <w:rPr>
                <w:rFonts w:ascii="Times New Roman"/>
                <w:b w:val="false"/>
                <w:i w:val="false"/>
                <w:color w:val="000000"/>
                <w:sz w:val="20"/>
              </w:rPr>
              <w:t>
   7.2. Все мероприятия, проводимые в рамках деятельности, передаваемой на аутсорсинг, включая любые предложенные изменения технических или иных мероприятий, отвечают действующему законодательству и регистрационному досье на соответствующую продукцию, где это применимо.</w:t>
            </w:r>
          </w:p>
          <w:p>
            <w:pPr>
              <w:spacing w:after="20"/>
              <w:ind w:left="20"/>
              <w:jc w:val="both"/>
            </w:pPr>
            <w:r>
              <w:rPr>
                <w:rFonts w:ascii="Times New Roman"/>
                <w:b w:val="false"/>
                <w:i w:val="false"/>
                <w:color w:val="000000"/>
                <w:sz w:val="20"/>
              </w:rPr>
              <w:t xml:space="preserve">
   7.3. Если держатель регистрационного удостоверения и производитель не являются одной организацией, проводятся соответствующие мероприятия, учитывающие принципы, приведенные в настоящей главе.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p>
            <w:pPr>
              <w:spacing w:after="20"/>
              <w:ind w:left="20"/>
              <w:jc w:val="both"/>
            </w:pPr>
            <w:r>
              <w:rPr>
                <w:rFonts w:ascii="Times New Roman"/>
                <w:b w:val="false"/>
                <w:i w:val="false"/>
                <w:color w:val="000000"/>
                <w:sz w:val="20"/>
              </w:rPr>
              <w:t>
   7.4. Фармацевтическая система качества заказчика включает в себя контроль и проверку любой деятельности, переданной на аутсорсинг. Заказчик гарантирует наличие процедур, обеспечивающих контроль деятельности, переданной на аутсорсинг. Эти процедуры включают принципы управления рисками для качества и учитывают нижеприведенные положения.</w:t>
            </w:r>
          </w:p>
          <w:p>
            <w:pPr>
              <w:spacing w:after="20"/>
              <w:ind w:left="20"/>
              <w:jc w:val="both"/>
            </w:pPr>
            <w:r>
              <w:rPr>
                <w:rFonts w:ascii="Times New Roman"/>
                <w:b w:val="false"/>
                <w:i w:val="false"/>
                <w:color w:val="000000"/>
                <w:sz w:val="20"/>
              </w:rPr>
              <w:t>
   7.5. До передачи деятельности на аутсорсинг заказчик убеждается в правомочности, пригодности и компетентности исполнителя в отношении успешного выполнения соответствующих работ. Заказчик также отвечает за включение в контракт положений, обеспечивающих выполнение требований настоящего Стандарта.</w:t>
            </w:r>
          </w:p>
          <w:p>
            <w:pPr>
              <w:spacing w:after="20"/>
              <w:ind w:left="20"/>
              <w:jc w:val="both"/>
            </w:pPr>
            <w:r>
              <w:rPr>
                <w:rFonts w:ascii="Times New Roman"/>
                <w:b w:val="false"/>
                <w:i w:val="false"/>
                <w:color w:val="000000"/>
                <w:sz w:val="20"/>
              </w:rPr>
              <w:t xml:space="preserve">
   7.6. Заказчик предоставляет исполнителю всю информацию и сведения, необходимые для правильного выполнения предусмотренных в контракте работ согласно соответствующему регистрационному досье на лекарственный препарат. Заказчик гарантирует, что исполнитель полностью осведомлен обо всех связанных с продукцией или работой проблемах, которые представляют опасность для его помещений, оборудования, персонала, других материалов или другой продукции. </w:t>
            </w:r>
          </w:p>
          <w:p>
            <w:pPr>
              <w:spacing w:after="20"/>
              <w:ind w:left="20"/>
              <w:jc w:val="both"/>
            </w:pPr>
            <w:r>
              <w:rPr>
                <w:rFonts w:ascii="Times New Roman"/>
                <w:b w:val="false"/>
                <w:i w:val="false"/>
                <w:color w:val="000000"/>
                <w:sz w:val="20"/>
              </w:rPr>
              <w:t>
   7.7. Заказчик контролирует и проверяет действия исполнителя, а также внедрение исполнителем любого необходимого улучшения.</w:t>
            </w:r>
          </w:p>
          <w:p>
            <w:pPr>
              <w:spacing w:after="20"/>
              <w:ind w:left="20"/>
              <w:jc w:val="both"/>
            </w:pPr>
            <w:r>
              <w:rPr>
                <w:rFonts w:ascii="Times New Roman"/>
                <w:b w:val="false"/>
                <w:i w:val="false"/>
                <w:color w:val="000000"/>
                <w:sz w:val="20"/>
              </w:rPr>
              <w:t>
   7.8. Заказчик является ответственным за проверку и оценку записей и результатов, связанных с деятельностью, переданной на аутсорсинг. Заказчик убеждается самостоятельно или на основании подтверждения Уполномоченного лица исполнителя, что вся продукция и материалы, поставленные ему исполнителем, были произведены в соответствии с настоящим Стандартом и регистрационным досье.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Исполнитель</w:t>
            </w:r>
          </w:p>
          <w:p>
            <w:pPr>
              <w:spacing w:after="20"/>
              <w:ind w:left="20"/>
              <w:jc w:val="both"/>
            </w:pPr>
            <w:r>
              <w:rPr>
                <w:rFonts w:ascii="Times New Roman"/>
                <w:b w:val="false"/>
                <w:i w:val="false"/>
                <w:color w:val="000000"/>
                <w:sz w:val="20"/>
              </w:rPr>
              <w:t xml:space="preserve">
   7.9. Исполнитель имеет соответствующие помещения, оборудование, необходимые знания, опыт и компетентный персонал для надлежащего выполнения работ, порученных ему заказчиком. </w:t>
            </w:r>
          </w:p>
          <w:p>
            <w:pPr>
              <w:spacing w:after="20"/>
              <w:ind w:left="20"/>
              <w:jc w:val="both"/>
            </w:pPr>
            <w:r>
              <w:rPr>
                <w:rFonts w:ascii="Times New Roman"/>
                <w:b w:val="false"/>
                <w:i w:val="false"/>
                <w:color w:val="000000"/>
                <w:sz w:val="20"/>
              </w:rPr>
              <w:t xml:space="preserve">
   7.10. Исполнитель удостоверяется, что вся предоставленная ему продукция, исходные материалы и сведения пригодны для использования по назначению. </w:t>
            </w:r>
          </w:p>
          <w:p>
            <w:pPr>
              <w:spacing w:after="20"/>
              <w:ind w:left="20"/>
              <w:jc w:val="both"/>
            </w:pPr>
            <w:r>
              <w:rPr>
                <w:rFonts w:ascii="Times New Roman"/>
                <w:b w:val="false"/>
                <w:i w:val="false"/>
                <w:color w:val="000000"/>
                <w:sz w:val="20"/>
              </w:rPr>
              <w:t xml:space="preserve">
   7.11. Исполнитель не передает третьей стороне работы или услуги, порученные ему по контракту, без предварительного рассмотрения и согласования с заказчиком. При заключении соглашения между исполнителем и третьей стороной обеспечивается гарантия того, что информация, включая сведения об оценке соответствия третьей стороны, предоставляется таким же образом, как между первоначальными заказчиком и исполнителем. </w:t>
            </w:r>
          </w:p>
          <w:p>
            <w:pPr>
              <w:spacing w:after="20"/>
              <w:ind w:left="20"/>
              <w:jc w:val="both"/>
            </w:pPr>
            <w:r>
              <w:rPr>
                <w:rFonts w:ascii="Times New Roman"/>
                <w:b w:val="false"/>
                <w:i w:val="false"/>
                <w:color w:val="000000"/>
                <w:sz w:val="20"/>
              </w:rPr>
              <w:t xml:space="preserve">
   7.12. Исполнитель не производит несанкционированные изменения, выходящие за рамки контракта, поскольку это неблагоприятно влияет на качество работ, проводимых для заказчика. </w:t>
            </w:r>
          </w:p>
          <w:p>
            <w:pPr>
              <w:spacing w:after="20"/>
              <w:ind w:left="20"/>
              <w:jc w:val="both"/>
            </w:pPr>
            <w:r>
              <w:rPr>
                <w:rFonts w:ascii="Times New Roman"/>
                <w:b w:val="false"/>
                <w:i w:val="false"/>
                <w:color w:val="000000"/>
                <w:sz w:val="20"/>
              </w:rPr>
              <w:t>
   7.13. Исполнитель понимает, что работы, передаваемые на аутсорсинг, включая проведение анализа по контракту, подлежат проверке уполномоченными органами.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Контракт</w:t>
            </w:r>
          </w:p>
          <w:p>
            <w:pPr>
              <w:spacing w:after="20"/>
              <w:ind w:left="20"/>
              <w:jc w:val="both"/>
            </w:pPr>
            <w:r>
              <w:rPr>
                <w:rFonts w:ascii="Times New Roman"/>
                <w:b w:val="false"/>
                <w:i w:val="false"/>
                <w:color w:val="000000"/>
                <w:sz w:val="20"/>
              </w:rPr>
              <w:t>
   7.14. Между заказчиком и исполнителем составляется контракт, в котором определяют их взаимные обязательства и процедуры передачи информации, связанные с деятельностью, передаваемой на аутсорсинг. Технические аспекты контракта составляются компетентными лицами, имеющими соответствующие знания, связанные с деятельностью, передаваемой на аутсорсинг, и настоящим Стандартом. Все соглашения о деятельности, передаваемой на аутсорсинг, соответствуют действующему законодательству, регистрационному досье на лекарственный препарат и согласовываются обеими сторонами.</w:t>
            </w:r>
          </w:p>
          <w:p>
            <w:pPr>
              <w:spacing w:after="20"/>
              <w:ind w:left="20"/>
              <w:jc w:val="both"/>
            </w:pPr>
            <w:r>
              <w:rPr>
                <w:rFonts w:ascii="Times New Roman"/>
                <w:b w:val="false"/>
                <w:i w:val="false"/>
                <w:color w:val="000000"/>
                <w:sz w:val="20"/>
              </w:rPr>
              <w:t>
   7.15. В контракте четко указывается, кто отвечает за каждый этап деятельности, передаваемой на аутсорсинг, например: управление знаниями, перенос технологии, обеспечение цепи поставок, заключение договора с третьей стороной, закупку исходного сырья, материалов и их качество, проведение испытаний и выдачу разрешения на использование исходных и упаковочных материалов, проведение производства и контроля качества, включая контроль в процессе производства, отбор образцов и их анализ.</w:t>
            </w:r>
          </w:p>
          <w:p>
            <w:pPr>
              <w:spacing w:after="20"/>
              <w:ind w:left="20"/>
              <w:jc w:val="both"/>
            </w:pPr>
            <w:r>
              <w:rPr>
                <w:rFonts w:ascii="Times New Roman"/>
                <w:b w:val="false"/>
                <w:i w:val="false"/>
                <w:color w:val="000000"/>
                <w:sz w:val="20"/>
              </w:rPr>
              <w:t xml:space="preserve">
   7.16. Все записи, связанные с деятельностью, передаваемой на аутсорсинг, например, записи производства, анализа и реализации продукции, а также соответствующие контрольные образцы хранятся у заказчика или обеспечивается их доступность. Любые записи, относящиеся к оценке качества продукции, в случае предъявления претензий, предполагаемого несоответствия требованиям или при расследовании в случае предположения о фальсификации продукции доступны заказчику и точно определены в его соответствующих процедурах. </w:t>
            </w:r>
          </w:p>
          <w:p>
            <w:pPr>
              <w:spacing w:after="20"/>
              <w:ind w:left="20"/>
              <w:jc w:val="both"/>
            </w:pPr>
            <w:r>
              <w:rPr>
                <w:rFonts w:ascii="Times New Roman"/>
                <w:b w:val="false"/>
                <w:i w:val="false"/>
                <w:color w:val="000000"/>
                <w:sz w:val="20"/>
              </w:rPr>
              <w:t>
   7.17. В контракте предусматривется право заказчика на аудит передаваемой на аутсорсинг деятельности, которая выполняется исполнителем или взаимно согласованной третьей стороной.</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Претензии, дефекты качества и отзывы продукции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xml:space="preserve">
   В целях защиты здоровья людей создаются и действуют системы и соответствующие процедуры по регистрации, оценке, расследованию и рассмотрению претензий, в том числе потенциальных дефектов качества, и при необходимости по эффективному и оперативному отзыву из сети распределения лекарственных средств для человека. Принципы управления рисками для качества применяются при расследовании и оценке дефектов качества, а также в процессе принятия решений в отношении отзыва продукции, корректирующих и предупреждающих действий и других мер по снижению риска. Руководство в отношении этих принципов содержится в главе 1 настоящего Стандарта. </w:t>
            </w:r>
          </w:p>
          <w:p>
            <w:pPr>
              <w:spacing w:after="20"/>
              <w:ind w:left="20"/>
              <w:jc w:val="both"/>
            </w:pPr>
            <w:r>
              <w:rPr>
                <w:rFonts w:ascii="Times New Roman"/>
                <w:b w:val="false"/>
                <w:i w:val="false"/>
                <w:color w:val="000000"/>
                <w:sz w:val="20"/>
              </w:rPr>
              <w:t xml:space="preserve">
   Все заинтересованные компетентные органы своевременно информируются в случае подтвержденного дефекта качества лекарственного средства или исследуемого лекарственного средства: производственного дефекта, порчи продукции, выявления фальсификации, несоответствия регистрационному досье или файлу спецификаций продукта или любых других серьезных проблем с качеством, который может привести к отзыву продукции или необычному сокращению поставок. В ситуациях, когда продукт на рынке признается не соответствующим регистрационному досье, не требуется уведомлять заинтересованные компетентные органы при условии, что степень несоответствия удовлетворяет ограничениям, указанным в подтверждении Уполномоченным лицом соответствия серии продукции с целью ее выпуска, приведенном в </w:t>
            </w:r>
            <w:r>
              <w:rPr>
                <w:rFonts w:ascii="Times New Roman"/>
                <w:b w:val="false"/>
                <w:i w:val="false"/>
                <w:color w:val="000000"/>
                <w:sz w:val="20"/>
              </w:rPr>
              <w:t>Приложении 16</w:t>
            </w:r>
            <w:r>
              <w:rPr>
                <w:rFonts w:ascii="Times New Roman"/>
                <w:b w:val="false"/>
                <w:i w:val="false"/>
                <w:color w:val="000000"/>
                <w:sz w:val="20"/>
              </w:rPr>
              <w:t xml:space="preserve"> к настоящему Стандарту, в отношении обращения с незапланированными отклонениями. </w:t>
            </w:r>
          </w:p>
          <w:p>
            <w:pPr>
              <w:spacing w:after="20"/>
              <w:ind w:left="20"/>
              <w:jc w:val="both"/>
            </w:pPr>
            <w:r>
              <w:rPr>
                <w:rFonts w:ascii="Times New Roman"/>
                <w:b w:val="false"/>
                <w:i w:val="false"/>
                <w:color w:val="000000"/>
                <w:sz w:val="20"/>
              </w:rPr>
              <w:t>
   В случае аутсорсинговой деятельности в договоре описываются роли и обязанности производителя, владельца регистрационного досье и (или) спонсора и любых других соответствующих третьих сторон в отношении оценки, принятия решений и распространения информации и реализации действий по снижению потенциальной опасности, связанной с дефектной продукцией. Руководство в отношении аутсорсинговой деятельности приведено в главе 7 настоящего Стандарта. Такие договоры содержат контактные данные ответственных лиц каждой стороны для осуществления связи с целью управления дефектами качества и вопросами, связанными с отзывом.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 и организация</w:t>
            </w:r>
          </w:p>
          <w:p>
            <w:pPr>
              <w:spacing w:after="20"/>
              <w:ind w:left="20"/>
              <w:jc w:val="both"/>
            </w:pPr>
            <w:r>
              <w:rPr>
                <w:rFonts w:ascii="Times New Roman"/>
                <w:b w:val="false"/>
                <w:i w:val="false"/>
                <w:color w:val="000000"/>
                <w:sz w:val="20"/>
              </w:rPr>
              <w:t xml:space="preserve">
   8.1. Ответственность за управление расследованием претензий и дефектов качества, принятие решений в отношении мер, которые предпринимаются для управления любым потенциальным риском(ами), которые создают эти проблемы, включая отзывы, несет соответственно обученный и опытный персонал. Эти лица независимы от служб сбыта и маркетинга организации, если иное не обосновано. Если одним из этих лиц не является Уполномоченное лицо, участвующее в сертификации для выпуска соответствующей серии или серий, последнее своевременно официально проинформировано о любых расследованиях, действиях по снижению риска и любых операциях по отзыву. </w:t>
            </w:r>
          </w:p>
          <w:p>
            <w:pPr>
              <w:spacing w:after="20"/>
              <w:ind w:left="20"/>
              <w:jc w:val="both"/>
            </w:pPr>
            <w:r>
              <w:rPr>
                <w:rFonts w:ascii="Times New Roman"/>
                <w:b w:val="false"/>
                <w:i w:val="false"/>
                <w:color w:val="000000"/>
                <w:sz w:val="20"/>
              </w:rPr>
              <w:t xml:space="preserve">
   8.2. Имеется достаточное количество обученного персонала и ресурсов для обработки, оценки, расследования и рассмотрения претензий и дефектов качества и для реализации любых действий по снижению риска. Имеется достаточное количество обученного персонала и ресурсов для управления взаимодействием с компетентными органами. </w:t>
            </w:r>
          </w:p>
          <w:p>
            <w:pPr>
              <w:spacing w:after="20"/>
              <w:ind w:left="20"/>
              <w:jc w:val="both"/>
            </w:pPr>
            <w:r>
              <w:rPr>
                <w:rFonts w:ascii="Times New Roman"/>
                <w:b w:val="false"/>
                <w:i w:val="false"/>
                <w:color w:val="000000"/>
                <w:sz w:val="20"/>
              </w:rPr>
              <w:t>
   8.3. Предусматривается использование специалистов различных подразделений организации, включая надлежащим образом обученный персонал по управлению качеством.</w:t>
            </w:r>
          </w:p>
          <w:p>
            <w:pPr>
              <w:spacing w:after="20"/>
              <w:ind w:left="20"/>
              <w:jc w:val="both"/>
            </w:pPr>
            <w:r>
              <w:rPr>
                <w:rFonts w:ascii="Times New Roman"/>
                <w:b w:val="false"/>
                <w:i w:val="false"/>
                <w:color w:val="000000"/>
                <w:sz w:val="20"/>
              </w:rPr>
              <w:t xml:space="preserve">
   8.4. В ситуациях, когда работа с претензиями и дефектами качества в организации управляется централизованно, распределение ролей и обязанностей заинтересованных сторон документируется. При этом централизованное управление не задерживает процесс расследования претензий и дефектов качества и управлении ими.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Процедуры обработки и расследования претензий, включая возможные дефекты качества</w:t>
            </w:r>
          </w:p>
          <w:p>
            <w:pPr>
              <w:spacing w:after="20"/>
              <w:ind w:left="20"/>
              <w:jc w:val="both"/>
            </w:pPr>
            <w:r>
              <w:rPr>
                <w:rFonts w:ascii="Times New Roman"/>
                <w:b w:val="false"/>
                <w:i w:val="false"/>
                <w:color w:val="000000"/>
                <w:sz w:val="20"/>
              </w:rPr>
              <w:t xml:space="preserve">
   8.5. Обеспечивается наличие письменных процедур, описывающих действия, которые принимаются при получении претензии. Все претензии документируются и оцениваются, чтобы установить, представляют ли они собой потенциальный дефект качества или другую проблему. </w:t>
            </w:r>
          </w:p>
          <w:p>
            <w:pPr>
              <w:spacing w:after="20"/>
              <w:ind w:left="20"/>
              <w:jc w:val="both"/>
            </w:pPr>
            <w:r>
              <w:rPr>
                <w:rFonts w:ascii="Times New Roman"/>
                <w:b w:val="false"/>
                <w:i w:val="false"/>
                <w:color w:val="000000"/>
                <w:sz w:val="20"/>
              </w:rPr>
              <w:t xml:space="preserve">
   8.6. Особое внимание уделяется установлению того, относится ли претензия или подозреваемый дефект качества к фальсификации. </w:t>
            </w:r>
          </w:p>
          <w:p>
            <w:pPr>
              <w:spacing w:after="20"/>
              <w:ind w:left="20"/>
              <w:jc w:val="both"/>
            </w:pPr>
            <w:r>
              <w:rPr>
                <w:rFonts w:ascii="Times New Roman"/>
                <w:b w:val="false"/>
                <w:i w:val="false"/>
                <w:color w:val="000000"/>
                <w:sz w:val="20"/>
              </w:rPr>
              <w:t xml:space="preserve">
   8.7. Поскольку не все претензии, полученные компанией, представляют фактические дефекты качества, претензии, которые не свидетельствуют о потенциальном дефекте качества надлежащим образом документируются и доводятся до сведения соответствующей службы или лица, ответственных за расследование и управление претензиями подобного рода. </w:t>
            </w:r>
          </w:p>
          <w:p>
            <w:pPr>
              <w:spacing w:after="20"/>
              <w:ind w:left="20"/>
              <w:jc w:val="both"/>
            </w:pPr>
            <w:r>
              <w:rPr>
                <w:rFonts w:ascii="Times New Roman"/>
                <w:b w:val="false"/>
                <w:i w:val="false"/>
                <w:color w:val="000000"/>
                <w:sz w:val="20"/>
              </w:rPr>
              <w:t xml:space="preserve">
   8.8. В наличии имеются процедуры, чтобы облегчить запросы о расследовании качества серии лекарственного средства в целях поддержки расследования сообщений о подозреваемых побочных реакциях. </w:t>
            </w:r>
          </w:p>
          <w:p>
            <w:pPr>
              <w:spacing w:after="20"/>
              <w:ind w:left="20"/>
              <w:jc w:val="both"/>
            </w:pPr>
            <w:r>
              <w:rPr>
                <w:rFonts w:ascii="Times New Roman"/>
                <w:b w:val="false"/>
                <w:i w:val="false"/>
                <w:color w:val="000000"/>
                <w:sz w:val="20"/>
              </w:rPr>
              <w:t xml:space="preserve">
   8.9. Если инициируется расследование дефекта качества, в наличии имеются процедуры, предусматривающие, по крайней мере, следующее: </w:t>
            </w:r>
          </w:p>
          <w:p>
            <w:pPr>
              <w:spacing w:after="20"/>
              <w:ind w:left="20"/>
              <w:jc w:val="both"/>
            </w:pPr>
            <w:r>
              <w:rPr>
                <w:rFonts w:ascii="Times New Roman"/>
                <w:b w:val="false"/>
                <w:i w:val="false"/>
                <w:color w:val="000000"/>
                <w:sz w:val="20"/>
              </w:rPr>
              <w:t xml:space="preserve">
   1) описание сообщенного дефекта качества; </w:t>
            </w:r>
          </w:p>
          <w:p>
            <w:pPr>
              <w:spacing w:after="20"/>
              <w:ind w:left="20"/>
              <w:jc w:val="both"/>
            </w:pPr>
            <w:r>
              <w:rPr>
                <w:rFonts w:ascii="Times New Roman"/>
                <w:b w:val="false"/>
                <w:i w:val="false"/>
                <w:color w:val="000000"/>
                <w:sz w:val="20"/>
              </w:rPr>
              <w:t xml:space="preserve">
   2) определение значимости дефекта качества. В рамках этого следует предусматривать проверку или испытания арбитражных и (или) архивных образцов, и в некоторых случаях выполняется обзор записей производства серии, записей о сертификации серии и записей о распределении серии, особенно для чувствительной к температуре продукции; </w:t>
            </w:r>
          </w:p>
          <w:p>
            <w:pPr>
              <w:spacing w:after="20"/>
              <w:ind w:left="20"/>
              <w:jc w:val="both"/>
            </w:pPr>
            <w:r>
              <w:rPr>
                <w:rFonts w:ascii="Times New Roman"/>
                <w:b w:val="false"/>
                <w:i w:val="false"/>
                <w:color w:val="000000"/>
                <w:sz w:val="20"/>
              </w:rPr>
              <w:t xml:space="preserve">
   3) необходимость запросить образец или возвратить всю дефектную продукцию от заявителя и, если образец получен, необходимость выполнения соответствующей оценки; </w:t>
            </w:r>
          </w:p>
          <w:p>
            <w:pPr>
              <w:spacing w:after="20"/>
              <w:ind w:left="20"/>
              <w:jc w:val="both"/>
            </w:pPr>
            <w:r>
              <w:rPr>
                <w:rFonts w:ascii="Times New Roman"/>
                <w:b w:val="false"/>
                <w:i w:val="false"/>
                <w:color w:val="000000"/>
                <w:sz w:val="20"/>
              </w:rPr>
              <w:t xml:space="preserve">
   4) оценка риска(ов), который представляет дефект качества, в зависимости от серьезности и значимости дефекта качества; </w:t>
            </w:r>
          </w:p>
          <w:p>
            <w:pPr>
              <w:spacing w:after="20"/>
              <w:ind w:left="20"/>
              <w:jc w:val="both"/>
            </w:pPr>
            <w:r>
              <w:rPr>
                <w:rFonts w:ascii="Times New Roman"/>
                <w:b w:val="false"/>
                <w:i w:val="false"/>
                <w:color w:val="000000"/>
                <w:sz w:val="20"/>
              </w:rPr>
              <w:t xml:space="preserve">
   5) процесс принятия решений в отношении потенциальной необходимости мер по снижению риска, которые необходимо принять в сети распределения, таких как отзыв серии или продукта или другие действия. </w:t>
            </w:r>
          </w:p>
          <w:p>
            <w:pPr>
              <w:spacing w:after="20"/>
              <w:ind w:left="20"/>
              <w:jc w:val="both"/>
            </w:pPr>
            <w:r>
              <w:rPr>
                <w:rFonts w:ascii="Times New Roman"/>
                <w:b w:val="false"/>
                <w:i w:val="false"/>
                <w:color w:val="000000"/>
                <w:sz w:val="20"/>
              </w:rPr>
              <w:t>
   6) оценка влияния, которое оказывает любое действие по отзыву на доступность лекарственного средства для пациентовили животных на любом затронутом рынке, а также необходимость уведомить соответствующие органы о таком влиянии.</w:t>
            </w:r>
          </w:p>
          <w:p>
            <w:pPr>
              <w:spacing w:after="20"/>
              <w:ind w:left="20"/>
              <w:jc w:val="both"/>
            </w:pPr>
            <w:r>
              <w:rPr>
                <w:rFonts w:ascii="Times New Roman"/>
                <w:b w:val="false"/>
                <w:i w:val="false"/>
                <w:color w:val="000000"/>
                <w:sz w:val="20"/>
              </w:rPr>
              <w:t>
   7) внутренний и внешний обмен информацией, который осуществляется в отношении дефекта качества и его расследования.</w:t>
            </w:r>
          </w:p>
          <w:p>
            <w:pPr>
              <w:spacing w:after="20"/>
              <w:ind w:left="20"/>
              <w:jc w:val="both"/>
            </w:pPr>
            <w:r>
              <w:rPr>
                <w:rFonts w:ascii="Times New Roman"/>
                <w:b w:val="false"/>
                <w:i w:val="false"/>
                <w:color w:val="000000"/>
                <w:sz w:val="20"/>
              </w:rPr>
              <w:t>
   8) идентификация потенциальной первопричины или причин дефекта качества.</w:t>
            </w:r>
          </w:p>
          <w:p>
            <w:pPr>
              <w:spacing w:after="20"/>
              <w:ind w:left="20"/>
              <w:jc w:val="both"/>
            </w:pPr>
            <w:r>
              <w:rPr>
                <w:rFonts w:ascii="Times New Roman"/>
                <w:b w:val="false"/>
                <w:i w:val="false"/>
                <w:color w:val="000000"/>
                <w:sz w:val="20"/>
              </w:rPr>
              <w:t xml:space="preserve">
   9) необходимость в определении и осуществлении соответствующих корректирующих и предупреждающих действий, касающихся проблемы, а также в оценке их результативности.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Расследование и принятие решений</w:t>
            </w:r>
          </w:p>
          <w:p>
            <w:pPr>
              <w:spacing w:after="20"/>
              <w:ind w:left="20"/>
              <w:jc w:val="both"/>
            </w:pPr>
            <w:r>
              <w:rPr>
                <w:rFonts w:ascii="Times New Roman"/>
                <w:b w:val="false"/>
                <w:i w:val="false"/>
                <w:color w:val="000000"/>
                <w:sz w:val="20"/>
              </w:rPr>
              <w:t>
   8.10. Информация, свидетельствующая о возможных дефектах качества, регистрируется со всеми исходными подробностями. Обоснованность и значимость всех зарегистрированных дефектов качества документируется и оценивается в соответствии с принципами управления рисками для качества, с целью обоснования решений, принятых в отношении объема проводимого расследования и предпринимаемых действий.</w:t>
            </w:r>
          </w:p>
          <w:p>
            <w:pPr>
              <w:spacing w:after="20"/>
              <w:ind w:left="20"/>
              <w:jc w:val="both"/>
            </w:pPr>
            <w:r>
              <w:rPr>
                <w:rFonts w:ascii="Times New Roman"/>
                <w:b w:val="false"/>
                <w:i w:val="false"/>
                <w:color w:val="000000"/>
                <w:sz w:val="20"/>
              </w:rPr>
              <w:t>
   8.11. Если дефект качества обнаружен или подозревается в какой-то одной серии, уделяется внимание проверке других серий и в некоторых случаях других продуктов, для того, чтобы определить не оказались ли они также затронуты. В частности, исследуются другие серии, которые содержат части дефектной серии или дефектных компонентов.</w:t>
            </w:r>
          </w:p>
          <w:p>
            <w:pPr>
              <w:spacing w:after="20"/>
              <w:ind w:left="20"/>
              <w:jc w:val="both"/>
            </w:pPr>
            <w:r>
              <w:rPr>
                <w:rFonts w:ascii="Times New Roman"/>
                <w:b w:val="false"/>
                <w:i w:val="false"/>
                <w:color w:val="000000"/>
                <w:sz w:val="20"/>
              </w:rPr>
              <w:t>
   8.12. Расследование дефекта качества включает обзор предыдущих отчетов о дефектах качества или любую другую соответствующую информацию о любых признаках специфических или повторяющихся проблем, требующих внимания и, возможно, дальнейших регуляторных действий.</w:t>
            </w:r>
          </w:p>
          <w:p>
            <w:pPr>
              <w:spacing w:after="20"/>
              <w:ind w:left="20"/>
              <w:jc w:val="both"/>
            </w:pPr>
            <w:r>
              <w:rPr>
                <w:rFonts w:ascii="Times New Roman"/>
                <w:b w:val="false"/>
                <w:i w:val="false"/>
                <w:color w:val="000000"/>
                <w:sz w:val="20"/>
              </w:rPr>
              <w:t>
   8.13. Решения, принятые во время и после расследования дефектов качества, отражают уровень риска, который представляет дефект качества, а также серьезность любого несоответствия регистрационному досье или досье исследуемого продукта или требованиям GMP. Такие решения являются своевременными, чтобы обеспечить поддержание безопасности пациентов и животных соразмерно уровню риска, который представляет эта проблема.</w:t>
            </w:r>
          </w:p>
          <w:p>
            <w:pPr>
              <w:spacing w:after="20"/>
              <w:ind w:left="20"/>
              <w:jc w:val="both"/>
            </w:pPr>
            <w:r>
              <w:rPr>
                <w:rFonts w:ascii="Times New Roman"/>
                <w:b w:val="false"/>
                <w:i w:val="false"/>
                <w:color w:val="000000"/>
                <w:sz w:val="20"/>
              </w:rPr>
              <w:t>
   8.14. Хотя на ранних стадиях расследования полная информация о характере и значимости дефекта качества не всегда доступна, процессы принятия решений обеспечивают, чтобы соответствующие действия по снижению риска принимались в соответствующих временных точках в ходе таких расследований. Все принятые решения и меры в отношении дефекта качества документируются.</w:t>
            </w:r>
          </w:p>
          <w:p>
            <w:pPr>
              <w:spacing w:after="20"/>
              <w:ind w:left="20"/>
              <w:jc w:val="both"/>
            </w:pPr>
            <w:r>
              <w:rPr>
                <w:rFonts w:ascii="Times New Roman"/>
                <w:b w:val="false"/>
                <w:i w:val="false"/>
                <w:color w:val="000000"/>
                <w:sz w:val="20"/>
              </w:rPr>
              <w:t>
   8.15. В тех случаях, когда дефект качества может привести к отзыву продукции или необычному сокращению поставок продукции, производитель своевременно информирует об этом держателя регистрационного удостоверения или спонсора и все заинтересованные компетентные органы.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Анализ основных причин, корректирующие и предупреждающие действия</w:t>
            </w:r>
          </w:p>
          <w:p>
            <w:pPr>
              <w:spacing w:after="20"/>
              <w:ind w:left="20"/>
              <w:jc w:val="both"/>
            </w:pPr>
            <w:r>
              <w:rPr>
                <w:rFonts w:ascii="Times New Roman"/>
                <w:b w:val="false"/>
                <w:i w:val="false"/>
                <w:color w:val="000000"/>
                <w:sz w:val="20"/>
              </w:rPr>
              <w:t>
   8.16. В ходе расследования дефектов качества применяется соответствующий уровень работы по анализу основных причин. В случаях, когда истинная причина(ы) дефекта качества не определена, уделяется внимание идентификации наиболее вероятной причины и обращению с ней.</w:t>
            </w:r>
          </w:p>
          <w:p>
            <w:pPr>
              <w:spacing w:after="20"/>
              <w:ind w:left="20"/>
              <w:jc w:val="both"/>
            </w:pPr>
            <w:r>
              <w:rPr>
                <w:rFonts w:ascii="Times New Roman"/>
                <w:b w:val="false"/>
                <w:i w:val="false"/>
                <w:color w:val="000000"/>
                <w:sz w:val="20"/>
              </w:rPr>
              <w:t>
   8.17. Если в качестве причины дефекта качества подозревается или определена человеческая ошибка, это официально обосновывается и тщательно рассматривается с тем, чтобы не были упущены из виду возможные процессные, процедурные или системные ошибки или проблемы.</w:t>
            </w:r>
          </w:p>
          <w:p>
            <w:pPr>
              <w:spacing w:after="20"/>
              <w:ind w:left="20"/>
              <w:jc w:val="both"/>
            </w:pPr>
            <w:r>
              <w:rPr>
                <w:rFonts w:ascii="Times New Roman"/>
                <w:b w:val="false"/>
                <w:i w:val="false"/>
                <w:color w:val="000000"/>
                <w:sz w:val="20"/>
              </w:rPr>
              <w:t>
   8.18. В отношении дефекта качества определяются и принимаются соответствующие корректирующие и предупреждающие действия. Результативность таких действий проверяется и оценивается.</w:t>
            </w:r>
          </w:p>
          <w:p>
            <w:pPr>
              <w:spacing w:after="20"/>
              <w:ind w:left="20"/>
              <w:jc w:val="both"/>
            </w:pPr>
            <w:r>
              <w:rPr>
                <w:rFonts w:ascii="Times New Roman"/>
                <w:b w:val="false"/>
                <w:i w:val="false"/>
                <w:color w:val="000000"/>
                <w:sz w:val="20"/>
              </w:rPr>
              <w:t>
   8.19. Записи о дефектах качества регулярно просматриваются и анализируются тенденции для выявления любых специфических или повторяющихся проблем, требующих внимания.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Отзыв продукции и другие действия по снижению потенциального риска</w:t>
            </w:r>
          </w:p>
          <w:p>
            <w:pPr>
              <w:spacing w:after="20"/>
              <w:ind w:left="20"/>
              <w:jc w:val="both"/>
            </w:pPr>
            <w:r>
              <w:rPr>
                <w:rFonts w:ascii="Times New Roman"/>
                <w:b w:val="false"/>
                <w:i w:val="false"/>
                <w:color w:val="000000"/>
                <w:sz w:val="20"/>
              </w:rPr>
              <w:t>
   8.20. Устанавливаются письменные процедуры, регулярно пересматриваемые и обновляемые по мере необходимости, в целях осуществления любой деятельности по отзыву или осуществлению любых других действий по снижению риска.</w:t>
            </w:r>
          </w:p>
          <w:p>
            <w:pPr>
              <w:spacing w:after="20"/>
              <w:ind w:left="20"/>
              <w:jc w:val="both"/>
            </w:pPr>
            <w:r>
              <w:rPr>
                <w:rFonts w:ascii="Times New Roman"/>
                <w:b w:val="false"/>
                <w:i w:val="false"/>
                <w:color w:val="000000"/>
                <w:sz w:val="20"/>
              </w:rPr>
              <w:t>
   8.21. После размещения продукции на рынке любой возврат ее из сети распределения из-за дефекта качества рассматривается и управляется как отзыв. Это положение не применяется к изъятию или возврату образцов продукции из сети распределения для содействия расследованию отчетности по дефектам качества.</w:t>
            </w:r>
          </w:p>
          <w:p>
            <w:pPr>
              <w:spacing w:after="20"/>
              <w:ind w:left="20"/>
              <w:jc w:val="both"/>
            </w:pPr>
            <w:r>
              <w:rPr>
                <w:rFonts w:ascii="Times New Roman"/>
                <w:b w:val="false"/>
                <w:i w:val="false"/>
                <w:color w:val="000000"/>
                <w:sz w:val="20"/>
              </w:rPr>
              <w:t>
   8.22. Имеется возможность инициировать операции по отзыву оперативно и в любое время. В некоторых случаях в целях защиты здоровья населения или животных, возможно, потребуется начать операции по отзыву до установления истинной причины и всей значимости дефекта качества.</w:t>
            </w:r>
          </w:p>
          <w:p>
            <w:pPr>
              <w:spacing w:after="20"/>
              <w:ind w:left="20"/>
              <w:jc w:val="both"/>
            </w:pPr>
            <w:r>
              <w:rPr>
                <w:rFonts w:ascii="Times New Roman"/>
                <w:b w:val="false"/>
                <w:i w:val="false"/>
                <w:color w:val="000000"/>
                <w:sz w:val="20"/>
              </w:rPr>
              <w:t>
   8.23. Записи о дистрибьюции серии или продукции доступны для лиц, ответственных за отзыв, и содержат достаточную информацию об оптовых покупателях и заказчиках, непосредственно получивших продукцию с указанием адреса, номеров телефона и (или) факса, работающих круглосуточно, номеров серии и количества поставленной продукции, в том числе в отношении экспортируемой продукции и медицинских образцов.</w:t>
            </w:r>
          </w:p>
          <w:p>
            <w:pPr>
              <w:spacing w:after="20"/>
              <w:ind w:left="20"/>
              <w:jc w:val="both"/>
            </w:pPr>
            <w:r>
              <w:rPr>
                <w:rFonts w:ascii="Times New Roman"/>
                <w:b w:val="false"/>
                <w:i w:val="false"/>
                <w:color w:val="000000"/>
                <w:sz w:val="20"/>
              </w:rPr>
              <w:t>
   8.24. В случае исследуемых лекарственных средств идентифицируются все исследовательские площадки и указываются страны назначения. В случае исследуемого лекарственного средства, на которое было выдано регистрационное удостоверение, производитель исследуемого лекарственного средства в сотрудничестве со спонсором информирует держателя регистрационного удостоверения о любом дефекте качества, который связан с зарегистрированным лекарственным средством. Спонсор внедряет процедуру быстрого раскодирования ослепленного продукта, где это необходимо для оперативного отзыва. Спонсор обеспечивает, чтобы процедура раскрывала идентичность ослепленного продукта только в той мере, которая необходима.</w:t>
            </w:r>
          </w:p>
          <w:p>
            <w:pPr>
              <w:spacing w:after="20"/>
              <w:ind w:left="20"/>
              <w:jc w:val="both"/>
            </w:pPr>
            <w:r>
              <w:rPr>
                <w:rFonts w:ascii="Times New Roman"/>
                <w:b w:val="false"/>
                <w:i w:val="false"/>
                <w:color w:val="000000"/>
                <w:sz w:val="20"/>
              </w:rPr>
              <w:t>
   8.25. Уделяется внимание последующим консультациям с заинтересованными компетентными органами по распространению действия по отзыву в сети распределения, учитывая потенциальный риск для здоровья населения или животных и любого воздействия, которое имеют предлагаемые действия по отзыву. Компетентные органы также информируются в ситуациях, когда не ведется никаких действий по отзыву, предложенных для дефектной серии, в связи с истечением срока годности, например, для продукции с коротким сроком годности.</w:t>
            </w:r>
          </w:p>
          <w:p>
            <w:pPr>
              <w:spacing w:after="20"/>
              <w:ind w:left="20"/>
              <w:jc w:val="both"/>
            </w:pPr>
            <w:r>
              <w:rPr>
                <w:rFonts w:ascii="Times New Roman"/>
                <w:b w:val="false"/>
                <w:i w:val="false"/>
                <w:color w:val="000000"/>
                <w:sz w:val="20"/>
              </w:rPr>
              <w:t xml:space="preserve">
   8.26. В случае намерения отозвать продукцию об этом заранее информируются все заинтересованные компетентные органы. При возможном серьезном влиянии на здоровье пациентов, принимаются срочные действия по снижению риска, такие как отзыв продукции, предварительно уведомив об этом компетентные органы. </w:t>
            </w:r>
          </w:p>
          <w:p>
            <w:pPr>
              <w:spacing w:after="20"/>
              <w:ind w:left="20"/>
              <w:jc w:val="both"/>
            </w:pPr>
            <w:r>
              <w:rPr>
                <w:rFonts w:ascii="Times New Roman"/>
                <w:b w:val="false"/>
                <w:i w:val="false"/>
                <w:color w:val="000000"/>
                <w:sz w:val="20"/>
              </w:rPr>
              <w:t>
   8.27. Если предлагаемые действия по отзыву по-разному влияют на различные рынки, и если это так, разрабатываются и обсуждаются с заинтересованными компетентными органами соответствующие действия по снижению риска для конкретного рынка. До принятия решения о мерах по сокращению риска, таких как отзыв, рассматривается риск нехватки лекарственного средства, не имеющего зарегистрированной альтернативы, с учетом его терапевтического назначения. Любые решения о непринятии ожидаемых мер по сокращению риска предварительно согласовываются с уполномоченным органом.</w:t>
            </w:r>
          </w:p>
          <w:p>
            <w:pPr>
              <w:spacing w:after="20"/>
              <w:ind w:left="20"/>
              <w:jc w:val="both"/>
            </w:pPr>
            <w:r>
              <w:rPr>
                <w:rFonts w:ascii="Times New Roman"/>
                <w:b w:val="false"/>
                <w:i w:val="false"/>
                <w:color w:val="000000"/>
                <w:sz w:val="20"/>
              </w:rPr>
              <w:t>
   8.28. Отозванная продукция идентифицируется и хранится отдельно в безопасном месте до принятия решения о том, как с ней поступить. Документально оформляется официальное распоряжение в отношении всех отозванных серий. Основание для принятия любого решения о переработке отозванной продукции документируется и обсуждается с соответствующим компетентным органом. Также учитывается остаточный срок годности любых переработанных серий, которые предполагается разместить на рынке.</w:t>
            </w:r>
          </w:p>
          <w:p>
            <w:pPr>
              <w:spacing w:after="20"/>
              <w:ind w:left="20"/>
              <w:jc w:val="both"/>
            </w:pPr>
            <w:r>
              <w:rPr>
                <w:rFonts w:ascii="Times New Roman"/>
                <w:b w:val="false"/>
                <w:i w:val="false"/>
                <w:color w:val="000000"/>
                <w:sz w:val="20"/>
              </w:rPr>
              <w:t>
   8.29. Ход процесса отзыва регистрируется до завершения и выпуска окончательного отчета, включающего баланс между количеством поставленной и возвращенной продукции или серий.</w:t>
            </w:r>
          </w:p>
          <w:p>
            <w:pPr>
              <w:spacing w:after="20"/>
              <w:ind w:left="20"/>
              <w:jc w:val="both"/>
            </w:pPr>
            <w:r>
              <w:rPr>
                <w:rFonts w:ascii="Times New Roman"/>
                <w:b w:val="false"/>
                <w:i w:val="false"/>
                <w:color w:val="000000"/>
                <w:sz w:val="20"/>
              </w:rPr>
              <w:t>
   8.30. Эффективность мероприятий по отзыву следует регулярно оценивать для подтверждения, что они остаются надежными и пригодными для использования. Такие оценки распространяются на ситуации как в рабочее время, так и во внеурочное время. При выполнении таких оценок рассматривается необходимость выполнения имитации действий по отзыву. Эта оценка документально оформляется и обосновывется.</w:t>
            </w:r>
          </w:p>
          <w:p>
            <w:pPr>
              <w:spacing w:after="20"/>
              <w:ind w:left="20"/>
              <w:jc w:val="both"/>
            </w:pPr>
            <w:r>
              <w:rPr>
                <w:rFonts w:ascii="Times New Roman"/>
                <w:b w:val="false"/>
                <w:i w:val="false"/>
                <w:color w:val="000000"/>
                <w:sz w:val="20"/>
              </w:rPr>
              <w:t>
   8.31. В дополнение к отзыву существуют и другие возможные действия по снижению риска, которые предпринимаются в целях управления рисками, создаваемыми дефектами качества. Такие действия включают выпуск предупредительных сообщений для медицинских работников в отношении использования ими потенциально дефектной серии. Их следует рассматривать в индивидуальном порядке и обсуждать с заинтересованными компетентными органами.</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Самоинспекция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Самоинспекция проводится с целью проверки выполнения предприятием требований настоящего Стандарта и предложения необходимых корректирующих действий.</w:t>
            </w:r>
          </w:p>
          <w:p>
            <w:pPr>
              <w:spacing w:after="20"/>
              <w:ind w:left="20"/>
              <w:jc w:val="both"/>
            </w:pPr>
            <w:r>
              <w:rPr>
                <w:rFonts w:ascii="Times New Roman"/>
                <w:b w:val="false"/>
                <w:i w:val="false"/>
                <w:color w:val="000000"/>
                <w:sz w:val="20"/>
              </w:rPr>
              <w:t xml:space="preserve">
   9.1. Вопросы, касающиеся персонала, а также помещения, оборудование, документацию, технологический процесс, контроль качества, реализацию лекарственных препаратов, мероприятия по работе с претензиями и в отношении отзывов и деятельность по проведению самоинспекций регулярно анализируется в соответствии с заранее утвержденной программой по определенному графику для проверки их соответствия принципам обеспечения качества. </w:t>
            </w:r>
          </w:p>
          <w:p>
            <w:pPr>
              <w:spacing w:after="20"/>
              <w:ind w:left="20"/>
              <w:jc w:val="both"/>
            </w:pPr>
            <w:r>
              <w:rPr>
                <w:rFonts w:ascii="Times New Roman"/>
                <w:b w:val="false"/>
                <w:i w:val="false"/>
                <w:color w:val="000000"/>
                <w:sz w:val="20"/>
              </w:rPr>
              <w:t>
   9.2. Самоинспекция проводится независимо и тщательно специально назначенным квалифицированным(ыми) лицом (лицами), состоящим(ими) в штате предприятия. При необходимости проводится независимый аудит экспертами сторонних организаций.</w:t>
            </w:r>
          </w:p>
          <w:p>
            <w:pPr>
              <w:spacing w:after="20"/>
              <w:ind w:left="20"/>
              <w:jc w:val="both"/>
            </w:pPr>
            <w:r>
              <w:rPr>
                <w:rFonts w:ascii="Times New Roman"/>
                <w:b w:val="false"/>
                <w:i w:val="false"/>
                <w:color w:val="000000"/>
                <w:sz w:val="20"/>
              </w:rPr>
              <w:t>
   9.3. Результаты самоинспекций оформляются документально. Отчеты содержат в себе все наблюдения, сделанные в ходе проверки, и, где применимо, предложения по корректирующим действиям. Действия, предпринимаемые по результатам проведенных самоинспекций, также оформляют документально.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II</w:t>
            </w:r>
          </w:p>
          <w:p>
            <w:pPr>
              <w:spacing w:after="20"/>
              <w:ind w:left="20"/>
              <w:jc w:val="both"/>
            </w:pPr>
            <w:r>
              <w:rPr>
                <w:rFonts w:ascii="Times New Roman"/>
                <w:b w:val="false"/>
                <w:i w:val="false"/>
                <w:color w:val="000000"/>
                <w:sz w:val="20"/>
              </w:rPr>
              <w:t>
</w:t>
            </w:r>
            <w:r>
              <w:rPr>
                <w:rFonts w:ascii="Times New Roman"/>
                <w:b/>
                <w:i w:val="false"/>
                <w:color w:val="000000"/>
                <w:sz w:val="20"/>
              </w:rPr>
              <w:t>Основные требования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 активным фармацевтическим субстанциям, </w:t>
            </w:r>
          </w:p>
          <w:p>
            <w:pPr>
              <w:spacing w:after="20"/>
              <w:ind w:left="20"/>
              <w:jc w:val="both"/>
            </w:pPr>
            <w:r>
              <w:rPr>
                <w:rFonts w:ascii="Times New Roman"/>
                <w:b w:val="false"/>
                <w:i w:val="false"/>
                <w:color w:val="000000"/>
                <w:sz w:val="20"/>
              </w:rPr>
              <w:t>
</w:t>
            </w:r>
            <w:r>
              <w:rPr>
                <w:rFonts w:ascii="Times New Roman"/>
                <w:b/>
                <w:i w:val="false"/>
                <w:color w:val="000000"/>
                <w:sz w:val="20"/>
              </w:rPr>
              <w:t>используемым в качестве исходных материалов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Введение</w:t>
            </w:r>
          </w:p>
          <w:p>
            <w:pPr>
              <w:spacing w:after="20"/>
              <w:ind w:left="20"/>
              <w:jc w:val="both"/>
            </w:pPr>
            <w:r>
              <w:rPr>
                <w:rFonts w:ascii="Times New Roman"/>
                <w:b w:val="false"/>
                <w:i w:val="false"/>
                <w:color w:val="000000"/>
                <w:sz w:val="20"/>
              </w:rPr>
              <w:t>
   Держатели регистрационных удостоверений и производители лекарственных препаратов используют в качестве исходных материалов активные фармацевтические субстанции (далее - АФС), произведенные с соблюдением настоящего Стандарта. Эти принципы производства АФС детально изложены в части II настоящего Стандарта.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Цель</w:t>
            </w:r>
          </w:p>
          <w:p>
            <w:pPr>
              <w:spacing w:after="20"/>
              <w:ind w:left="20"/>
              <w:jc w:val="both"/>
            </w:pPr>
            <w:r>
              <w:rPr>
                <w:rFonts w:ascii="Times New Roman"/>
                <w:b w:val="false"/>
                <w:i w:val="false"/>
                <w:color w:val="000000"/>
                <w:sz w:val="20"/>
              </w:rPr>
              <w:t>
   Данная часть настоящего Стандарта предоставляет собой руководящие указания, касающиеся надлежащего производства АФС с соответствующей системой управления качеством. Она также предназначена для помощи в обеспечении качества и чистоты АФС в соответствии с выдвигаемыми к ним требованиями.</w:t>
            </w:r>
          </w:p>
          <w:p>
            <w:pPr>
              <w:spacing w:after="20"/>
              <w:ind w:left="20"/>
              <w:jc w:val="both"/>
            </w:pPr>
            <w:r>
              <w:rPr>
                <w:rFonts w:ascii="Times New Roman"/>
                <w:b w:val="false"/>
                <w:i w:val="false"/>
                <w:color w:val="000000"/>
                <w:sz w:val="20"/>
              </w:rPr>
              <w:t xml:space="preserve">
   В части II настоящего Стандарта термин "производство" включает в себя все виды операций с АФС: приемку материалов, производство, упаковку, переупаковку, маркировку, перемаркировку, контроль качества, выдачу разрешения на выпуск, хранение и реализацию, а также соответствующие меры контроля. </w:t>
            </w:r>
          </w:p>
          <w:p>
            <w:pPr>
              <w:spacing w:after="20"/>
              <w:ind w:left="20"/>
              <w:jc w:val="both"/>
            </w:pPr>
            <w:r>
              <w:rPr>
                <w:rFonts w:ascii="Times New Roman"/>
                <w:b w:val="false"/>
                <w:i w:val="false"/>
                <w:color w:val="000000"/>
                <w:sz w:val="20"/>
              </w:rPr>
              <w:t xml:space="preserve">
   Настоящий Стандарт не устанавливает требования, предъявляемые при включении АФС в государственный реестр, и не заменяет фармакопейных требований. Он не затрагивает функций уполномоченных органов устанавливать особенные требования к включению в государственный реестр лекарственных средств, получению лицензии на производство АФС.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Область применения</w:t>
            </w:r>
          </w:p>
          <w:p>
            <w:pPr>
              <w:spacing w:after="20"/>
              <w:ind w:left="20"/>
              <w:jc w:val="both"/>
            </w:pPr>
            <w:r>
              <w:rPr>
                <w:rFonts w:ascii="Times New Roman"/>
                <w:b w:val="false"/>
                <w:i w:val="false"/>
                <w:color w:val="000000"/>
                <w:sz w:val="20"/>
              </w:rPr>
              <w:t>
   Часть II настоящего Стандарта устанавливает требования к производству АФС, используемых в производстве лекарственных препаратов для медицинского применения. К производству стерильных АФС он применим только до стадии стерилизации. Часть II настоящего Стандарта не распространяется на процессы стерилизации и производства стерильных АФС в асептических условиях. Эти процессы проводят в соответствии с принципами настоящего Стандарта и с требованиями, приведенными в Приложении I к настоящему Стандарту, и других нормативных правовых актов.</w:t>
            </w:r>
          </w:p>
          <w:p>
            <w:pPr>
              <w:spacing w:after="20"/>
              <w:ind w:left="20"/>
              <w:jc w:val="both"/>
            </w:pPr>
            <w:r>
              <w:rPr>
                <w:rFonts w:ascii="Times New Roman"/>
                <w:b w:val="false"/>
                <w:i w:val="false"/>
                <w:color w:val="000000"/>
                <w:sz w:val="20"/>
              </w:rPr>
              <w:t xml:space="preserve">
   Часть II настоящего Стандарта не распространяется на цельную донорскую кровь и плазму, однако распространяется на АФС, получаемые с использованием донорской крови или плазмы в качестве исходного сырья. Часть II настоящего Стандарта не распространяется на нерасфасованные лекарственные средства. Она применяется ко всем другим активным исходным материалам с учетом любых отступлений, описанных в </w:t>
            </w:r>
            <w:r>
              <w:rPr>
                <w:rFonts w:ascii="Times New Roman"/>
                <w:b w:val="false"/>
                <w:i w:val="false"/>
                <w:color w:val="000000"/>
                <w:sz w:val="20"/>
              </w:rPr>
              <w:t>Приложениях 2</w:t>
            </w:r>
            <w:r>
              <w:rPr>
                <w:rFonts w:ascii="Times New Roman"/>
                <w:b w:val="false"/>
                <w:i w:val="false"/>
                <w:color w:val="000000"/>
                <w:sz w:val="20"/>
              </w:rPr>
              <w:t>–</w:t>
            </w:r>
            <w:r>
              <w:rPr>
                <w:rFonts w:ascii="Times New Roman"/>
                <w:b w:val="false"/>
                <w:i w:val="false"/>
                <w:color w:val="000000"/>
                <w:sz w:val="20"/>
              </w:rPr>
              <w:t>7</w:t>
            </w:r>
            <w:r>
              <w:rPr>
                <w:rFonts w:ascii="Times New Roman"/>
                <w:b w:val="false"/>
                <w:i w:val="false"/>
                <w:color w:val="000000"/>
                <w:sz w:val="20"/>
              </w:rPr>
              <w:t xml:space="preserve"> к настоящему Стандарту, где указаны дополнительные требования к АФС.</w:t>
            </w:r>
          </w:p>
          <w:p>
            <w:pPr>
              <w:spacing w:after="20"/>
              <w:ind w:left="20"/>
              <w:jc w:val="both"/>
            </w:pPr>
            <w:r>
              <w:rPr>
                <w:rFonts w:ascii="Times New Roman"/>
                <w:b w:val="false"/>
                <w:i w:val="false"/>
                <w:color w:val="000000"/>
                <w:sz w:val="20"/>
              </w:rPr>
              <w:t xml:space="preserve">
   Раздел 19 части II настоящего Стандарта содержит требования, распространяющиеся только на производство АФС, используемых для получения лекарственных препаратов, предназначенных для клинических исследований. </w:t>
            </w:r>
          </w:p>
          <w:p>
            <w:pPr>
              <w:spacing w:after="20"/>
              <w:ind w:left="20"/>
              <w:jc w:val="both"/>
            </w:pPr>
            <w:r>
              <w:rPr>
                <w:rFonts w:ascii="Times New Roman"/>
                <w:b w:val="false"/>
                <w:i w:val="false"/>
                <w:color w:val="000000"/>
                <w:sz w:val="20"/>
              </w:rPr>
              <w:t xml:space="preserve">
   "Исходные материалы для производства активных фармацевтических субстанций" - это сырье, промежуточные продукты или другие АФС, которые используют в производстве АФС и которые как важный структурный фрагмент вводят в структуру АФС. Исходные материалы для производства АФС закупаются по контракту, договору либо торговому соглашению у одного или нескольких поставщиков, либо производятся самостоятельно. Исходные материалы для производства АФС имеют установленные химические свойства и структуру. </w:t>
            </w:r>
          </w:p>
          <w:p>
            <w:pPr>
              <w:spacing w:after="20"/>
              <w:ind w:left="20"/>
              <w:jc w:val="both"/>
            </w:pPr>
            <w:r>
              <w:rPr>
                <w:rFonts w:ascii="Times New Roman"/>
                <w:b w:val="false"/>
                <w:i w:val="false"/>
                <w:color w:val="000000"/>
                <w:sz w:val="20"/>
              </w:rPr>
              <w:t>
   Производитель определяет и документально обосновывает стадию, с которой начинается производство АФС. Для процессов синтеза эта стадия определяется как стадия ввода в технологический процесс "исходных материалов для производства активных фармацевтических субстанций". Для других процессов: ферментации, экстракции, очистки и пр. данную стадию определяют с учетом конкретных особенностей производства. В таблице 1 приведены руководящие указания относительно момента, когда обычно вводят в процесс исходные материалы для производства АФС. Начиная с этой стадии, на данные промежуточные продукты и (или) стадии производства АФС действуют требования части II настоящего Стандарта. Они включают в себя валидацию критических стадий производственного процесса, оказывающих влияние на качество АФС. В то же время выбор производителем стадии технологического процесса для проведения валидации не обязательно означает, что эта стадия является критической. Требования части II настоящего Стандарта распространяются на стадии, выделенные в таблице 1 серым фоном. Это не означает, что в процессе производства выполняются все стадии, указанные в данной таблице. Строгость следования требованиям части II настоящего Стандарта возрастает от ранних стадий производства АФС к завершающим стадиям технологического процесса, очистки и упаковки. Обработку физическими методами активных фармацевтических субстанций, такую как гранулирование, покрытие оболочкой или физическое изменение размера частиц: например, грубый и тонкий помол проводят, по крайней мере, в соответствии с требованиями настоящего Стандарта. Часть II настоящего Стандарта не применяется к стадиям, которые предшествуют введению в процесс веществ, определенных как "исходные материалы для производства активных фармацевтических субстанций".</w:t>
            </w:r>
          </w:p>
          <w:p>
            <w:pPr>
              <w:spacing w:after="20"/>
              <w:ind w:left="20"/>
              <w:jc w:val="both"/>
            </w:pPr>
            <w:r>
              <w:rPr>
                <w:rFonts w:ascii="Times New Roman"/>
                <w:b w:val="false"/>
                <w:i w:val="false"/>
                <w:color w:val="000000"/>
                <w:sz w:val="20"/>
              </w:rPr>
              <w:t>
   В части II настоящего Стандарта используется термин "активная фармацевтическая субстанция", который следует рассматривать как взаимозаменяемый с термином "активный фармацевтический ингредиент" (далее - АФИ). Термины, употребляемые в части II настоящего Стандарта, и определения обозначенных ими понятий, которые приведены в разделе 20 "Термины и определения" следует применять только в части II настоящего Стандарта. Для аналогичных терминов, употребляемых в части I настоящего Стандарта, приведены определения в общем разделе "Термины и определения" настоящего Стандарта, следовательно, их следует применять только в контексте части I настоящего Стандарта.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Таблица 1. Применение части II настоящего Стандарта к производству АФС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2909"/>
              <w:gridCol w:w="2205"/>
              <w:gridCol w:w="2205"/>
              <w:gridCol w:w="1031"/>
              <w:gridCol w:w="1624"/>
            </w:tblGrid>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производства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 производства АФС, на которые распространяется часть II настоящего Стандарта - выделено серым фоном</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w:t>
                  </w:r>
                </w:p>
                <w:p>
                  <w:pPr>
                    <w:spacing w:after="20"/>
                    <w:ind w:left="20"/>
                    <w:jc w:val="both"/>
                  </w:pPr>
                  <w:r>
                    <w:rPr>
                      <w:rFonts w:ascii="Times New Roman"/>
                      <w:b w:val="false"/>
                      <w:i w:val="false"/>
                      <w:color w:val="000000"/>
                      <w:sz w:val="20"/>
                    </w:rPr>
                    <w:t>
производство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исходного</w:t>
                  </w:r>
                </w:p>
                <w:p>
                  <w:pPr>
                    <w:spacing w:after="20"/>
                    <w:ind w:left="20"/>
                    <w:jc w:val="both"/>
                  </w:pPr>
                  <w:r>
                    <w:rPr>
                      <w:rFonts w:ascii="Times New Roman"/>
                      <w:b w:val="false"/>
                      <w:i w:val="false"/>
                      <w:color w:val="000000"/>
                      <w:sz w:val="20"/>
                    </w:rPr>
                    <w:t>
сырья для</w:t>
                  </w:r>
                </w:p>
                <w:p>
                  <w:pPr>
                    <w:spacing w:after="20"/>
                    <w:ind w:left="20"/>
                    <w:jc w:val="both"/>
                  </w:pPr>
                  <w:r>
                    <w:rPr>
                      <w:rFonts w:ascii="Times New Roman"/>
                      <w:b w:val="false"/>
                      <w:i w:val="false"/>
                      <w:color w:val="000000"/>
                      <w:sz w:val="20"/>
                    </w:rPr>
                    <w:t>
АФС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процесс исходного</w:t>
                  </w:r>
                </w:p>
                <w:p>
                  <w:pPr>
                    <w:spacing w:after="20"/>
                    <w:ind w:left="20"/>
                    <w:jc w:val="both"/>
                  </w:pPr>
                  <w:r>
                    <w:rPr>
                      <w:rFonts w:ascii="Times New Roman"/>
                      <w:b w:val="false"/>
                      <w:i w:val="false"/>
                      <w:color w:val="000000"/>
                      <w:sz w:val="20"/>
                    </w:rPr>
                    <w:t xml:space="preserve">
сырья для производства АФС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xml:space="preserve">
промежуточного </w:t>
                  </w:r>
                </w:p>
                <w:p>
                  <w:pPr>
                    <w:spacing w:after="20"/>
                    <w:ind w:left="20"/>
                    <w:jc w:val="both"/>
                  </w:pPr>
                  <w:r>
                    <w:rPr>
                      <w:rFonts w:ascii="Times New Roman"/>
                      <w:b w:val="false"/>
                      <w:i w:val="false"/>
                      <w:color w:val="000000"/>
                      <w:sz w:val="20"/>
                    </w:rPr>
                    <w:t>
продукта (ов)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w:t>
                  </w:r>
                </w:p>
                <w:p>
                  <w:pPr>
                    <w:spacing w:after="20"/>
                    <w:ind w:left="20"/>
                    <w:jc w:val="both"/>
                  </w:pPr>
                  <w:r>
                    <w:rPr>
                      <w:rFonts w:ascii="Times New Roman"/>
                      <w:b w:val="false"/>
                      <w:i w:val="false"/>
                      <w:color w:val="000000"/>
                      <w:sz w:val="20"/>
                    </w:rPr>
                    <w:t>
и очистка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w:t>
                  </w:r>
                </w:p>
                <w:p>
                  <w:pPr>
                    <w:spacing w:after="20"/>
                    <w:ind w:left="20"/>
                    <w:jc w:val="both"/>
                  </w:pPr>
                  <w:r>
                    <w:rPr>
                      <w:rFonts w:ascii="Times New Roman"/>
                      <w:b w:val="false"/>
                      <w:i w:val="false"/>
                      <w:color w:val="000000"/>
                      <w:sz w:val="20"/>
                    </w:rPr>
                    <w:t>
упаковка</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получаемые из сырья</w:t>
                  </w:r>
                </w:p>
                <w:p>
                  <w:pPr>
                    <w:spacing w:after="20"/>
                    <w:ind w:left="20"/>
                    <w:jc w:val="both"/>
                  </w:pPr>
                  <w:r>
                    <w:rPr>
                      <w:rFonts w:ascii="Times New Roman"/>
                      <w:b w:val="false"/>
                      <w:i w:val="false"/>
                      <w:color w:val="000000"/>
                      <w:sz w:val="20"/>
                    </w:rPr>
                    <w:t xml:space="preserve">
животного происхождения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w:t>
                  </w:r>
                </w:p>
                <w:p>
                  <w:pPr>
                    <w:spacing w:after="20"/>
                    <w:ind w:left="20"/>
                    <w:jc w:val="both"/>
                  </w:pPr>
                  <w:r>
                    <w:rPr>
                      <w:rFonts w:ascii="Times New Roman"/>
                      <w:b w:val="false"/>
                      <w:i w:val="false"/>
                      <w:color w:val="000000"/>
                      <w:sz w:val="20"/>
                    </w:rPr>
                    <w:t>
органов,</w:t>
                  </w:r>
                </w:p>
                <w:p>
                  <w:pPr>
                    <w:spacing w:after="20"/>
                    <w:ind w:left="20"/>
                    <w:jc w:val="both"/>
                  </w:pPr>
                  <w:r>
                    <w:rPr>
                      <w:rFonts w:ascii="Times New Roman"/>
                      <w:b w:val="false"/>
                      <w:i w:val="false"/>
                      <w:color w:val="000000"/>
                      <w:sz w:val="20"/>
                    </w:rPr>
                    <w:t xml:space="preserve">
жидкостей или </w:t>
                  </w:r>
                </w:p>
                <w:p>
                  <w:pPr>
                    <w:spacing w:after="20"/>
                    <w:ind w:left="20"/>
                    <w:jc w:val="both"/>
                  </w:pPr>
                  <w:r>
                    <w:rPr>
                      <w:rFonts w:ascii="Times New Roman"/>
                      <w:b w:val="false"/>
                      <w:i w:val="false"/>
                      <w:color w:val="000000"/>
                      <w:sz w:val="20"/>
                    </w:rPr>
                    <w:t>
тканей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смешивание</w:t>
                  </w:r>
                </w:p>
                <w:p>
                  <w:pPr>
                    <w:spacing w:after="20"/>
                    <w:ind w:left="20"/>
                    <w:jc w:val="both"/>
                  </w:pPr>
                  <w:r>
                    <w:rPr>
                      <w:rFonts w:ascii="Times New Roman"/>
                      <w:b w:val="false"/>
                      <w:i w:val="false"/>
                      <w:color w:val="000000"/>
                      <w:sz w:val="20"/>
                    </w:rPr>
                    <w:t>
и (или) первичная</w:t>
                  </w:r>
                </w:p>
                <w:p>
                  <w:pPr>
                    <w:spacing w:after="20"/>
                    <w:ind w:left="20"/>
                    <w:jc w:val="both"/>
                  </w:pPr>
                  <w:r>
                    <w:rPr>
                      <w:rFonts w:ascii="Times New Roman"/>
                      <w:b w:val="false"/>
                      <w:i w:val="false"/>
                      <w:color w:val="000000"/>
                      <w:sz w:val="20"/>
                    </w:rPr>
                    <w:t>
обработка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процесс исходного</w:t>
                  </w:r>
                </w:p>
                <w:p>
                  <w:pPr>
                    <w:spacing w:after="20"/>
                    <w:ind w:left="20"/>
                    <w:jc w:val="both"/>
                  </w:pPr>
                  <w:r>
                    <w:rPr>
                      <w:rFonts w:ascii="Times New Roman"/>
                      <w:b w:val="false"/>
                      <w:i w:val="false"/>
                      <w:color w:val="000000"/>
                      <w:sz w:val="20"/>
                    </w:rPr>
                    <w:t xml:space="preserve">
сырья для производства АФС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w:t>
                  </w:r>
                </w:p>
                <w:p>
                  <w:pPr>
                    <w:spacing w:after="20"/>
                    <w:ind w:left="20"/>
                    <w:jc w:val="both"/>
                  </w:pPr>
                  <w:r>
                    <w:rPr>
                      <w:rFonts w:ascii="Times New Roman"/>
                      <w:b w:val="false"/>
                      <w:i w:val="false"/>
                      <w:color w:val="000000"/>
                      <w:sz w:val="20"/>
                    </w:rPr>
                    <w:t>
и очистка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w:t>
                  </w:r>
                </w:p>
                <w:p>
                  <w:pPr>
                    <w:spacing w:after="20"/>
                    <w:ind w:left="20"/>
                    <w:jc w:val="both"/>
                  </w:pPr>
                  <w:r>
                    <w:rPr>
                      <w:rFonts w:ascii="Times New Roman"/>
                      <w:b w:val="false"/>
                      <w:i w:val="false"/>
                      <w:color w:val="000000"/>
                      <w:sz w:val="20"/>
                    </w:rPr>
                    <w:t>
упаковка</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w:t>
                  </w:r>
                </w:p>
                <w:p>
                  <w:pPr>
                    <w:spacing w:after="20"/>
                    <w:ind w:left="20"/>
                    <w:jc w:val="both"/>
                  </w:pPr>
                  <w:r>
                    <w:rPr>
                      <w:rFonts w:ascii="Times New Roman"/>
                      <w:b w:val="false"/>
                      <w:i w:val="false"/>
                      <w:color w:val="000000"/>
                      <w:sz w:val="20"/>
                    </w:rPr>
                    <w:t xml:space="preserve">
получаемые из </w:t>
                  </w:r>
                </w:p>
                <w:p>
                  <w:pPr>
                    <w:spacing w:after="20"/>
                    <w:ind w:left="20"/>
                    <w:jc w:val="both"/>
                  </w:pPr>
                  <w:r>
                    <w:rPr>
                      <w:rFonts w:ascii="Times New Roman"/>
                      <w:b w:val="false"/>
                      <w:i w:val="false"/>
                      <w:color w:val="000000"/>
                      <w:sz w:val="20"/>
                    </w:rPr>
                    <w:t xml:space="preserve">
сырья растительного происхождения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Измельчение и </w:t>
                  </w:r>
                </w:p>
                <w:p>
                  <w:pPr>
                    <w:spacing w:after="20"/>
                    <w:ind w:left="20"/>
                    <w:jc w:val="both"/>
                  </w:pPr>
                  <w:r>
                    <w:rPr>
                      <w:rFonts w:ascii="Times New Roman"/>
                      <w:b w:val="false"/>
                      <w:i w:val="false"/>
                      <w:color w:val="000000"/>
                      <w:sz w:val="20"/>
                    </w:rPr>
                    <w:t>
первичная</w:t>
                  </w:r>
                </w:p>
                <w:p>
                  <w:pPr>
                    <w:spacing w:after="20"/>
                    <w:ind w:left="20"/>
                    <w:jc w:val="both"/>
                  </w:pPr>
                  <w:r>
                    <w:rPr>
                      <w:rFonts w:ascii="Times New Roman"/>
                      <w:b w:val="false"/>
                      <w:i w:val="false"/>
                      <w:color w:val="000000"/>
                      <w:sz w:val="20"/>
                    </w:rPr>
                    <w:t>
экстракция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процесс исходного</w:t>
                  </w:r>
                </w:p>
                <w:p>
                  <w:pPr>
                    <w:spacing w:after="20"/>
                    <w:ind w:left="20"/>
                    <w:jc w:val="both"/>
                  </w:pPr>
                  <w:r>
                    <w:rPr>
                      <w:rFonts w:ascii="Times New Roman"/>
                      <w:b w:val="false"/>
                      <w:i w:val="false"/>
                      <w:color w:val="000000"/>
                      <w:sz w:val="20"/>
                    </w:rPr>
                    <w:t xml:space="preserve">
сырья для производства АФС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w:t>
                  </w:r>
                </w:p>
                <w:p>
                  <w:pPr>
                    <w:spacing w:after="20"/>
                    <w:ind w:left="20"/>
                    <w:jc w:val="both"/>
                  </w:pPr>
                  <w:r>
                    <w:rPr>
                      <w:rFonts w:ascii="Times New Roman"/>
                      <w:b w:val="false"/>
                      <w:i w:val="false"/>
                      <w:color w:val="000000"/>
                      <w:sz w:val="20"/>
                    </w:rPr>
                    <w:t>
и очистка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w:t>
                  </w:r>
                </w:p>
                <w:p>
                  <w:pPr>
                    <w:spacing w:after="20"/>
                    <w:ind w:left="20"/>
                    <w:jc w:val="both"/>
                  </w:pPr>
                  <w:r>
                    <w:rPr>
                      <w:rFonts w:ascii="Times New Roman"/>
                      <w:b w:val="false"/>
                      <w:i w:val="false"/>
                      <w:color w:val="000000"/>
                      <w:sz w:val="20"/>
                    </w:rPr>
                    <w:t>
упаковка</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w:t>
                  </w:r>
                </w:p>
                <w:p>
                  <w:pPr>
                    <w:spacing w:after="20"/>
                    <w:ind w:left="20"/>
                    <w:jc w:val="both"/>
                  </w:pPr>
                  <w:r>
                    <w:rPr>
                      <w:rFonts w:ascii="Times New Roman"/>
                      <w:b w:val="false"/>
                      <w:i w:val="false"/>
                      <w:color w:val="000000"/>
                      <w:sz w:val="20"/>
                    </w:rPr>
                    <w:t>
экстракты,</w:t>
                  </w:r>
                </w:p>
                <w:p>
                  <w:pPr>
                    <w:spacing w:after="20"/>
                    <w:ind w:left="20"/>
                    <w:jc w:val="both"/>
                  </w:pPr>
                  <w:r>
                    <w:rPr>
                      <w:rFonts w:ascii="Times New Roman"/>
                      <w:b w:val="false"/>
                      <w:i w:val="false"/>
                      <w:color w:val="000000"/>
                      <w:sz w:val="20"/>
                    </w:rPr>
                    <w:t>
используемые в качестве АФС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Измельчение и </w:t>
                  </w:r>
                </w:p>
                <w:p>
                  <w:pPr>
                    <w:spacing w:after="20"/>
                    <w:ind w:left="20"/>
                    <w:jc w:val="both"/>
                  </w:pPr>
                  <w:r>
                    <w:rPr>
                      <w:rFonts w:ascii="Times New Roman"/>
                      <w:b w:val="false"/>
                      <w:i w:val="false"/>
                      <w:color w:val="000000"/>
                      <w:sz w:val="20"/>
                    </w:rPr>
                    <w:t>
первичная</w:t>
                  </w:r>
                </w:p>
                <w:p>
                  <w:pPr>
                    <w:spacing w:after="20"/>
                    <w:ind w:left="20"/>
                    <w:jc w:val="both"/>
                  </w:pPr>
                  <w:r>
                    <w:rPr>
                      <w:rFonts w:ascii="Times New Roman"/>
                      <w:b w:val="false"/>
                      <w:i w:val="false"/>
                      <w:color w:val="000000"/>
                      <w:sz w:val="20"/>
                    </w:rPr>
                    <w:t>
экстракция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Дальнейшая</w:t>
                  </w:r>
                </w:p>
                <w:p>
                  <w:pPr>
                    <w:spacing w:after="20"/>
                    <w:ind w:left="20"/>
                    <w:jc w:val="both"/>
                  </w:pPr>
                  <w:r>
                    <w:rPr>
                      <w:rFonts w:ascii="Times New Roman"/>
                      <w:b w:val="false"/>
                      <w:i w:val="false"/>
                      <w:color w:val="000000"/>
                      <w:sz w:val="20"/>
                    </w:rPr>
                    <w:t>
экстракция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w:t>
                  </w:r>
                </w:p>
                <w:p>
                  <w:pPr>
                    <w:spacing w:after="20"/>
                    <w:ind w:left="20"/>
                    <w:jc w:val="both"/>
                  </w:pPr>
                  <w:r>
                    <w:rPr>
                      <w:rFonts w:ascii="Times New Roman"/>
                      <w:b w:val="false"/>
                      <w:i w:val="false"/>
                      <w:color w:val="000000"/>
                      <w:sz w:val="20"/>
                    </w:rPr>
                    <w:t>
упаковка</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состоящие</w:t>
                  </w:r>
                </w:p>
                <w:p>
                  <w:pPr>
                    <w:spacing w:after="20"/>
                    <w:ind w:left="20"/>
                    <w:jc w:val="both"/>
                  </w:pPr>
                  <w:r>
                    <w:rPr>
                      <w:rFonts w:ascii="Times New Roman"/>
                      <w:b w:val="false"/>
                      <w:i w:val="false"/>
                      <w:color w:val="000000"/>
                      <w:sz w:val="20"/>
                    </w:rPr>
                    <w:t>
из размельченных или растертых в порошок</w:t>
                  </w:r>
                </w:p>
                <w:p>
                  <w:pPr>
                    <w:spacing w:after="20"/>
                    <w:ind w:left="20"/>
                    <w:jc w:val="both"/>
                  </w:pPr>
                  <w:r>
                    <w:rPr>
                      <w:rFonts w:ascii="Times New Roman"/>
                      <w:b w:val="false"/>
                      <w:i w:val="false"/>
                      <w:color w:val="000000"/>
                      <w:sz w:val="20"/>
                    </w:rPr>
                    <w:t>
растений</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w:t>
                  </w:r>
                </w:p>
                <w:p>
                  <w:pPr>
                    <w:spacing w:after="20"/>
                    <w:ind w:left="20"/>
                    <w:jc w:val="both"/>
                  </w:pPr>
                  <w:r>
                    <w:rPr>
                      <w:rFonts w:ascii="Times New Roman"/>
                      <w:b w:val="false"/>
                      <w:i w:val="false"/>
                      <w:color w:val="000000"/>
                      <w:sz w:val="20"/>
                    </w:rPr>
                    <w:t>
и (или) культивирование и сбор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w:t>
                  </w:r>
                </w:p>
                <w:p>
                  <w:pPr>
                    <w:spacing w:after="20"/>
                    <w:ind w:left="20"/>
                    <w:jc w:val="both"/>
                  </w:pPr>
                  <w:r>
                    <w:rPr>
                      <w:rFonts w:ascii="Times New Roman"/>
                      <w:b w:val="false"/>
                      <w:i w:val="false"/>
                      <w:color w:val="000000"/>
                      <w:sz w:val="20"/>
                    </w:rPr>
                    <w:t>
растирание, дробление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w:t>
                  </w:r>
                </w:p>
                <w:p>
                  <w:pPr>
                    <w:spacing w:after="20"/>
                    <w:ind w:left="20"/>
                    <w:jc w:val="both"/>
                  </w:pPr>
                  <w:r>
                    <w:rPr>
                      <w:rFonts w:ascii="Times New Roman"/>
                      <w:b w:val="false"/>
                      <w:i w:val="false"/>
                      <w:color w:val="000000"/>
                      <w:sz w:val="20"/>
                    </w:rPr>
                    <w:t>
упаковка</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ферментация/культивирование клеток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главного и</w:t>
                  </w:r>
                </w:p>
                <w:p>
                  <w:pPr>
                    <w:spacing w:after="20"/>
                    <w:ind w:left="20"/>
                    <w:jc w:val="both"/>
                  </w:pPr>
                  <w:r>
                    <w:rPr>
                      <w:rFonts w:ascii="Times New Roman"/>
                      <w:b w:val="false"/>
                      <w:i w:val="false"/>
                      <w:color w:val="000000"/>
                      <w:sz w:val="20"/>
                    </w:rPr>
                    <w:t>
рабочего</w:t>
                  </w:r>
                </w:p>
                <w:p>
                  <w:pPr>
                    <w:spacing w:after="20"/>
                    <w:ind w:left="20"/>
                    <w:jc w:val="both"/>
                  </w:pPr>
                  <w:r>
                    <w:rPr>
                      <w:rFonts w:ascii="Times New Roman"/>
                      <w:b w:val="false"/>
                      <w:i w:val="false"/>
                      <w:color w:val="000000"/>
                      <w:sz w:val="20"/>
                    </w:rPr>
                    <w:t>
банков клеток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w:t>
                  </w:r>
                </w:p>
                <w:p>
                  <w:pPr>
                    <w:spacing w:after="20"/>
                    <w:ind w:left="20"/>
                    <w:jc w:val="both"/>
                  </w:pPr>
                  <w:r>
                    <w:rPr>
                      <w:rFonts w:ascii="Times New Roman"/>
                      <w:b w:val="false"/>
                      <w:i w:val="false"/>
                      <w:color w:val="000000"/>
                      <w:sz w:val="20"/>
                    </w:rPr>
                    <w:t>
рабочего банка</w:t>
                  </w:r>
                </w:p>
                <w:p>
                  <w:pPr>
                    <w:spacing w:after="20"/>
                    <w:ind w:left="20"/>
                    <w:jc w:val="both"/>
                  </w:pPr>
                  <w:r>
                    <w:rPr>
                      <w:rFonts w:ascii="Times New Roman"/>
                      <w:b w:val="false"/>
                      <w:i w:val="false"/>
                      <w:color w:val="000000"/>
                      <w:sz w:val="20"/>
                    </w:rPr>
                    <w:t>
клеток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w:t>
                  </w:r>
                </w:p>
                <w:p>
                  <w:pPr>
                    <w:spacing w:after="20"/>
                    <w:ind w:left="20"/>
                    <w:jc w:val="both"/>
                  </w:pPr>
                  <w:r>
                    <w:rPr>
                      <w:rFonts w:ascii="Times New Roman"/>
                      <w:b w:val="false"/>
                      <w:i w:val="false"/>
                      <w:color w:val="000000"/>
                      <w:sz w:val="20"/>
                    </w:rPr>
                    <w:t>
клеток и (или)</w:t>
                  </w:r>
                </w:p>
                <w:p>
                  <w:pPr>
                    <w:spacing w:after="20"/>
                    <w:ind w:left="20"/>
                    <w:jc w:val="both"/>
                  </w:pPr>
                  <w:r>
                    <w:rPr>
                      <w:rFonts w:ascii="Times New Roman"/>
                      <w:b w:val="false"/>
                      <w:i w:val="false"/>
                      <w:color w:val="000000"/>
                      <w:sz w:val="20"/>
                    </w:rPr>
                    <w:t>
ферментация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w:t>
                  </w:r>
                </w:p>
                <w:p>
                  <w:pPr>
                    <w:spacing w:after="20"/>
                    <w:ind w:left="20"/>
                    <w:jc w:val="both"/>
                  </w:pPr>
                  <w:r>
                    <w:rPr>
                      <w:rFonts w:ascii="Times New Roman"/>
                      <w:b w:val="false"/>
                      <w:i w:val="false"/>
                      <w:color w:val="000000"/>
                      <w:sz w:val="20"/>
                    </w:rPr>
                    <w:t>
и очистка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w:t>
                  </w:r>
                </w:p>
                <w:p>
                  <w:pPr>
                    <w:spacing w:after="20"/>
                    <w:ind w:left="20"/>
                    <w:jc w:val="both"/>
                  </w:pPr>
                  <w:r>
                    <w:rPr>
                      <w:rFonts w:ascii="Times New Roman"/>
                      <w:b w:val="false"/>
                      <w:i w:val="false"/>
                      <w:color w:val="000000"/>
                      <w:sz w:val="20"/>
                    </w:rPr>
                    <w:t>
упаковка</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w:t>
                  </w:r>
                </w:p>
                <w:p>
                  <w:pPr>
                    <w:spacing w:after="20"/>
                    <w:ind w:left="20"/>
                    <w:jc w:val="both"/>
                  </w:pPr>
                  <w:r>
                    <w:rPr>
                      <w:rFonts w:ascii="Times New Roman"/>
                      <w:b w:val="false"/>
                      <w:i w:val="false"/>
                      <w:color w:val="000000"/>
                      <w:sz w:val="20"/>
                    </w:rPr>
                    <w:t>
ферментация</w:t>
                  </w:r>
                </w:p>
                <w:p>
                  <w:pPr>
                    <w:spacing w:after="20"/>
                    <w:ind w:left="20"/>
                    <w:jc w:val="both"/>
                  </w:pPr>
                  <w:r>
                    <w:rPr>
                      <w:rFonts w:ascii="Times New Roman"/>
                      <w:b w:val="false"/>
                      <w:i w:val="false"/>
                      <w:color w:val="000000"/>
                      <w:sz w:val="20"/>
                    </w:rPr>
                    <w:t>
для производства АФС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xml:space="preserve">
банка клеток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Поддержание </w:t>
                  </w:r>
                </w:p>
                <w:p>
                  <w:pPr>
                    <w:spacing w:after="20"/>
                    <w:ind w:left="20"/>
                    <w:jc w:val="both"/>
                  </w:pPr>
                  <w:r>
                    <w:rPr>
                      <w:rFonts w:ascii="Times New Roman"/>
                      <w:b w:val="false"/>
                      <w:i w:val="false"/>
                      <w:color w:val="000000"/>
                      <w:sz w:val="20"/>
                    </w:rPr>
                    <w:t>
банка клеток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Ввод клеток в </w:t>
                  </w:r>
                </w:p>
                <w:p>
                  <w:pPr>
                    <w:spacing w:after="20"/>
                    <w:ind w:left="20"/>
                    <w:jc w:val="both"/>
                  </w:pPr>
                  <w:r>
                    <w:rPr>
                      <w:rFonts w:ascii="Times New Roman"/>
                      <w:b w:val="false"/>
                      <w:i w:val="false"/>
                      <w:color w:val="000000"/>
                      <w:sz w:val="20"/>
                    </w:rPr>
                    <w:t>
процесс</w:t>
                  </w:r>
                </w:p>
                <w:p>
                  <w:pPr>
                    <w:spacing w:after="20"/>
                    <w:ind w:left="20"/>
                    <w:jc w:val="both"/>
                  </w:pPr>
                  <w:r>
                    <w:rPr>
                      <w:rFonts w:ascii="Times New Roman"/>
                      <w:b w:val="false"/>
                      <w:i w:val="false"/>
                      <w:color w:val="000000"/>
                      <w:sz w:val="20"/>
                    </w:rPr>
                    <w:t>
ферментации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w:t>
                  </w:r>
                </w:p>
                <w:p>
                  <w:pPr>
                    <w:spacing w:after="20"/>
                    <w:ind w:left="20"/>
                    <w:jc w:val="both"/>
                  </w:pPr>
                  <w:r>
                    <w:rPr>
                      <w:rFonts w:ascii="Times New Roman"/>
                      <w:b w:val="false"/>
                      <w:i w:val="false"/>
                      <w:color w:val="000000"/>
                      <w:sz w:val="20"/>
                    </w:rPr>
                    <w:t>
и очистка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w:t>
                  </w:r>
                </w:p>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6781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86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1826"/>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Принципы</w:t>
            </w:r>
          </w:p>
          <w:p>
            <w:pPr>
              <w:spacing w:after="20"/>
              <w:ind w:left="20"/>
              <w:jc w:val="both"/>
            </w:pPr>
            <w:r>
              <w:rPr>
                <w:rFonts w:ascii="Times New Roman"/>
                <w:b w:val="false"/>
                <w:i w:val="false"/>
                <w:color w:val="000000"/>
                <w:sz w:val="20"/>
              </w:rPr>
              <w:t>
   2.10. Ответственность за качество несет персонал, занятый в производстве.</w:t>
            </w:r>
          </w:p>
          <w:p>
            <w:pPr>
              <w:spacing w:after="20"/>
              <w:ind w:left="20"/>
              <w:jc w:val="both"/>
            </w:pPr>
            <w:r>
              <w:rPr>
                <w:rFonts w:ascii="Times New Roman"/>
                <w:b w:val="false"/>
                <w:i w:val="false"/>
                <w:color w:val="000000"/>
                <w:sz w:val="20"/>
              </w:rPr>
              <w:t xml:space="preserve">
   2.11. Каждый производитель разрабатывает, документально оформляет и внедряет эффективную систему управления качеством при активном участии руководящего и соответствующего производственного персонала. </w:t>
            </w:r>
          </w:p>
          <w:p>
            <w:pPr>
              <w:spacing w:after="20"/>
              <w:ind w:left="20"/>
              <w:jc w:val="both"/>
            </w:pPr>
            <w:r>
              <w:rPr>
                <w:rFonts w:ascii="Times New Roman"/>
                <w:b w:val="false"/>
                <w:i w:val="false"/>
                <w:color w:val="000000"/>
                <w:sz w:val="20"/>
              </w:rPr>
              <w:t>
   2.12. Система управления качеством охватывает организационную структуру, процедуры, процессы и ресурсы, а также деятельность, необходимую для обеспечения гарантии соответствия АФС требованиям соответствующих спецификаций в отношении качества и чистоты. Определяются и оформляются документально виды деятельности, имеющие отношение к качеству.</w:t>
            </w:r>
          </w:p>
          <w:p>
            <w:pPr>
              <w:spacing w:after="20"/>
              <w:ind w:left="20"/>
              <w:jc w:val="both"/>
            </w:pPr>
            <w:r>
              <w:rPr>
                <w:rFonts w:ascii="Times New Roman"/>
                <w:b w:val="false"/>
                <w:i w:val="false"/>
                <w:color w:val="000000"/>
                <w:sz w:val="20"/>
              </w:rPr>
              <w:t>
   2.13. Организуется и функционирует независимый(ые) от производственного отдела отдел (отделы) качества, который(ые) выполняет(ют) функции как обеспечения качества, так и контроля качества. Это либо отдельные службы обеспечения качества и контроля качества, либо одно лицо или группа лиц в зависимости от размеров и структуры организации.</w:t>
            </w:r>
          </w:p>
          <w:p>
            <w:pPr>
              <w:spacing w:after="20"/>
              <w:ind w:left="20"/>
              <w:jc w:val="both"/>
            </w:pPr>
            <w:r>
              <w:rPr>
                <w:rFonts w:ascii="Times New Roman"/>
                <w:b w:val="false"/>
                <w:i w:val="false"/>
                <w:color w:val="000000"/>
                <w:sz w:val="20"/>
              </w:rPr>
              <w:t>
   2.14. Назначае(ю)тся лицо(а), уполномоченное(ые) выдавать разрешение на выпуск промежуточной продукции и АФС.</w:t>
            </w:r>
          </w:p>
          <w:p>
            <w:pPr>
              <w:spacing w:after="20"/>
              <w:ind w:left="20"/>
              <w:jc w:val="both"/>
            </w:pPr>
            <w:r>
              <w:rPr>
                <w:rFonts w:ascii="Times New Roman"/>
                <w:b w:val="false"/>
                <w:i w:val="false"/>
                <w:color w:val="000000"/>
                <w:sz w:val="20"/>
              </w:rPr>
              <w:t>
   2.15. Действия, имеющие отношение к качеству, оформляются документально непосредственно при их выполнении.</w:t>
            </w:r>
          </w:p>
          <w:p>
            <w:pPr>
              <w:spacing w:after="20"/>
              <w:ind w:left="20"/>
              <w:jc w:val="both"/>
            </w:pPr>
            <w:r>
              <w:rPr>
                <w:rFonts w:ascii="Times New Roman"/>
                <w:b w:val="false"/>
                <w:i w:val="false"/>
                <w:color w:val="000000"/>
                <w:sz w:val="20"/>
              </w:rPr>
              <w:t>
   2.16. Любое отклонение от установленных процедур оформляется документально и обосновывается. Проводится расследование критических отклонений, которое оформляется документально, документально оформляются также сделанные выводы.</w:t>
            </w:r>
          </w:p>
          <w:p>
            <w:pPr>
              <w:spacing w:after="20"/>
              <w:ind w:left="20"/>
              <w:jc w:val="both"/>
            </w:pPr>
            <w:r>
              <w:rPr>
                <w:rFonts w:ascii="Times New Roman"/>
                <w:b w:val="false"/>
                <w:i w:val="false"/>
                <w:color w:val="000000"/>
                <w:sz w:val="20"/>
              </w:rPr>
              <w:t>
   2.17. Материалы не разрешаются к выпуску и не используются до получения удовлетворительного заключения по результатам оценки, проведенной отделом (отделами) качества, если на предприятии не существует соответствующих систем, разрешающих такое использование.</w:t>
            </w:r>
          </w:p>
          <w:p>
            <w:pPr>
              <w:spacing w:after="20"/>
              <w:ind w:left="20"/>
              <w:jc w:val="both"/>
            </w:pPr>
            <w:r>
              <w:rPr>
                <w:rFonts w:ascii="Times New Roman"/>
                <w:b w:val="false"/>
                <w:i w:val="false"/>
                <w:color w:val="000000"/>
                <w:sz w:val="20"/>
              </w:rPr>
              <w:t xml:space="preserve">
   2.18. Разрабатываются процедуры своевременного оповещения ответственных руководящих лиц о результатах инспекций уполномоченных органов, серьезных недостатках в отношении соблюдения требований настоящего Стандарта, дефектах продукции и о принятии соответствующих мер. </w:t>
            </w:r>
          </w:p>
          <w:p>
            <w:pPr>
              <w:spacing w:after="20"/>
              <w:ind w:left="20"/>
              <w:jc w:val="both"/>
            </w:pPr>
            <w:r>
              <w:rPr>
                <w:rFonts w:ascii="Times New Roman"/>
                <w:b w:val="false"/>
                <w:i w:val="false"/>
                <w:color w:val="000000"/>
                <w:sz w:val="20"/>
              </w:rPr>
              <w:t>
   2.19. Для достижения цели управления качеством внедряется всесторонне разработанная и правильно функционирующая система качества, включающая GMP, контроль качества и управление рисками для качества.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качеством</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Управление рисками для качества</w:t>
            </w:r>
          </w:p>
          <w:p>
            <w:pPr>
              <w:spacing w:after="20"/>
              <w:ind w:left="20"/>
              <w:jc w:val="both"/>
            </w:pPr>
            <w:r>
              <w:rPr>
                <w:rFonts w:ascii="Times New Roman"/>
                <w:b w:val="false"/>
                <w:i w:val="false"/>
                <w:color w:val="000000"/>
                <w:sz w:val="20"/>
              </w:rPr>
              <w:t>
   2.20. Управление рисками для качества является систематическим процессом оценки, контроля, передачи информации и обзора рисков для качества АФС. Этот процесс осуществляют как перспективно, так и ретроспективно.</w:t>
            </w:r>
          </w:p>
          <w:p>
            <w:pPr>
              <w:spacing w:after="20"/>
              <w:ind w:left="20"/>
              <w:jc w:val="both"/>
            </w:pPr>
            <w:r>
              <w:rPr>
                <w:rFonts w:ascii="Times New Roman"/>
                <w:b w:val="false"/>
                <w:i w:val="false"/>
                <w:color w:val="000000"/>
                <w:sz w:val="20"/>
              </w:rPr>
              <w:t>
   2.21. Система управления рисками для качества гарантирует, что:</w:t>
            </w:r>
          </w:p>
          <w:p>
            <w:pPr>
              <w:spacing w:after="20"/>
              <w:ind w:left="20"/>
              <w:jc w:val="both"/>
            </w:pPr>
            <w:r>
              <w:rPr>
                <w:rFonts w:ascii="Times New Roman"/>
                <w:b w:val="false"/>
                <w:i w:val="false"/>
                <w:color w:val="000000"/>
                <w:sz w:val="20"/>
              </w:rPr>
              <w:t>
   - оценка рисков базируется на научных знаниях, опыте производства и в конечном счете связана с защитой пациента путем обмена информацией с потребителем АФС;</w:t>
            </w:r>
          </w:p>
          <w:p>
            <w:pPr>
              <w:spacing w:after="20"/>
              <w:ind w:left="20"/>
              <w:jc w:val="both"/>
            </w:pPr>
            <w:r>
              <w:rPr>
                <w:rFonts w:ascii="Times New Roman"/>
                <w:b w:val="false"/>
                <w:i w:val="false"/>
                <w:color w:val="000000"/>
                <w:sz w:val="20"/>
              </w:rPr>
              <w:t>
   - уровень усилий, формализации и документального оформления процесса управления рисками для качества соизмерим с уровнем рисков.</w:t>
            </w:r>
          </w:p>
          <w:p>
            <w:pPr>
              <w:spacing w:after="20"/>
              <w:ind w:left="20"/>
              <w:jc w:val="both"/>
            </w:pPr>
            <w:r>
              <w:rPr>
                <w:rFonts w:ascii="Times New Roman"/>
                <w:b w:val="false"/>
                <w:i w:val="false"/>
                <w:color w:val="000000"/>
                <w:sz w:val="20"/>
              </w:rPr>
              <w:t>
   Примеры процессов и применения управления рисками для качества приведены в части III настоящего Стандарта.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Обязанности отдела качества</w:t>
            </w:r>
          </w:p>
          <w:p>
            <w:pPr>
              <w:spacing w:after="20"/>
              <w:ind w:left="20"/>
              <w:jc w:val="both"/>
            </w:pPr>
            <w:r>
              <w:rPr>
                <w:rFonts w:ascii="Times New Roman"/>
                <w:b w:val="false"/>
                <w:i w:val="false"/>
                <w:color w:val="000000"/>
                <w:sz w:val="20"/>
              </w:rPr>
              <w:t>
   2.30. Отдел качества вовлекается в решение всех вопросов, относящихся к качеству.</w:t>
            </w:r>
          </w:p>
          <w:p>
            <w:pPr>
              <w:spacing w:after="20"/>
              <w:ind w:left="20"/>
              <w:jc w:val="both"/>
            </w:pPr>
            <w:r>
              <w:rPr>
                <w:rFonts w:ascii="Times New Roman"/>
                <w:b w:val="false"/>
                <w:i w:val="false"/>
                <w:color w:val="000000"/>
                <w:sz w:val="20"/>
              </w:rPr>
              <w:t>
   2.31. Отдел качества рассматривает и согласовывает все документы, имеющие отношение к качеству продукции.</w:t>
            </w:r>
          </w:p>
          <w:p>
            <w:pPr>
              <w:spacing w:after="20"/>
              <w:ind w:left="20"/>
              <w:jc w:val="both"/>
            </w:pPr>
            <w:r>
              <w:rPr>
                <w:rFonts w:ascii="Times New Roman"/>
                <w:b w:val="false"/>
                <w:i w:val="false"/>
                <w:color w:val="000000"/>
                <w:sz w:val="20"/>
              </w:rPr>
              <w:t xml:space="preserve">
   2.32. Основные обязанности независимого(ых) отдела (отделов) качества не подлежат передаче другим службам. Эти обязанности представляются в письменном виде и включают следующее, но не обязательно ограничиваются этим: </w:t>
            </w:r>
          </w:p>
          <w:p>
            <w:pPr>
              <w:spacing w:after="20"/>
              <w:ind w:left="20"/>
              <w:jc w:val="both"/>
            </w:pPr>
            <w:r>
              <w:rPr>
                <w:rFonts w:ascii="Times New Roman"/>
                <w:b w:val="false"/>
                <w:i w:val="false"/>
                <w:color w:val="000000"/>
                <w:sz w:val="20"/>
              </w:rPr>
              <w:t>
   1. Выдача разрешения на выпуск или отклонение АФС. Выдача разрешения на выпуск или отклонение промежуточной продукции, предназначенной для использования вне сферы контроля предприятия-производителя;</w:t>
            </w:r>
          </w:p>
          <w:p>
            <w:pPr>
              <w:spacing w:after="20"/>
              <w:ind w:left="20"/>
              <w:jc w:val="both"/>
            </w:pPr>
            <w:r>
              <w:rPr>
                <w:rFonts w:ascii="Times New Roman"/>
                <w:b w:val="false"/>
                <w:i w:val="false"/>
                <w:color w:val="000000"/>
                <w:sz w:val="20"/>
              </w:rPr>
              <w:t>
   2. Создание системы выдачи разрешения на выпуск или отклонения исходного сырья, промежуточной продукции, материалов для упаковки и маркировки;</w:t>
            </w:r>
          </w:p>
          <w:p>
            <w:pPr>
              <w:spacing w:after="20"/>
              <w:ind w:left="20"/>
              <w:jc w:val="both"/>
            </w:pPr>
            <w:r>
              <w:rPr>
                <w:rFonts w:ascii="Times New Roman"/>
                <w:b w:val="false"/>
                <w:i w:val="false"/>
                <w:color w:val="000000"/>
                <w:sz w:val="20"/>
              </w:rPr>
              <w:t>
   3. Проверка заполненных записей по производству серии и документов лабораторного контроля в отношении критических стадий процесса перед выдачей разрешения на выпуск АФС для реализации;</w:t>
            </w:r>
          </w:p>
          <w:p>
            <w:pPr>
              <w:spacing w:after="20"/>
              <w:ind w:left="20"/>
              <w:jc w:val="both"/>
            </w:pPr>
            <w:r>
              <w:rPr>
                <w:rFonts w:ascii="Times New Roman"/>
                <w:b w:val="false"/>
                <w:i w:val="false"/>
                <w:color w:val="000000"/>
                <w:sz w:val="20"/>
              </w:rPr>
              <w:t>
   4. Обеспечение расследования причин критических отклонений и их устранение;</w:t>
            </w:r>
          </w:p>
          <w:p>
            <w:pPr>
              <w:spacing w:after="20"/>
              <w:ind w:left="20"/>
              <w:jc w:val="both"/>
            </w:pPr>
            <w:r>
              <w:rPr>
                <w:rFonts w:ascii="Times New Roman"/>
                <w:b w:val="false"/>
                <w:i w:val="false"/>
                <w:color w:val="000000"/>
                <w:sz w:val="20"/>
              </w:rPr>
              <w:t>
   5. Согласование или утверждение всех спецификаций и основных производственных инструкций;</w:t>
            </w:r>
          </w:p>
          <w:p>
            <w:pPr>
              <w:spacing w:after="20"/>
              <w:ind w:left="20"/>
              <w:jc w:val="both"/>
            </w:pPr>
            <w:r>
              <w:rPr>
                <w:rFonts w:ascii="Times New Roman"/>
                <w:b w:val="false"/>
                <w:i w:val="false"/>
                <w:color w:val="000000"/>
                <w:sz w:val="20"/>
              </w:rPr>
              <w:t>
   6. Согласование или утверждение всех процедур, которые могут оказывать влияние на качество промежуточной продукции или АФС;</w:t>
            </w:r>
          </w:p>
          <w:p>
            <w:pPr>
              <w:spacing w:after="20"/>
              <w:ind w:left="20"/>
              <w:jc w:val="both"/>
            </w:pPr>
            <w:r>
              <w:rPr>
                <w:rFonts w:ascii="Times New Roman"/>
                <w:b w:val="false"/>
                <w:i w:val="false"/>
                <w:color w:val="000000"/>
                <w:sz w:val="20"/>
              </w:rPr>
              <w:t>
   7. Обеспечение проведения внутренних аудитов, самоинспекций;</w:t>
            </w:r>
          </w:p>
          <w:p>
            <w:pPr>
              <w:spacing w:after="20"/>
              <w:ind w:left="20"/>
              <w:jc w:val="both"/>
            </w:pPr>
            <w:r>
              <w:rPr>
                <w:rFonts w:ascii="Times New Roman"/>
                <w:b w:val="false"/>
                <w:i w:val="false"/>
                <w:color w:val="000000"/>
                <w:sz w:val="20"/>
              </w:rPr>
              <w:t>
   8. Одобрение производителей промежуточной продукции и АФС, работающих по контракту;</w:t>
            </w:r>
          </w:p>
          <w:p>
            <w:pPr>
              <w:spacing w:after="20"/>
              <w:ind w:left="20"/>
              <w:jc w:val="both"/>
            </w:pPr>
            <w:r>
              <w:rPr>
                <w:rFonts w:ascii="Times New Roman"/>
                <w:b w:val="false"/>
                <w:i w:val="false"/>
                <w:color w:val="000000"/>
                <w:sz w:val="20"/>
              </w:rPr>
              <w:t>
   9. Утверждение изменений, которые потенциально влияют на качество промежуточной продукции или АФС;</w:t>
            </w:r>
          </w:p>
          <w:p>
            <w:pPr>
              <w:spacing w:after="20"/>
              <w:ind w:left="20"/>
              <w:jc w:val="both"/>
            </w:pPr>
            <w:r>
              <w:rPr>
                <w:rFonts w:ascii="Times New Roman"/>
                <w:b w:val="false"/>
                <w:i w:val="false"/>
                <w:color w:val="000000"/>
                <w:sz w:val="20"/>
              </w:rPr>
              <w:t>
   10. Рассмотрение и утверждение протоколов и отчетов по валидации;</w:t>
            </w:r>
          </w:p>
          <w:p>
            <w:pPr>
              <w:spacing w:after="20"/>
              <w:ind w:left="20"/>
              <w:jc w:val="both"/>
            </w:pPr>
            <w:r>
              <w:rPr>
                <w:rFonts w:ascii="Times New Roman"/>
                <w:b w:val="false"/>
                <w:i w:val="false"/>
                <w:color w:val="000000"/>
                <w:sz w:val="20"/>
              </w:rPr>
              <w:t>
   11. Обеспечение проведения расследования и принятия решений по претензиям, связанным с качеством;</w:t>
            </w:r>
          </w:p>
          <w:p>
            <w:pPr>
              <w:spacing w:after="20"/>
              <w:ind w:left="20"/>
              <w:jc w:val="both"/>
            </w:pPr>
            <w:r>
              <w:rPr>
                <w:rFonts w:ascii="Times New Roman"/>
                <w:b w:val="false"/>
                <w:i w:val="false"/>
                <w:color w:val="000000"/>
                <w:sz w:val="20"/>
              </w:rPr>
              <w:t>
   12. Подтверждение того, что системы, использующиеся для технического обслуживания, калибровки и поверки критического оборудования, являются эффективными;</w:t>
            </w:r>
          </w:p>
          <w:p>
            <w:pPr>
              <w:spacing w:after="20"/>
              <w:ind w:left="20"/>
              <w:jc w:val="both"/>
            </w:pPr>
            <w:r>
              <w:rPr>
                <w:rFonts w:ascii="Times New Roman"/>
                <w:b w:val="false"/>
                <w:i w:val="false"/>
                <w:color w:val="000000"/>
                <w:sz w:val="20"/>
              </w:rPr>
              <w:t>
   13. Обеспечение соответствующих испытаний исходного сырья и материалов и документального оформления результатов;</w:t>
            </w:r>
          </w:p>
          <w:p>
            <w:pPr>
              <w:spacing w:after="20"/>
              <w:ind w:left="20"/>
              <w:jc w:val="both"/>
            </w:pPr>
            <w:r>
              <w:rPr>
                <w:rFonts w:ascii="Times New Roman"/>
                <w:b w:val="false"/>
                <w:i w:val="false"/>
                <w:color w:val="000000"/>
                <w:sz w:val="20"/>
              </w:rPr>
              <w:t>
   14. Обеспечение наличия данных о стабильности для подтверждения устанавливаемых дат проведения повторных испытаний или истечения сроков годности, а также условий хранения АФС и (или) промежуточной продукции в тех случаях, когда это целесообразно;</w:t>
            </w:r>
          </w:p>
          <w:p>
            <w:pPr>
              <w:spacing w:after="20"/>
              <w:ind w:left="20"/>
              <w:jc w:val="both"/>
            </w:pPr>
            <w:r>
              <w:rPr>
                <w:rFonts w:ascii="Times New Roman"/>
                <w:b w:val="false"/>
                <w:i w:val="false"/>
                <w:color w:val="000000"/>
                <w:sz w:val="20"/>
              </w:rPr>
              <w:t>
   15. Проведение обзоров качества продукции согласно указаниям, приведенным в пункте 2.6 части II настоящего Стандарта.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Обязанности по производственной деятельности</w:t>
            </w:r>
          </w:p>
          <w:p>
            <w:pPr>
              <w:spacing w:after="20"/>
              <w:ind w:left="20"/>
              <w:jc w:val="both"/>
            </w:pPr>
            <w:r>
              <w:rPr>
                <w:rFonts w:ascii="Times New Roman"/>
                <w:b w:val="false"/>
                <w:i w:val="false"/>
                <w:color w:val="000000"/>
                <w:sz w:val="20"/>
              </w:rPr>
              <w:t xml:space="preserve">
   Обязанности по производственной деятельности представляются в письменном виде и включают следующее, но не обязательно ограничиваются этим: </w:t>
            </w:r>
          </w:p>
          <w:p>
            <w:pPr>
              <w:spacing w:after="20"/>
              <w:ind w:left="20"/>
              <w:jc w:val="both"/>
            </w:pPr>
            <w:r>
              <w:rPr>
                <w:rFonts w:ascii="Times New Roman"/>
                <w:b w:val="false"/>
                <w:i w:val="false"/>
                <w:color w:val="000000"/>
                <w:sz w:val="20"/>
              </w:rPr>
              <w:t>
   1. Разработка, пересмотр, утверждение и распределение инструкций по производству промежуточной продукции или АФС в соответствии с утвержденной процедурой;</w:t>
            </w:r>
          </w:p>
          <w:p>
            <w:pPr>
              <w:spacing w:after="20"/>
              <w:ind w:left="20"/>
              <w:jc w:val="both"/>
            </w:pPr>
            <w:r>
              <w:rPr>
                <w:rFonts w:ascii="Times New Roman"/>
                <w:b w:val="false"/>
                <w:i w:val="false"/>
                <w:color w:val="000000"/>
                <w:sz w:val="20"/>
              </w:rPr>
              <w:t>
   2. Производство АФС и, при необходимости, промежуточной продукции в соответствии с утвержденными инструкциями;</w:t>
            </w:r>
          </w:p>
          <w:p>
            <w:pPr>
              <w:spacing w:after="20"/>
              <w:ind w:left="20"/>
              <w:jc w:val="both"/>
            </w:pPr>
            <w:r>
              <w:rPr>
                <w:rFonts w:ascii="Times New Roman"/>
                <w:b w:val="false"/>
                <w:i w:val="false"/>
                <w:color w:val="000000"/>
                <w:sz w:val="20"/>
              </w:rPr>
              <w:t>
   3. Рассмотрение записей по производству серии продукции и подтверждение их заполнения и подписания;</w:t>
            </w:r>
          </w:p>
          <w:p>
            <w:pPr>
              <w:spacing w:after="20"/>
              <w:ind w:left="20"/>
              <w:jc w:val="both"/>
            </w:pPr>
            <w:r>
              <w:rPr>
                <w:rFonts w:ascii="Times New Roman"/>
                <w:b w:val="false"/>
                <w:i w:val="false"/>
                <w:color w:val="000000"/>
                <w:sz w:val="20"/>
              </w:rPr>
              <w:t xml:space="preserve">
   4. Обеспечение обязательного документирования всех отклонений от процесса производства и проведения их оценки, а также расследования критических отклонений и документального оформления полученных выводов; </w:t>
            </w:r>
          </w:p>
          <w:p>
            <w:pPr>
              <w:spacing w:after="20"/>
              <w:ind w:left="20"/>
              <w:jc w:val="both"/>
            </w:pPr>
            <w:r>
              <w:rPr>
                <w:rFonts w:ascii="Times New Roman"/>
                <w:b w:val="false"/>
                <w:i w:val="false"/>
                <w:color w:val="000000"/>
                <w:sz w:val="20"/>
              </w:rPr>
              <w:t>
   5. Обеспечение чистоты производственных помещений и, при необходимости, их дезинфекции;</w:t>
            </w:r>
          </w:p>
          <w:p>
            <w:pPr>
              <w:spacing w:after="20"/>
              <w:ind w:left="20"/>
              <w:jc w:val="both"/>
            </w:pPr>
            <w:r>
              <w:rPr>
                <w:rFonts w:ascii="Times New Roman"/>
                <w:b w:val="false"/>
                <w:i w:val="false"/>
                <w:color w:val="000000"/>
                <w:sz w:val="20"/>
              </w:rPr>
              <w:t>
   6. Обеспечение выполнения необходимых калибровок, а также ведения и хранения записей;</w:t>
            </w:r>
          </w:p>
          <w:p>
            <w:pPr>
              <w:spacing w:after="20"/>
              <w:ind w:left="20"/>
              <w:jc w:val="both"/>
            </w:pPr>
            <w:r>
              <w:rPr>
                <w:rFonts w:ascii="Times New Roman"/>
                <w:b w:val="false"/>
                <w:i w:val="false"/>
                <w:color w:val="000000"/>
                <w:sz w:val="20"/>
              </w:rPr>
              <w:t>
   7. Обеспечение обслуживания помещений и оборудования, а также ведения и хранения записей;</w:t>
            </w:r>
          </w:p>
          <w:p>
            <w:pPr>
              <w:spacing w:after="20"/>
              <w:ind w:left="20"/>
              <w:jc w:val="both"/>
            </w:pPr>
            <w:r>
              <w:rPr>
                <w:rFonts w:ascii="Times New Roman"/>
                <w:b w:val="false"/>
                <w:i w:val="false"/>
                <w:color w:val="000000"/>
                <w:sz w:val="20"/>
              </w:rPr>
              <w:t>
   8. Обеспечение проверки и согласования протоколов валидации и отчетов;</w:t>
            </w:r>
          </w:p>
          <w:p>
            <w:pPr>
              <w:spacing w:after="20"/>
              <w:ind w:left="20"/>
              <w:jc w:val="both"/>
            </w:pPr>
            <w:r>
              <w:rPr>
                <w:rFonts w:ascii="Times New Roman"/>
                <w:b w:val="false"/>
                <w:i w:val="false"/>
                <w:color w:val="000000"/>
                <w:sz w:val="20"/>
              </w:rPr>
              <w:t>
   9. Оценка предлагаемых изменений в отношении продукции, процесса или оборудования;</w:t>
            </w:r>
          </w:p>
          <w:p>
            <w:pPr>
              <w:spacing w:after="20"/>
              <w:ind w:left="20"/>
              <w:jc w:val="both"/>
            </w:pPr>
            <w:r>
              <w:rPr>
                <w:rFonts w:ascii="Times New Roman"/>
                <w:b w:val="false"/>
                <w:i w:val="false"/>
                <w:color w:val="000000"/>
                <w:sz w:val="20"/>
              </w:rPr>
              <w:t>
   10. Обеспечение квалификации новых и, при необходимости, модернизированных помещений и оборудования.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Внутренние аудиты, самоинспекция</w:t>
            </w:r>
          </w:p>
          <w:p>
            <w:pPr>
              <w:spacing w:after="20"/>
              <w:ind w:left="20"/>
              <w:jc w:val="both"/>
            </w:pPr>
            <w:r>
              <w:rPr>
                <w:rFonts w:ascii="Times New Roman"/>
                <w:b w:val="false"/>
                <w:i w:val="false"/>
                <w:color w:val="000000"/>
                <w:sz w:val="20"/>
              </w:rPr>
              <w:t>
   2.50. Для подтверждения соответствия производства АФС требованиям настоящего Стандарта регулярно проводятся внутренние аудиты согласно утвержденному графику.</w:t>
            </w:r>
          </w:p>
          <w:p>
            <w:pPr>
              <w:spacing w:after="20"/>
              <w:ind w:left="20"/>
              <w:jc w:val="both"/>
            </w:pPr>
            <w:r>
              <w:rPr>
                <w:rFonts w:ascii="Times New Roman"/>
                <w:b w:val="false"/>
                <w:i w:val="false"/>
                <w:color w:val="000000"/>
                <w:sz w:val="20"/>
              </w:rPr>
              <w:t>
   2.51. Результаты внутреннего аудита и последующие корректирующие действия оформляются документально и доводятся до сведения ответственных руководителей предприятия. Согласованные корректирующие действия выполняются своевременно и эффективно.</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Обзор качества продукции</w:t>
            </w:r>
          </w:p>
          <w:p>
            <w:pPr>
              <w:spacing w:after="20"/>
              <w:ind w:left="20"/>
              <w:jc w:val="both"/>
            </w:pPr>
            <w:r>
              <w:rPr>
                <w:rFonts w:ascii="Times New Roman"/>
                <w:b w:val="false"/>
                <w:i w:val="false"/>
                <w:color w:val="000000"/>
                <w:sz w:val="20"/>
              </w:rPr>
              <w:t>
   2.60. Для подтверждения постоянства процесса регулярно проводятся обзоры качества АФС. Такие обзоры качества проводят ежегодно с последующим документальным оформлением. Они включают в себя, по крайней мере, следующее:</w:t>
            </w:r>
          </w:p>
          <w:p>
            <w:pPr>
              <w:spacing w:after="20"/>
              <w:ind w:left="20"/>
              <w:jc w:val="both"/>
            </w:pPr>
            <w:r>
              <w:rPr>
                <w:rFonts w:ascii="Times New Roman"/>
                <w:b w:val="false"/>
                <w:i w:val="false"/>
                <w:color w:val="000000"/>
                <w:sz w:val="20"/>
              </w:rPr>
              <w:t>
   - обзор результатов контроля в процессе производства по критическим точкам и испытаний АФС по критическим показателям;</w:t>
            </w:r>
          </w:p>
          <w:p>
            <w:pPr>
              <w:spacing w:after="20"/>
              <w:ind w:left="20"/>
              <w:jc w:val="both"/>
            </w:pPr>
            <w:r>
              <w:rPr>
                <w:rFonts w:ascii="Times New Roman"/>
                <w:b w:val="false"/>
                <w:i w:val="false"/>
                <w:color w:val="000000"/>
                <w:sz w:val="20"/>
              </w:rPr>
              <w:t>
   - обзор серий, не соответствующих утвержденным спецификациям;</w:t>
            </w:r>
          </w:p>
          <w:p>
            <w:pPr>
              <w:spacing w:after="20"/>
              <w:ind w:left="20"/>
              <w:jc w:val="both"/>
            </w:pPr>
            <w:r>
              <w:rPr>
                <w:rFonts w:ascii="Times New Roman"/>
                <w:b w:val="false"/>
                <w:i w:val="false"/>
                <w:color w:val="000000"/>
                <w:sz w:val="20"/>
              </w:rPr>
              <w:t>
   - обзор критических отклонений или несоответствий и связанных с ними расследований;</w:t>
            </w:r>
          </w:p>
          <w:p>
            <w:pPr>
              <w:spacing w:after="20"/>
              <w:ind w:left="20"/>
              <w:jc w:val="both"/>
            </w:pPr>
            <w:r>
              <w:rPr>
                <w:rFonts w:ascii="Times New Roman"/>
                <w:b w:val="false"/>
                <w:i w:val="false"/>
                <w:color w:val="000000"/>
                <w:sz w:val="20"/>
              </w:rPr>
              <w:t>
   - обзор любых изменений, внесенных в процессы или аналитические методики;</w:t>
            </w:r>
          </w:p>
          <w:p>
            <w:pPr>
              <w:spacing w:after="20"/>
              <w:ind w:left="20"/>
              <w:jc w:val="both"/>
            </w:pPr>
            <w:r>
              <w:rPr>
                <w:rFonts w:ascii="Times New Roman"/>
                <w:b w:val="false"/>
                <w:i w:val="false"/>
                <w:color w:val="000000"/>
                <w:sz w:val="20"/>
              </w:rPr>
              <w:t>
   - обзор результатов программы изучения стабильности;</w:t>
            </w:r>
          </w:p>
          <w:p>
            <w:pPr>
              <w:spacing w:after="20"/>
              <w:ind w:left="20"/>
              <w:jc w:val="both"/>
            </w:pPr>
            <w:r>
              <w:rPr>
                <w:rFonts w:ascii="Times New Roman"/>
                <w:b w:val="false"/>
                <w:i w:val="false"/>
                <w:color w:val="000000"/>
                <w:sz w:val="20"/>
              </w:rPr>
              <w:t>
   - обзор возвратов, претензий и отзывов, связанных с качеством;</w:t>
            </w:r>
          </w:p>
          <w:p>
            <w:pPr>
              <w:spacing w:after="20"/>
              <w:ind w:left="20"/>
              <w:jc w:val="both"/>
            </w:pPr>
            <w:r>
              <w:rPr>
                <w:rFonts w:ascii="Times New Roman"/>
                <w:b w:val="false"/>
                <w:i w:val="false"/>
                <w:color w:val="000000"/>
                <w:sz w:val="20"/>
              </w:rPr>
              <w:t>
   - обзор адекватности корректирующих действий.</w:t>
            </w:r>
          </w:p>
          <w:p>
            <w:pPr>
              <w:spacing w:after="20"/>
              <w:ind w:left="20"/>
              <w:jc w:val="both"/>
            </w:pPr>
            <w:r>
              <w:rPr>
                <w:rFonts w:ascii="Times New Roman"/>
                <w:b w:val="false"/>
                <w:i w:val="false"/>
                <w:color w:val="000000"/>
                <w:sz w:val="20"/>
              </w:rPr>
              <w:t xml:space="preserve">
   2.61. Результаты этого обзора анализируются и оцениваются для проведения корректирующего действия или проведения повторной валидации. Обоснование необходимости корректирующего действия оформляется документально. Согласованные корректирующие действия осуществляются своевременно и эффективно.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Квалификация персонала</w:t>
            </w:r>
          </w:p>
          <w:p>
            <w:pPr>
              <w:spacing w:after="20"/>
              <w:ind w:left="20"/>
              <w:jc w:val="both"/>
            </w:pPr>
            <w:r>
              <w:rPr>
                <w:rFonts w:ascii="Times New Roman"/>
                <w:b w:val="false"/>
                <w:i w:val="false"/>
                <w:color w:val="000000"/>
                <w:sz w:val="20"/>
              </w:rPr>
              <w:t xml:space="preserve">
   3.10. На предприятии имеется достаточное количество персонала, имеющего соответствующее образование, подготовку и (или) практический опыт для осуществления производства промежуточной продукции и АФС, а также надзора за их производством. </w:t>
            </w:r>
          </w:p>
          <w:p>
            <w:pPr>
              <w:spacing w:after="20"/>
              <w:ind w:left="20"/>
              <w:jc w:val="both"/>
            </w:pPr>
            <w:r>
              <w:rPr>
                <w:rFonts w:ascii="Times New Roman"/>
                <w:b w:val="false"/>
                <w:i w:val="false"/>
                <w:color w:val="000000"/>
                <w:sz w:val="20"/>
              </w:rPr>
              <w:t>
   3.11. Обязанности всего персонала, занятого в производстве промежуточной продукции и АФС, точно определяются и изложены в письменной форме.</w:t>
            </w:r>
          </w:p>
          <w:p>
            <w:pPr>
              <w:spacing w:after="20"/>
              <w:ind w:left="20"/>
              <w:jc w:val="both"/>
            </w:pPr>
            <w:r>
              <w:rPr>
                <w:rFonts w:ascii="Times New Roman"/>
                <w:b w:val="false"/>
                <w:i w:val="false"/>
                <w:color w:val="000000"/>
                <w:sz w:val="20"/>
              </w:rPr>
              <w:t xml:space="preserve">
   3.12. Регулярно проводится обучение персонала с привлечением квалифицированных специалистов, по вопросам, связанным с конкретными операциями, выполняемыми сотрудником, а также с требованиями настоящего Стандарта, имеющими отношение к функциональным обязанностям сотрудника. Ведутся записи обучения, а эффективность обучения периодически оценивается.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Гигиена персонала</w:t>
            </w:r>
          </w:p>
          <w:p>
            <w:pPr>
              <w:spacing w:after="20"/>
              <w:ind w:left="20"/>
              <w:jc w:val="both"/>
            </w:pPr>
            <w:r>
              <w:rPr>
                <w:rFonts w:ascii="Times New Roman"/>
                <w:b w:val="false"/>
                <w:i w:val="false"/>
                <w:color w:val="000000"/>
                <w:sz w:val="20"/>
              </w:rPr>
              <w:t>
   3.20. Персонал соблюдает правила гигиены.</w:t>
            </w:r>
          </w:p>
          <w:p>
            <w:pPr>
              <w:spacing w:after="20"/>
              <w:ind w:left="20"/>
              <w:jc w:val="both"/>
            </w:pPr>
            <w:r>
              <w:rPr>
                <w:rFonts w:ascii="Times New Roman"/>
                <w:b w:val="false"/>
                <w:i w:val="false"/>
                <w:color w:val="000000"/>
                <w:sz w:val="20"/>
              </w:rPr>
              <w:t xml:space="preserve">
   3.21. Персонал носит чистую, соответствующую его производственной деятельности одежду, которую периодически меняют. Для защиты промежуточной продукции и АФС от контаминации, используется дополнительная защитная одежда, закрывающая голову, лицо, руки и кисти рук. </w:t>
            </w:r>
          </w:p>
          <w:p>
            <w:pPr>
              <w:spacing w:after="20"/>
              <w:ind w:left="20"/>
              <w:jc w:val="both"/>
            </w:pPr>
            <w:r>
              <w:rPr>
                <w:rFonts w:ascii="Times New Roman"/>
                <w:b w:val="false"/>
                <w:i w:val="false"/>
                <w:color w:val="000000"/>
                <w:sz w:val="20"/>
              </w:rPr>
              <w:t>
   3.22. Персонал избегает непосредственного контакта с промежуточной продукцией или АФС.</w:t>
            </w:r>
          </w:p>
          <w:p>
            <w:pPr>
              <w:spacing w:after="20"/>
              <w:ind w:left="20"/>
              <w:jc w:val="both"/>
            </w:pPr>
            <w:r>
              <w:rPr>
                <w:rFonts w:ascii="Times New Roman"/>
                <w:b w:val="false"/>
                <w:i w:val="false"/>
                <w:color w:val="000000"/>
                <w:sz w:val="20"/>
              </w:rPr>
              <w:t>
   3.23. Курение, прием пищи, питье, жевание и хранение пищевых продуктов допускается только в специально предназначенных зонах, отделенных от производственных зон.</w:t>
            </w:r>
          </w:p>
          <w:p>
            <w:pPr>
              <w:spacing w:after="20"/>
              <w:ind w:left="20"/>
              <w:jc w:val="both"/>
            </w:pPr>
            <w:r>
              <w:rPr>
                <w:rFonts w:ascii="Times New Roman"/>
                <w:b w:val="false"/>
                <w:i w:val="false"/>
                <w:color w:val="000000"/>
                <w:sz w:val="20"/>
              </w:rPr>
              <w:t xml:space="preserve">
   3.24. При наличии у сотрудников инфекционных заболеваний или открытых повреждений на незащищенных участках поверхности тела, их отстраняют от участия в работе, поскольку при этом качество АФС подвергается риску. Любого сотрудника с явными признаками заболевания или открытыми повреждениями кожи по результатам медицинского обследования или наблюдения отстраняют от работ, при выполнении которых состояние его здоровья оказывает неблагоприятное воздействие на качество АФС, до выздоровления или получения медицинского заключения о том, что сотрудник допущен к работе.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Консультанты</w:t>
            </w:r>
          </w:p>
          <w:p>
            <w:pPr>
              <w:spacing w:after="20"/>
              <w:ind w:left="20"/>
              <w:jc w:val="both"/>
            </w:pPr>
            <w:r>
              <w:rPr>
                <w:rFonts w:ascii="Times New Roman"/>
                <w:b w:val="false"/>
                <w:i w:val="false"/>
                <w:color w:val="000000"/>
                <w:sz w:val="20"/>
              </w:rPr>
              <w:t>
   3.30. Консультанты по вопросам производства и контроля промежуточной продукции или АФС имеют соответствующее образование, подготовку, практический опыт или любое их сочетание для того, чтобы консультировать по вопросам, для решения которых их пригласили.</w:t>
            </w:r>
          </w:p>
          <w:p>
            <w:pPr>
              <w:spacing w:after="20"/>
              <w:ind w:left="20"/>
              <w:jc w:val="both"/>
            </w:pPr>
            <w:r>
              <w:rPr>
                <w:rFonts w:ascii="Times New Roman"/>
                <w:b w:val="false"/>
                <w:i w:val="false"/>
                <w:color w:val="000000"/>
                <w:sz w:val="20"/>
              </w:rPr>
              <w:t>
   3.31. Ведется учет консультантов с указанием личных данных, адреса проживания, квалификации и вида услуг, предоставляемых этими консультантами.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Здания и помещения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Проектирование и строительство</w:t>
            </w:r>
          </w:p>
          <w:p>
            <w:pPr>
              <w:spacing w:after="20"/>
              <w:ind w:left="20"/>
              <w:jc w:val="both"/>
            </w:pPr>
            <w:r>
              <w:rPr>
                <w:rFonts w:ascii="Times New Roman"/>
                <w:b w:val="false"/>
                <w:i w:val="false"/>
                <w:color w:val="000000"/>
                <w:sz w:val="20"/>
              </w:rPr>
              <w:t>
   4.10. Здания и помещения, используемые при производстве промежуточной продукции и АФС, располагаются, проектируются и конструируются таким образом, чтобы обеспечить возможность их очистки, обслуживания и функционирования в соответствии с типом и стадией производства. Помещения проектируются таким образом, чтобы свести к минимуму возможную контаминацию. Если установлены спецификации в отношении микробиологических показателей промежуточной продукции или АФС, помещения проектируются таким образом, чтобы по возможности ограничить риск нежелательной микробной контаминации.</w:t>
            </w:r>
          </w:p>
          <w:p>
            <w:pPr>
              <w:spacing w:after="20"/>
              <w:ind w:left="20"/>
              <w:jc w:val="both"/>
            </w:pPr>
            <w:r>
              <w:rPr>
                <w:rFonts w:ascii="Times New Roman"/>
                <w:b w:val="false"/>
                <w:i w:val="false"/>
                <w:color w:val="000000"/>
                <w:sz w:val="20"/>
              </w:rPr>
              <w:t>
   4.11. Здания и помещения планируются просторными для правильного расположения оборудования, хранения и перемещения материалов, чтобы предотвратить перепутывание и контаминацию.</w:t>
            </w:r>
          </w:p>
          <w:p>
            <w:pPr>
              <w:spacing w:after="20"/>
              <w:ind w:left="20"/>
              <w:jc w:val="both"/>
            </w:pPr>
            <w:r>
              <w:rPr>
                <w:rFonts w:ascii="Times New Roman"/>
                <w:b w:val="false"/>
                <w:i w:val="false"/>
                <w:color w:val="000000"/>
                <w:sz w:val="20"/>
              </w:rPr>
              <w:t>
   4.12. Если оборудование обеспечивает надежную защиту материалов, то оно располагается вне помещения.</w:t>
            </w:r>
          </w:p>
          <w:p>
            <w:pPr>
              <w:spacing w:after="20"/>
              <w:ind w:left="20"/>
              <w:jc w:val="both"/>
            </w:pPr>
            <w:r>
              <w:rPr>
                <w:rFonts w:ascii="Times New Roman"/>
                <w:b w:val="false"/>
                <w:i w:val="false"/>
                <w:color w:val="000000"/>
                <w:sz w:val="20"/>
              </w:rPr>
              <w:t>
   4.13. Перемещение материалов и передвижение персонала в здании и помещениях предусматривается таким образом, чтобы предотвратить перепутывание или контаминацию.</w:t>
            </w:r>
          </w:p>
          <w:p>
            <w:pPr>
              <w:spacing w:after="20"/>
              <w:ind w:left="20"/>
              <w:jc w:val="both"/>
            </w:pPr>
            <w:r>
              <w:rPr>
                <w:rFonts w:ascii="Times New Roman"/>
                <w:b w:val="false"/>
                <w:i w:val="false"/>
                <w:color w:val="000000"/>
                <w:sz w:val="20"/>
              </w:rPr>
              <w:t>
   4.14. Определяются конкретные зоны или другие системы контроля для следующих операций:</w:t>
            </w:r>
          </w:p>
          <w:p>
            <w:pPr>
              <w:spacing w:after="20"/>
              <w:ind w:left="20"/>
              <w:jc w:val="both"/>
            </w:pPr>
            <w:r>
              <w:rPr>
                <w:rFonts w:ascii="Times New Roman"/>
                <w:b w:val="false"/>
                <w:i w:val="false"/>
                <w:color w:val="000000"/>
                <w:sz w:val="20"/>
              </w:rPr>
              <w:t>
   - приемка, идентификация, отбор проб и карантин поступающих материалов до выдачи разрешения на использование или до отклонения;</w:t>
            </w:r>
          </w:p>
          <w:p>
            <w:pPr>
              <w:spacing w:after="20"/>
              <w:ind w:left="20"/>
              <w:jc w:val="both"/>
            </w:pPr>
            <w:r>
              <w:rPr>
                <w:rFonts w:ascii="Times New Roman"/>
                <w:b w:val="false"/>
                <w:i w:val="false"/>
                <w:color w:val="000000"/>
                <w:sz w:val="20"/>
              </w:rPr>
              <w:t>
   - хранение промежуточной продукции и АФС в карантине до выдачи разрешения на выпуск или до отклонения;</w:t>
            </w:r>
          </w:p>
          <w:p>
            <w:pPr>
              <w:spacing w:after="20"/>
              <w:ind w:left="20"/>
              <w:jc w:val="both"/>
            </w:pPr>
            <w:r>
              <w:rPr>
                <w:rFonts w:ascii="Times New Roman"/>
                <w:b w:val="false"/>
                <w:i w:val="false"/>
                <w:color w:val="000000"/>
                <w:sz w:val="20"/>
              </w:rPr>
              <w:t>
   - отбор проб промежуточной продукции и АФС;</w:t>
            </w:r>
          </w:p>
          <w:p>
            <w:pPr>
              <w:spacing w:after="20"/>
              <w:ind w:left="20"/>
              <w:jc w:val="both"/>
            </w:pPr>
            <w:r>
              <w:rPr>
                <w:rFonts w:ascii="Times New Roman"/>
                <w:b w:val="false"/>
                <w:i w:val="false"/>
                <w:color w:val="000000"/>
                <w:sz w:val="20"/>
              </w:rPr>
              <w:t>
   - хранение отклоненных материалов до избавления от них;</w:t>
            </w:r>
          </w:p>
          <w:p>
            <w:pPr>
              <w:spacing w:after="20"/>
              <w:ind w:left="20"/>
              <w:jc w:val="both"/>
            </w:pPr>
            <w:r>
              <w:rPr>
                <w:rFonts w:ascii="Times New Roman"/>
                <w:b w:val="false"/>
                <w:i w:val="false"/>
                <w:color w:val="000000"/>
                <w:sz w:val="20"/>
              </w:rPr>
              <w:t>
   - хранение материалов, которые разрешены к использованию;</w:t>
            </w:r>
          </w:p>
          <w:p>
            <w:pPr>
              <w:spacing w:after="20"/>
              <w:ind w:left="20"/>
              <w:jc w:val="both"/>
            </w:pPr>
            <w:r>
              <w:rPr>
                <w:rFonts w:ascii="Times New Roman"/>
                <w:b w:val="false"/>
                <w:i w:val="false"/>
                <w:color w:val="000000"/>
                <w:sz w:val="20"/>
              </w:rPr>
              <w:t>
   - технологические операции;</w:t>
            </w:r>
          </w:p>
          <w:p>
            <w:pPr>
              <w:spacing w:after="20"/>
              <w:ind w:left="20"/>
              <w:jc w:val="both"/>
            </w:pPr>
            <w:r>
              <w:rPr>
                <w:rFonts w:ascii="Times New Roman"/>
                <w:b w:val="false"/>
                <w:i w:val="false"/>
                <w:color w:val="000000"/>
                <w:sz w:val="20"/>
              </w:rPr>
              <w:t>
   - операции по упаковке и маркировке;</w:t>
            </w:r>
          </w:p>
          <w:p>
            <w:pPr>
              <w:spacing w:after="20"/>
              <w:ind w:left="20"/>
              <w:jc w:val="both"/>
            </w:pPr>
            <w:r>
              <w:rPr>
                <w:rFonts w:ascii="Times New Roman"/>
                <w:b w:val="false"/>
                <w:i w:val="false"/>
                <w:color w:val="000000"/>
                <w:sz w:val="20"/>
              </w:rPr>
              <w:t>
   - проведение лабораторных анализов.</w:t>
            </w:r>
          </w:p>
          <w:p>
            <w:pPr>
              <w:spacing w:after="20"/>
              <w:ind w:left="20"/>
              <w:jc w:val="both"/>
            </w:pPr>
            <w:r>
              <w:rPr>
                <w:rFonts w:ascii="Times New Roman"/>
                <w:b w:val="false"/>
                <w:i w:val="false"/>
                <w:color w:val="000000"/>
                <w:sz w:val="20"/>
              </w:rPr>
              <w:t>
   4.15. Предусматривается в достаточном количестве наличие необходимых помещений для подготовки персонала и туалетных комнат, в которых  поддерживается чистота. К ним подводится горячая и холодная вода, имеется мыло или иное моющее средство, воздушные сушилки или одноразовые полотенца. Умывальники и туалетные комнаты отделяются от производственных зон, но легкодоступны. Предусматриваются помещения для переодевания и при необходимости - для принятия душа.</w:t>
            </w:r>
          </w:p>
          <w:p>
            <w:pPr>
              <w:spacing w:after="20"/>
              <w:ind w:left="20"/>
              <w:jc w:val="both"/>
            </w:pPr>
            <w:r>
              <w:rPr>
                <w:rFonts w:ascii="Times New Roman"/>
                <w:b w:val="false"/>
                <w:i w:val="false"/>
                <w:color w:val="000000"/>
                <w:sz w:val="20"/>
              </w:rPr>
              <w:t>
   4.16. Лабораторные зоны и работы отделяются от производственных зон. Некоторые лабораторные зоны, в частности, зоны, используемые для контроля в процессе производства, допускается размещать в производственных зонах при условии, что операции технологического процесса не оказывают неблагоприятного влияния на точность лабораторных измерений, а лабораторные работы не оказывают неблагоприятного воздействия на технологический процесс, промежуточную продукцию или АФС.</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Инженерные системы</w:t>
            </w:r>
          </w:p>
          <w:p>
            <w:pPr>
              <w:spacing w:after="20"/>
              <w:ind w:left="20"/>
              <w:jc w:val="both"/>
            </w:pPr>
            <w:r>
              <w:rPr>
                <w:rFonts w:ascii="Times New Roman"/>
                <w:b w:val="false"/>
                <w:i w:val="false"/>
                <w:color w:val="000000"/>
                <w:sz w:val="20"/>
              </w:rPr>
              <w:t>
   4.20. Все инженерные системы, которые влияют на качество продукции проходят квалификацию; их соответствующим образом контролируют. Если превышены допустимые пределы, предпринимаются соответствующие меры. Чертежи этих инженерных систем имеются в наличии.</w:t>
            </w:r>
          </w:p>
          <w:p>
            <w:pPr>
              <w:spacing w:after="20"/>
              <w:ind w:left="20"/>
              <w:jc w:val="both"/>
            </w:pPr>
            <w:r>
              <w:rPr>
                <w:rFonts w:ascii="Times New Roman"/>
                <w:b w:val="false"/>
                <w:i w:val="false"/>
                <w:color w:val="000000"/>
                <w:sz w:val="20"/>
              </w:rPr>
              <w:t>
   4.21. При необходимости предусматриваются соответствующие системы вентиляции и фильтрации воздуха, а также вытяжные устройства. Эти системы проектируются и конструируются таким образом, чтобы свести к минимуму риск контаминации и перекрестной контаминации; они также снабжаются оборудованием для контроля давления воздуха, наличия микроорганизмов, запыленности, влажности и температуры, если это требуется для данной стадии производства. Особое внимание уделяется зонам, в которых АФС подвергаются воздействию производственной среды.</w:t>
            </w:r>
          </w:p>
          <w:p>
            <w:pPr>
              <w:spacing w:after="20"/>
              <w:ind w:left="20"/>
              <w:jc w:val="both"/>
            </w:pPr>
            <w:r>
              <w:rPr>
                <w:rFonts w:ascii="Times New Roman"/>
                <w:b w:val="false"/>
                <w:i w:val="false"/>
                <w:color w:val="000000"/>
                <w:sz w:val="20"/>
              </w:rPr>
              <w:t>
   4.22. В производственных помещениях с рециркуляцией воздуха предусматриваются меры по предотвращению риска контаминации и перекрестной контаминации.</w:t>
            </w:r>
          </w:p>
          <w:p>
            <w:pPr>
              <w:spacing w:after="20"/>
              <w:ind w:left="20"/>
              <w:jc w:val="both"/>
            </w:pPr>
            <w:r>
              <w:rPr>
                <w:rFonts w:ascii="Times New Roman"/>
                <w:b w:val="false"/>
                <w:i w:val="false"/>
                <w:color w:val="000000"/>
                <w:sz w:val="20"/>
              </w:rPr>
              <w:t>
   4.23. Стационарные трубопроводы надлежащим образом идентифицируются. Это достигается с помощью маркировки отдельных трубопроводов, соответствующей документации, систем компьютерного контроля или иными способами. Трубопроводы располагаются таким образом, чтобы избежать риска контаминации промежуточной продукции или АФС.</w:t>
            </w:r>
          </w:p>
          <w:p>
            <w:pPr>
              <w:spacing w:after="20"/>
              <w:ind w:left="20"/>
              <w:jc w:val="both"/>
            </w:pPr>
            <w:r>
              <w:rPr>
                <w:rFonts w:ascii="Times New Roman"/>
                <w:b w:val="false"/>
                <w:i w:val="false"/>
                <w:color w:val="000000"/>
                <w:sz w:val="20"/>
              </w:rPr>
              <w:t xml:space="preserve">
   4.24. Стоки имеют соответствующие размеры и разрыв струи или, если это необходимо, устройство для предотвращения обратного потока.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Вода</w:t>
            </w:r>
          </w:p>
          <w:p>
            <w:pPr>
              <w:spacing w:after="20"/>
              <w:ind w:left="20"/>
              <w:jc w:val="both"/>
            </w:pPr>
            <w:r>
              <w:rPr>
                <w:rFonts w:ascii="Times New Roman"/>
                <w:b w:val="false"/>
                <w:i w:val="false"/>
                <w:color w:val="000000"/>
                <w:sz w:val="20"/>
              </w:rPr>
              <w:t>
   4.30. Подтверждается, что вода, используемая в производстве АФС, соответствует предполагаемому назначению.</w:t>
            </w:r>
          </w:p>
          <w:p>
            <w:pPr>
              <w:spacing w:after="20"/>
              <w:ind w:left="20"/>
              <w:jc w:val="both"/>
            </w:pPr>
            <w:r>
              <w:rPr>
                <w:rFonts w:ascii="Times New Roman"/>
                <w:b w:val="false"/>
                <w:i w:val="false"/>
                <w:color w:val="000000"/>
                <w:sz w:val="20"/>
              </w:rPr>
              <w:t>
   4.31. Если нет других указаний, качество воды, используемой в производственном процессе, соответствует требованиям нормативных документов к воде питьевой.</w:t>
            </w:r>
          </w:p>
          <w:p>
            <w:pPr>
              <w:spacing w:after="20"/>
              <w:ind w:left="20"/>
              <w:jc w:val="both"/>
            </w:pPr>
            <w:r>
              <w:rPr>
                <w:rFonts w:ascii="Times New Roman"/>
                <w:b w:val="false"/>
                <w:i w:val="false"/>
                <w:color w:val="000000"/>
                <w:sz w:val="20"/>
              </w:rPr>
              <w:t>
   4.32. Если для обеспечения качества АФС характеристик воды питьевой недостаточно и необходимы более жесткие требования к химическим и (или) микробиологическим характеристикам воды, разрабатываются соответствующие спецификации на воду по физическим и (или) химическим свойствам, общему числу микроорганизмов, недопустимым микроорганизмам и (или) содержанию эндотоксинов в воде.</w:t>
            </w:r>
          </w:p>
          <w:p>
            <w:pPr>
              <w:spacing w:after="20"/>
              <w:ind w:left="20"/>
              <w:jc w:val="both"/>
            </w:pPr>
            <w:r>
              <w:rPr>
                <w:rFonts w:ascii="Times New Roman"/>
                <w:b w:val="false"/>
                <w:i w:val="false"/>
                <w:color w:val="000000"/>
                <w:sz w:val="20"/>
              </w:rPr>
              <w:t>
   4.33. Если производитель подвергает воду, используемую в производстве, специальной обработке для достижения определенного качества, то процесс обработки проходит валидацию и его контролируют с учетом установленных пределов.</w:t>
            </w:r>
          </w:p>
          <w:p>
            <w:pPr>
              <w:spacing w:after="20"/>
              <w:ind w:left="20"/>
              <w:jc w:val="both"/>
            </w:pPr>
            <w:r>
              <w:rPr>
                <w:rFonts w:ascii="Times New Roman"/>
                <w:b w:val="false"/>
                <w:i w:val="false"/>
                <w:color w:val="000000"/>
                <w:sz w:val="20"/>
              </w:rPr>
              <w:t>
   4.34. Если производитель нестерильной АФС намеревается использовать свою продукцию для последующего производства стерильного лекарственного препарата или утверждает, что его продукция пригодна для получения стерильного лекарственного препарата, то воду, используемую на последних стадиях выделения и очистки,  подвергают мониторингу и контролируют в отношении общего количества микроорганизмов, недопустимых микроорганизмов и эндотоксинов.</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Разделение зон</w:t>
            </w:r>
          </w:p>
          <w:p>
            <w:pPr>
              <w:spacing w:after="20"/>
              <w:ind w:left="20"/>
              <w:jc w:val="both"/>
            </w:pPr>
            <w:r>
              <w:rPr>
                <w:rFonts w:ascii="Times New Roman"/>
                <w:b w:val="false"/>
                <w:i w:val="false"/>
                <w:color w:val="000000"/>
                <w:sz w:val="20"/>
              </w:rPr>
              <w:t>
   4.40. Производство продукции с высокой сенсибилизирующей активностью, такой как пенициллины или цефалоспорины, осуществляют в специально выделенных производственных зонах, которые включают помещения, оборудование для обработки воздуха и технологическое оборудование.</w:t>
            </w:r>
          </w:p>
          <w:p>
            <w:pPr>
              <w:spacing w:after="20"/>
              <w:ind w:left="20"/>
              <w:jc w:val="both"/>
            </w:pPr>
            <w:r>
              <w:rPr>
                <w:rFonts w:ascii="Times New Roman"/>
                <w:b w:val="false"/>
                <w:i w:val="false"/>
                <w:color w:val="000000"/>
                <w:sz w:val="20"/>
              </w:rPr>
              <w:t>
   4.41. Специально выделенные производственные зоны предусматриваются также для веществ с инфицирующими свойствами, с высокой фармакологической активностью или токсичностью, такие как некоторые стероиды или цитотоксические противоопухолевые средства, за исключением тех случаев, когда установлены и осуществляются валидированные процедуры инактивации и (или) очистки.</w:t>
            </w:r>
          </w:p>
          <w:p>
            <w:pPr>
              <w:spacing w:after="20"/>
              <w:ind w:left="20"/>
              <w:jc w:val="both"/>
            </w:pPr>
            <w:r>
              <w:rPr>
                <w:rFonts w:ascii="Times New Roman"/>
                <w:b w:val="false"/>
                <w:i w:val="false"/>
                <w:color w:val="000000"/>
                <w:sz w:val="20"/>
              </w:rPr>
              <w:t xml:space="preserve">
   4.42. Разрабатываются и вводятся в действие соответствующие меры для предотвращения перекрестной контаминации со стороны персонала, материалов и т.п., перемещающихся из одной выделенной зоны в другую. </w:t>
            </w:r>
          </w:p>
          <w:p>
            <w:pPr>
              <w:spacing w:after="20"/>
              <w:ind w:left="20"/>
              <w:jc w:val="both"/>
            </w:pPr>
            <w:r>
              <w:rPr>
                <w:rFonts w:ascii="Times New Roman"/>
                <w:b w:val="false"/>
                <w:i w:val="false"/>
                <w:color w:val="000000"/>
                <w:sz w:val="20"/>
              </w:rPr>
              <w:t>
   4.43. Любые технологические операции, включая взвешивание, размол или упаковку, с высокотоксичными нефармацевтическими веществами, такими как гербициды и пестициды, не допускается проводить в тех же зданиях и (или) на том же оборудовании, которые используются для производства АФС. Работу с такими высокотоксичными нефармацевтическими веществами и их хранение осуществляют отдельно от АФС.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Освещение</w:t>
            </w:r>
          </w:p>
          <w:p>
            <w:pPr>
              <w:spacing w:after="20"/>
              <w:ind w:left="20"/>
              <w:jc w:val="both"/>
            </w:pPr>
            <w:r>
              <w:rPr>
                <w:rFonts w:ascii="Times New Roman"/>
                <w:b w:val="false"/>
                <w:i w:val="false"/>
                <w:color w:val="000000"/>
                <w:sz w:val="20"/>
              </w:rPr>
              <w:t>
   4.50. Во всех зонах обеспечивается соответствующее освещение, для того, чтобы проводить очистку, техническое обслуживание и надлежащее выполнение операций.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Стоки и отходы</w:t>
            </w:r>
          </w:p>
          <w:p>
            <w:pPr>
              <w:spacing w:after="20"/>
              <w:ind w:left="20"/>
              <w:jc w:val="both"/>
            </w:pPr>
            <w:r>
              <w:rPr>
                <w:rFonts w:ascii="Times New Roman"/>
                <w:b w:val="false"/>
                <w:i w:val="false"/>
                <w:color w:val="000000"/>
                <w:sz w:val="20"/>
              </w:rPr>
              <w:t>
   4.60. Стоки, отходы и другие отработанные материалы внутри и снаружи зданий, а также на непосредственно прилегающей территории удаляются своевременно, обеспечивая безопасность и соблюдая санитарно-гигиенические нормы. Контейнеры для мусора и (или) сточные трубы четко маркируются.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Санитарная обработка и техническое обслуживание</w:t>
            </w:r>
          </w:p>
          <w:p>
            <w:pPr>
              <w:spacing w:after="20"/>
              <w:ind w:left="20"/>
              <w:jc w:val="both"/>
            </w:pPr>
            <w:r>
              <w:rPr>
                <w:rFonts w:ascii="Times New Roman"/>
                <w:b w:val="false"/>
                <w:i w:val="false"/>
                <w:color w:val="000000"/>
                <w:sz w:val="20"/>
              </w:rPr>
              <w:t>
   4.70. Здания, используемые при производстве промежуточной продукции и АФС, надлежащим образом обслуживаются, ремонтируются и содержатся в чистоте.</w:t>
            </w:r>
          </w:p>
          <w:p>
            <w:pPr>
              <w:spacing w:after="20"/>
              <w:ind w:left="20"/>
              <w:jc w:val="both"/>
            </w:pPr>
            <w:r>
              <w:rPr>
                <w:rFonts w:ascii="Times New Roman"/>
                <w:b w:val="false"/>
                <w:i w:val="false"/>
                <w:color w:val="000000"/>
                <w:sz w:val="20"/>
              </w:rPr>
              <w:t>
   4.71. Разрабатываются письменные процедуры, в которых определяется ответственность за проведение санитарной обработки, приводятся графики проведения очистки, перечисляются методы, оборудование и материалы, используемые при очистке зданий и помещений.</w:t>
            </w:r>
          </w:p>
          <w:p>
            <w:pPr>
              <w:spacing w:after="20"/>
              <w:ind w:left="20"/>
              <w:jc w:val="both"/>
            </w:pPr>
            <w:r>
              <w:rPr>
                <w:rFonts w:ascii="Times New Roman"/>
                <w:b w:val="false"/>
                <w:i w:val="false"/>
                <w:color w:val="000000"/>
                <w:sz w:val="20"/>
              </w:rPr>
              <w:t xml:space="preserve">
   4.72. При необходимости также разрабатываются письменные процедуры по использованию соответствующих средств против грызунов, инсектицидов, фунгицидов, фумигантов и средств очистки и дезинфекции, чтобы избежать контаминации оборудования, исходного сырья, упаковочных и маркировочных материалов, промежуточной продукции и АФС.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Технологическое оборудование</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Проектирование и монтаж</w:t>
            </w:r>
          </w:p>
          <w:p>
            <w:pPr>
              <w:spacing w:after="20"/>
              <w:ind w:left="20"/>
              <w:jc w:val="both"/>
            </w:pPr>
            <w:r>
              <w:rPr>
                <w:rFonts w:ascii="Times New Roman"/>
                <w:b w:val="false"/>
                <w:i w:val="false"/>
                <w:color w:val="000000"/>
                <w:sz w:val="20"/>
              </w:rPr>
              <w:t xml:space="preserve">
   5.10. Оборудование, используемое при производстве промежуточной продукции и АФС, имеет соответствующие конструкцию и размеры, располагается в соответствии со своим назначением и таким образом, чтобы персонал мог осуществлять очистку, при необходимости дезинфекцию и техническое обслуживание. </w:t>
            </w:r>
          </w:p>
          <w:p>
            <w:pPr>
              <w:spacing w:after="20"/>
              <w:ind w:left="20"/>
              <w:jc w:val="both"/>
            </w:pPr>
            <w:r>
              <w:rPr>
                <w:rFonts w:ascii="Times New Roman"/>
                <w:b w:val="false"/>
                <w:i w:val="false"/>
                <w:color w:val="000000"/>
                <w:sz w:val="20"/>
              </w:rPr>
              <w:t>
   5.11. Принимаются меры, чтобы поверхности оборудования, контактирующие с сырьем, промежуточными продуктами или АФС, не влияли на качество промежуточных продуктов и АФС и не приводили к выходу показателей их качества за пределы допустимых значений, установленных в утвержденных спецификациях.</w:t>
            </w:r>
          </w:p>
          <w:p>
            <w:pPr>
              <w:spacing w:after="20"/>
              <w:ind w:left="20"/>
              <w:jc w:val="both"/>
            </w:pPr>
            <w:r>
              <w:rPr>
                <w:rFonts w:ascii="Times New Roman"/>
                <w:b w:val="false"/>
                <w:i w:val="false"/>
                <w:color w:val="000000"/>
                <w:sz w:val="20"/>
              </w:rPr>
              <w:t>
   5.12. Технологическое оборудование используется только в пределах рабочих диапазонов, установленных при квалификации.</w:t>
            </w:r>
          </w:p>
          <w:p>
            <w:pPr>
              <w:spacing w:after="20"/>
              <w:ind w:left="20"/>
              <w:jc w:val="both"/>
            </w:pPr>
            <w:r>
              <w:rPr>
                <w:rFonts w:ascii="Times New Roman"/>
                <w:b w:val="false"/>
                <w:i w:val="false"/>
                <w:color w:val="000000"/>
                <w:sz w:val="20"/>
              </w:rPr>
              <w:t>
   5.13. Основное оборудование и стационарные технологические линии, используемые в производстве промежуточной продукции или АФС, соответствующим образом идентифицируются.</w:t>
            </w:r>
          </w:p>
          <w:p>
            <w:pPr>
              <w:spacing w:after="20"/>
              <w:ind w:left="20"/>
              <w:jc w:val="both"/>
            </w:pPr>
            <w:r>
              <w:rPr>
                <w:rFonts w:ascii="Times New Roman"/>
                <w:b w:val="false"/>
                <w:i w:val="false"/>
                <w:color w:val="000000"/>
                <w:sz w:val="20"/>
              </w:rPr>
              <w:t>
   5.14. Любые вещества, необходимые для функционирования оборудования, такие как смазки, жидкости для нагрева или хладагенты, не контактируют с промежуточной продукцией или АФС, чтобы не изменять их качество за пределы допустимых значений, установленных в утвержденных спецификациях. Проводится оценка любых отклонений от этого требования, чтобы убедиться, что отсутствует неблагоприятное воздействие этих материалов, влияющее на их пригодность для использования. При возможности используются смазки и масла, предназначенные для пищевой промышленности.</w:t>
            </w:r>
          </w:p>
          <w:p>
            <w:pPr>
              <w:spacing w:after="20"/>
              <w:ind w:left="20"/>
              <w:jc w:val="both"/>
            </w:pPr>
            <w:r>
              <w:rPr>
                <w:rFonts w:ascii="Times New Roman"/>
                <w:b w:val="false"/>
                <w:i w:val="false"/>
                <w:color w:val="000000"/>
                <w:sz w:val="20"/>
              </w:rPr>
              <w:t>
   5.15. Во всех случаях, когда это применимо, используют закрытое или герметично закрывающееся оборудование. При использовании открытого оборудования или его открытии предпринимаются меры предосторожности, чтобы свести к минимуму риск контаминации.</w:t>
            </w:r>
          </w:p>
          <w:p>
            <w:pPr>
              <w:spacing w:after="20"/>
              <w:ind w:left="20"/>
              <w:jc w:val="both"/>
            </w:pPr>
            <w:r>
              <w:rPr>
                <w:rFonts w:ascii="Times New Roman"/>
                <w:b w:val="false"/>
                <w:i w:val="false"/>
                <w:color w:val="000000"/>
                <w:sz w:val="20"/>
              </w:rPr>
              <w:t>
   5.16. В наличии имеются актуальный комплект чертежей используемого оборудования, а также критических систем обвязки.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Техническое обслуживание и очистка оборудования</w:t>
            </w:r>
          </w:p>
          <w:p>
            <w:pPr>
              <w:spacing w:after="20"/>
              <w:ind w:left="20"/>
              <w:jc w:val="both"/>
            </w:pPr>
            <w:r>
              <w:rPr>
                <w:rFonts w:ascii="Times New Roman"/>
                <w:b w:val="false"/>
                <w:i w:val="false"/>
                <w:color w:val="000000"/>
                <w:sz w:val="20"/>
              </w:rPr>
              <w:t>
   5.20. Профилактическое техническое обслуживание оборудования проводится в соответствии с утвержденными графиками и процедурами, в которых определена ответственность за их проведение.</w:t>
            </w:r>
          </w:p>
          <w:p>
            <w:pPr>
              <w:spacing w:after="20"/>
              <w:ind w:left="20"/>
              <w:jc w:val="both"/>
            </w:pPr>
            <w:r>
              <w:rPr>
                <w:rFonts w:ascii="Times New Roman"/>
                <w:b w:val="false"/>
                <w:i w:val="false"/>
                <w:color w:val="000000"/>
                <w:sz w:val="20"/>
              </w:rPr>
              <w:t>
   5.21. Разрабатываются письменные инструкции по очистке оборудования и последующему получению разрешения на его использование при производстве промежуточной продукции и АФС. Процедуры очистки описываются достаточно подробно, чтобы операторы могли проводить очистку оборудования любого типа воспроизводимым и эффективным способом. Эти процедуры включают:</w:t>
            </w:r>
          </w:p>
          <w:p>
            <w:pPr>
              <w:spacing w:after="20"/>
              <w:ind w:left="20"/>
              <w:jc w:val="both"/>
            </w:pPr>
            <w:r>
              <w:rPr>
                <w:rFonts w:ascii="Times New Roman"/>
                <w:b w:val="false"/>
                <w:i w:val="false"/>
                <w:color w:val="000000"/>
                <w:sz w:val="20"/>
              </w:rPr>
              <w:t>
   установление ответственности за очистку оборудования;</w:t>
            </w:r>
          </w:p>
          <w:p>
            <w:pPr>
              <w:spacing w:after="20"/>
              <w:ind w:left="20"/>
              <w:jc w:val="both"/>
            </w:pPr>
            <w:r>
              <w:rPr>
                <w:rFonts w:ascii="Times New Roman"/>
                <w:b w:val="false"/>
                <w:i w:val="false"/>
                <w:color w:val="000000"/>
                <w:sz w:val="20"/>
              </w:rPr>
              <w:t>
   графики очистки, включая при необходимости графики санитарной обработки;</w:t>
            </w:r>
          </w:p>
          <w:p>
            <w:pPr>
              <w:spacing w:after="20"/>
              <w:ind w:left="20"/>
              <w:jc w:val="both"/>
            </w:pPr>
            <w:r>
              <w:rPr>
                <w:rFonts w:ascii="Times New Roman"/>
                <w:b w:val="false"/>
                <w:i w:val="false"/>
                <w:color w:val="000000"/>
                <w:sz w:val="20"/>
              </w:rPr>
              <w:t>
   полное описание методов и материалов, включая приготовление моющих средств, используемых для очистки оборудования;</w:t>
            </w:r>
          </w:p>
          <w:p>
            <w:pPr>
              <w:spacing w:after="20"/>
              <w:ind w:left="20"/>
              <w:jc w:val="both"/>
            </w:pPr>
            <w:r>
              <w:rPr>
                <w:rFonts w:ascii="Times New Roman"/>
                <w:b w:val="false"/>
                <w:i w:val="false"/>
                <w:color w:val="000000"/>
                <w:sz w:val="20"/>
              </w:rPr>
              <w:t>
   инструкции по разборке и сборке каждой при необходимости единицы оборудования для обеспечения надлежащей очистки;</w:t>
            </w:r>
          </w:p>
          <w:p>
            <w:pPr>
              <w:spacing w:after="20"/>
              <w:ind w:left="20"/>
              <w:jc w:val="both"/>
            </w:pPr>
            <w:r>
              <w:rPr>
                <w:rFonts w:ascii="Times New Roman"/>
                <w:b w:val="false"/>
                <w:i w:val="false"/>
                <w:color w:val="000000"/>
                <w:sz w:val="20"/>
              </w:rPr>
              <w:t>
   инструкции по удалению маркировки предыдущей серии;</w:t>
            </w:r>
          </w:p>
          <w:p>
            <w:pPr>
              <w:spacing w:after="20"/>
              <w:ind w:left="20"/>
              <w:jc w:val="both"/>
            </w:pPr>
            <w:r>
              <w:rPr>
                <w:rFonts w:ascii="Times New Roman"/>
                <w:b w:val="false"/>
                <w:i w:val="false"/>
                <w:color w:val="000000"/>
                <w:sz w:val="20"/>
              </w:rPr>
              <w:t>
   инструкции по защите чистого оборудования от контаминации перед его использованием;</w:t>
            </w:r>
          </w:p>
          <w:p>
            <w:pPr>
              <w:spacing w:after="20"/>
              <w:ind w:left="20"/>
              <w:jc w:val="both"/>
            </w:pPr>
            <w:r>
              <w:rPr>
                <w:rFonts w:ascii="Times New Roman"/>
                <w:b w:val="false"/>
                <w:i w:val="false"/>
                <w:color w:val="000000"/>
                <w:sz w:val="20"/>
              </w:rPr>
              <w:t>
   порядок проверки чистоты оборудования непосредственно перед его использованием, если это практически осуществимо;</w:t>
            </w:r>
          </w:p>
          <w:p>
            <w:pPr>
              <w:spacing w:after="20"/>
              <w:ind w:left="20"/>
              <w:jc w:val="both"/>
            </w:pPr>
            <w:r>
              <w:rPr>
                <w:rFonts w:ascii="Times New Roman"/>
                <w:b w:val="false"/>
                <w:i w:val="false"/>
                <w:color w:val="000000"/>
                <w:sz w:val="20"/>
              </w:rPr>
              <w:t>
   установление когда это применимо максимального промежутка времени между окончанием процесса и очисткой оборудования.</w:t>
            </w:r>
          </w:p>
          <w:p>
            <w:pPr>
              <w:spacing w:after="20"/>
              <w:ind w:left="20"/>
              <w:jc w:val="both"/>
            </w:pPr>
            <w:r>
              <w:rPr>
                <w:rFonts w:ascii="Times New Roman"/>
                <w:b w:val="false"/>
                <w:i w:val="false"/>
                <w:color w:val="000000"/>
                <w:sz w:val="20"/>
              </w:rPr>
              <w:t xml:space="preserve">
   5.22. Оборудование и принадлежности очищают, хранят и при необходимости подвергают дезинфекции или стерилизуют для предотвращения контаминации или переноса материала, которые могут приводить к выходу показателей качества промежуточной продукции и АФС за пределы, установленные в спецификациях. </w:t>
            </w:r>
          </w:p>
          <w:p>
            <w:pPr>
              <w:spacing w:after="20"/>
              <w:ind w:left="20"/>
              <w:jc w:val="both"/>
            </w:pPr>
            <w:r>
              <w:rPr>
                <w:rFonts w:ascii="Times New Roman"/>
                <w:b w:val="false"/>
                <w:i w:val="false"/>
                <w:color w:val="000000"/>
                <w:sz w:val="20"/>
              </w:rPr>
              <w:t xml:space="preserve">
   5.23. Для оборудования, предназначенного для непрерывного технологического процесса или для производства кампаниями последовательных серий одной и той же промежуточной продукции или одной и той же АФС, проводят очистку через определенные промежутки времени во избежание накопления и переноса контаминантов. </w:t>
            </w:r>
          </w:p>
          <w:p>
            <w:pPr>
              <w:spacing w:after="20"/>
              <w:ind w:left="20"/>
              <w:jc w:val="both"/>
            </w:pPr>
            <w:r>
              <w:rPr>
                <w:rFonts w:ascii="Times New Roman"/>
                <w:b w:val="false"/>
                <w:i w:val="false"/>
                <w:color w:val="000000"/>
                <w:sz w:val="20"/>
              </w:rPr>
              <w:t>
   5.24. Оборудование, используемое для производства разных материалов, очищают в промежутках между их сменой во избежание перекрестной контаминации.</w:t>
            </w:r>
          </w:p>
          <w:p>
            <w:pPr>
              <w:spacing w:after="20"/>
              <w:ind w:left="20"/>
              <w:jc w:val="both"/>
            </w:pPr>
            <w:r>
              <w:rPr>
                <w:rFonts w:ascii="Times New Roman"/>
                <w:b w:val="false"/>
                <w:i w:val="false"/>
                <w:color w:val="000000"/>
                <w:sz w:val="20"/>
              </w:rPr>
              <w:t>
   5.25. Устанавливаются и обосновываются критерии приемлемости в отношении остатков, а также выбора процедур очистки и моющих средств.</w:t>
            </w:r>
          </w:p>
          <w:p>
            <w:pPr>
              <w:spacing w:after="20"/>
              <w:ind w:left="20"/>
              <w:jc w:val="both"/>
            </w:pPr>
            <w:r>
              <w:rPr>
                <w:rFonts w:ascii="Times New Roman"/>
                <w:b w:val="false"/>
                <w:i w:val="false"/>
                <w:color w:val="000000"/>
                <w:sz w:val="20"/>
              </w:rPr>
              <w:t>
   5.26. Оборудование соответствующим образом маркируется в отношении его содержимого и состояния чистоты.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Калибровка</w:t>
            </w:r>
          </w:p>
          <w:p>
            <w:pPr>
              <w:spacing w:after="20"/>
              <w:ind w:left="20"/>
              <w:jc w:val="both"/>
            </w:pPr>
            <w:r>
              <w:rPr>
                <w:rFonts w:ascii="Times New Roman"/>
                <w:b w:val="false"/>
                <w:i w:val="false"/>
                <w:color w:val="000000"/>
                <w:sz w:val="20"/>
              </w:rPr>
              <w:t>
   5.30. Калибровку контрольно-измерительного и аналитического оборудования, в том числе весов, приборов для мониторинга, имеющего критическое значение для обеспечения качества промежуточной продукции или АФС, проводят в соответствии с письменными инструкциями и установленным графиком.</w:t>
            </w:r>
          </w:p>
          <w:p>
            <w:pPr>
              <w:spacing w:after="20"/>
              <w:ind w:left="20"/>
              <w:jc w:val="both"/>
            </w:pPr>
            <w:r>
              <w:rPr>
                <w:rFonts w:ascii="Times New Roman"/>
                <w:b w:val="false"/>
                <w:i w:val="false"/>
                <w:color w:val="000000"/>
                <w:sz w:val="20"/>
              </w:rPr>
              <w:t>
   5.31. Калибровку проводят с использованием стандартов, прослеживаемых до соответствующих сертифицированных стандартов, если таковые существуют.</w:t>
            </w:r>
          </w:p>
          <w:p>
            <w:pPr>
              <w:spacing w:after="20"/>
              <w:ind w:left="20"/>
              <w:jc w:val="both"/>
            </w:pPr>
            <w:r>
              <w:rPr>
                <w:rFonts w:ascii="Times New Roman"/>
                <w:b w:val="false"/>
                <w:i w:val="false"/>
                <w:color w:val="000000"/>
                <w:sz w:val="20"/>
              </w:rPr>
              <w:t>
   5.32. Записи проведения калибровок сохраняются.</w:t>
            </w:r>
          </w:p>
          <w:p>
            <w:pPr>
              <w:spacing w:after="20"/>
              <w:ind w:left="20"/>
              <w:jc w:val="both"/>
            </w:pPr>
            <w:r>
              <w:rPr>
                <w:rFonts w:ascii="Times New Roman"/>
                <w:b w:val="false"/>
                <w:i w:val="false"/>
                <w:color w:val="000000"/>
                <w:sz w:val="20"/>
              </w:rPr>
              <w:t>
   5.33. Обеспечивается доступность текущего статуса калибровки критического оборудования для его проверки.</w:t>
            </w:r>
          </w:p>
          <w:p>
            <w:pPr>
              <w:spacing w:after="20"/>
              <w:ind w:left="20"/>
              <w:jc w:val="both"/>
            </w:pPr>
            <w:r>
              <w:rPr>
                <w:rFonts w:ascii="Times New Roman"/>
                <w:b w:val="false"/>
                <w:i w:val="false"/>
                <w:color w:val="000000"/>
                <w:sz w:val="20"/>
              </w:rPr>
              <w:t>
   5.34. Приборы, не соответствующие критериям калибровки, не используются.</w:t>
            </w:r>
          </w:p>
          <w:p>
            <w:pPr>
              <w:spacing w:after="20"/>
              <w:ind w:left="20"/>
              <w:jc w:val="both"/>
            </w:pPr>
            <w:r>
              <w:rPr>
                <w:rFonts w:ascii="Times New Roman"/>
                <w:b w:val="false"/>
                <w:i w:val="false"/>
                <w:color w:val="000000"/>
                <w:sz w:val="20"/>
              </w:rPr>
              <w:t xml:space="preserve">
   5.35. Отклонения от утвержденных стандартов калибровки для критических приборов расследуются, чтобы определить, повлияло ли это на качество промежуточной продукции и АФС, произведенных с использованием данного оборудования после его последней успешной калибровки.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Компьютеризированные системы</w:t>
            </w:r>
          </w:p>
          <w:p>
            <w:pPr>
              <w:spacing w:after="20"/>
              <w:ind w:left="20"/>
              <w:jc w:val="both"/>
            </w:pPr>
            <w:r>
              <w:rPr>
                <w:rFonts w:ascii="Times New Roman"/>
                <w:b w:val="false"/>
                <w:i w:val="false"/>
                <w:color w:val="000000"/>
                <w:sz w:val="20"/>
              </w:rPr>
              <w:t>
   5.40. Компьютеризированные системы, относящиеся к GMP, подлежат валидации. Глубина и масштаб валидации зависят от многообразия, сложности и критичности применения компьютеризированных систем.</w:t>
            </w:r>
          </w:p>
          <w:p>
            <w:pPr>
              <w:spacing w:after="20"/>
              <w:ind w:left="20"/>
              <w:jc w:val="both"/>
            </w:pPr>
            <w:r>
              <w:rPr>
                <w:rFonts w:ascii="Times New Roman"/>
                <w:b w:val="false"/>
                <w:i w:val="false"/>
                <w:color w:val="000000"/>
                <w:sz w:val="20"/>
              </w:rPr>
              <w:t>
   5.41. Надлежащие квалификация монтажа и квалификация функционирования демонстрируют пригодность компьютерного оборудования и программного обеспечения для выполнения поставленных задач.</w:t>
            </w:r>
          </w:p>
          <w:p>
            <w:pPr>
              <w:spacing w:after="20"/>
              <w:ind w:left="20"/>
              <w:jc w:val="both"/>
            </w:pPr>
            <w:r>
              <w:rPr>
                <w:rFonts w:ascii="Times New Roman"/>
                <w:b w:val="false"/>
                <w:i w:val="false"/>
                <w:color w:val="000000"/>
                <w:sz w:val="20"/>
              </w:rPr>
              <w:t xml:space="preserve">
   5.42. Поставляемое на рынок программное обеспечение, которое было квалифицировано, не требует проведения испытаний того же уровня. Если существующая система не прошла валидацию во время установки, при наличии соответствующей документации проводят ретроспективную валидацию. </w:t>
            </w:r>
          </w:p>
          <w:p>
            <w:pPr>
              <w:spacing w:after="20"/>
              <w:ind w:left="20"/>
              <w:jc w:val="both"/>
            </w:pPr>
            <w:r>
              <w:rPr>
                <w:rFonts w:ascii="Times New Roman"/>
                <w:b w:val="false"/>
                <w:i w:val="false"/>
                <w:color w:val="000000"/>
                <w:sz w:val="20"/>
              </w:rPr>
              <w:t>
   5.43. Компьютеризированные системы имеют достаточный уровень контроля для предотвращения несанкционированного доступа к данным или изменения данных. Предусматривается защита от потери данных, например, при выключении компьютера. Регистрируется информация о любых изменениях данных, о последнем вводе данных, о том, кем и когда они были сделаны.</w:t>
            </w:r>
          </w:p>
          <w:p>
            <w:pPr>
              <w:spacing w:after="20"/>
              <w:ind w:left="20"/>
              <w:jc w:val="both"/>
            </w:pPr>
            <w:r>
              <w:rPr>
                <w:rFonts w:ascii="Times New Roman"/>
                <w:b w:val="false"/>
                <w:i w:val="false"/>
                <w:color w:val="000000"/>
                <w:sz w:val="20"/>
              </w:rPr>
              <w:t>
   5.44. Имеются письменные процедуры по эксплуатации и техническому обслуживанию компьютеризированных систем.</w:t>
            </w:r>
          </w:p>
          <w:p>
            <w:pPr>
              <w:spacing w:after="20"/>
              <w:ind w:left="20"/>
              <w:jc w:val="both"/>
            </w:pPr>
            <w:r>
              <w:rPr>
                <w:rFonts w:ascii="Times New Roman"/>
                <w:b w:val="false"/>
                <w:i w:val="false"/>
                <w:color w:val="000000"/>
                <w:sz w:val="20"/>
              </w:rPr>
              <w:t xml:space="preserve">
   5.45. Если критические данные вводят вручную, предусматривается дополнительная проверка точности их введения. Такую проверку выполняет второй оператор или сама система. </w:t>
            </w:r>
          </w:p>
          <w:p>
            <w:pPr>
              <w:spacing w:after="20"/>
              <w:ind w:left="20"/>
              <w:jc w:val="both"/>
            </w:pPr>
            <w:r>
              <w:rPr>
                <w:rFonts w:ascii="Times New Roman"/>
                <w:b w:val="false"/>
                <w:i w:val="false"/>
                <w:color w:val="000000"/>
                <w:sz w:val="20"/>
              </w:rPr>
              <w:t xml:space="preserve">
   5.46. Сбои в работе компьютеризированных систем, которые влияют на качество промежуточной продукции или АФС, на достоверность записей или результатов испытаний, оформляются документально и расследуются. </w:t>
            </w:r>
          </w:p>
          <w:p>
            <w:pPr>
              <w:spacing w:after="20"/>
              <w:ind w:left="20"/>
              <w:jc w:val="both"/>
            </w:pPr>
            <w:r>
              <w:rPr>
                <w:rFonts w:ascii="Times New Roman"/>
                <w:b w:val="false"/>
                <w:i w:val="false"/>
                <w:color w:val="000000"/>
                <w:sz w:val="20"/>
              </w:rPr>
              <w:t xml:space="preserve">
   5.47. Изменения в компьютеризированных системах осуществляются в соответствии с процедурами внесения изменений, официально санкционируются, оформляются документально и тестируются. Сохраняются записи всех изменений, включая модификацию и усовершенствование компьютерного оборудования, программного обеспечения и других критических компонентов системы. Эти записи служат доказательством того, что система поддерживается в валидированном состоянии. </w:t>
            </w:r>
          </w:p>
          <w:p>
            <w:pPr>
              <w:spacing w:after="20"/>
              <w:ind w:left="20"/>
              <w:jc w:val="both"/>
            </w:pPr>
            <w:r>
              <w:rPr>
                <w:rFonts w:ascii="Times New Roman"/>
                <w:b w:val="false"/>
                <w:i w:val="false"/>
                <w:color w:val="000000"/>
                <w:sz w:val="20"/>
              </w:rPr>
              <w:t>
   5.48. Если сбой или поломка системы приводит к постоянной потере записей, предусматривается система резервного копирования информации. Во всех компьютеризированных системах предусматриваются средства, обеспечивающие защиту данных.</w:t>
            </w:r>
          </w:p>
          <w:p>
            <w:pPr>
              <w:spacing w:after="20"/>
              <w:ind w:left="20"/>
              <w:jc w:val="both"/>
            </w:pPr>
            <w:r>
              <w:rPr>
                <w:rFonts w:ascii="Times New Roman"/>
                <w:b w:val="false"/>
                <w:i w:val="false"/>
                <w:color w:val="000000"/>
                <w:sz w:val="20"/>
              </w:rPr>
              <w:t xml:space="preserve">
   5.49. В дополнение к компьютерной системе допускается запись данных и другим способом.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Документация и записи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Система документации и спецификации</w:t>
            </w:r>
          </w:p>
          <w:p>
            <w:pPr>
              <w:spacing w:after="20"/>
              <w:ind w:left="20"/>
              <w:jc w:val="both"/>
            </w:pPr>
            <w:r>
              <w:rPr>
                <w:rFonts w:ascii="Times New Roman"/>
                <w:b w:val="false"/>
                <w:i w:val="false"/>
                <w:color w:val="000000"/>
                <w:sz w:val="20"/>
              </w:rPr>
              <w:t>
   6.10. Все документы, имеющие отношение к производству промежуточной продукции или АФС, составляются, проверяются, утверждаются и распространяются в соответствии с письменными процедурами. Эти документы оформляются как в письменном, так и в электронном виде.</w:t>
            </w:r>
          </w:p>
          <w:p>
            <w:pPr>
              <w:spacing w:after="20"/>
              <w:ind w:left="20"/>
              <w:jc w:val="both"/>
            </w:pPr>
            <w:r>
              <w:rPr>
                <w:rFonts w:ascii="Times New Roman"/>
                <w:b w:val="false"/>
                <w:i w:val="false"/>
                <w:color w:val="000000"/>
                <w:sz w:val="20"/>
              </w:rPr>
              <w:t>
   6.11. Выдачу, пересмотр, замену или изъятие всей документации контролируют с сохранением сведений об их предыдущих версиях.</w:t>
            </w:r>
          </w:p>
          <w:p>
            <w:pPr>
              <w:spacing w:after="20"/>
              <w:ind w:left="20"/>
              <w:jc w:val="both"/>
            </w:pPr>
            <w:r>
              <w:rPr>
                <w:rFonts w:ascii="Times New Roman"/>
                <w:b w:val="false"/>
                <w:i w:val="false"/>
                <w:color w:val="000000"/>
                <w:sz w:val="20"/>
              </w:rPr>
              <w:t xml:space="preserve">
   6.12. Систему хранения документов: отчетов о разработке, отчетов о масштабировании, отчетов о передаче технологий, отчетов о валидации процесса, записей обучения, записей производства, документов по контролю и записей реализации и других организуют с указанием сроков их хранения. </w:t>
            </w:r>
          </w:p>
          <w:p>
            <w:pPr>
              <w:spacing w:after="20"/>
              <w:ind w:left="20"/>
              <w:jc w:val="both"/>
            </w:pPr>
            <w:r>
              <w:rPr>
                <w:rFonts w:ascii="Times New Roman"/>
                <w:b w:val="false"/>
                <w:i w:val="false"/>
                <w:color w:val="000000"/>
                <w:sz w:val="20"/>
              </w:rPr>
              <w:t>
   6.13. Записи производства, контроля и распределения хранят не менее 1 года после истечения срока годности серии. Записи, содержащие данные повторных испытаний АФС, хранят не менее 3 лет после полной реализации серии.</w:t>
            </w:r>
          </w:p>
          <w:p>
            <w:pPr>
              <w:spacing w:after="20"/>
              <w:ind w:left="20"/>
              <w:jc w:val="both"/>
            </w:pPr>
            <w:r>
              <w:rPr>
                <w:rFonts w:ascii="Times New Roman"/>
                <w:b w:val="false"/>
                <w:i w:val="false"/>
                <w:color w:val="000000"/>
                <w:sz w:val="20"/>
              </w:rPr>
              <w:t>
   6.14. Записи выполняют несмываемыми чернилами в специально предусмотренных для этого местах сразу же после выполнения операций; обозначается лицо, сделавшее запись. Исправления в записях датируются и подписываются, они не препятствуют прочтению записи в ее первоначальном виде.</w:t>
            </w:r>
          </w:p>
          <w:p>
            <w:pPr>
              <w:spacing w:after="20"/>
              <w:ind w:left="20"/>
              <w:jc w:val="both"/>
            </w:pPr>
            <w:r>
              <w:rPr>
                <w:rFonts w:ascii="Times New Roman"/>
                <w:b w:val="false"/>
                <w:i w:val="false"/>
                <w:color w:val="000000"/>
                <w:sz w:val="20"/>
              </w:rPr>
              <w:t>
   6.15. В течение периода хранения оригиналы или копии записей легкодоступны на предприятии, где осуществлялись работы, описанные в этих записях. Допускается также быстрое получение записей из других мест хранения с помощью электронных или других средств.</w:t>
            </w:r>
          </w:p>
          <w:p>
            <w:pPr>
              <w:spacing w:after="20"/>
              <w:ind w:left="20"/>
              <w:jc w:val="both"/>
            </w:pPr>
            <w:r>
              <w:rPr>
                <w:rFonts w:ascii="Times New Roman"/>
                <w:b w:val="false"/>
                <w:i w:val="false"/>
                <w:color w:val="000000"/>
                <w:sz w:val="20"/>
              </w:rPr>
              <w:t>
   6.16. Спецификации, инструкции, процедуры и записи хранятся либо в оригинале, либо в виде копий, таких как фотокопии, микрофильмы, микрофиши или другие формы точного воспроизведения оригинальных записей. Если использовались методы уменьшения оригинала, например микрофильмирование, или электронные записи, то применяется соответствующее считывающее оборудование, а также средства для изготовления печатных копий.</w:t>
            </w:r>
          </w:p>
          <w:p>
            <w:pPr>
              <w:spacing w:after="20"/>
              <w:ind w:left="20"/>
              <w:jc w:val="both"/>
            </w:pPr>
            <w:r>
              <w:rPr>
                <w:rFonts w:ascii="Times New Roman"/>
                <w:b w:val="false"/>
                <w:i w:val="false"/>
                <w:color w:val="000000"/>
                <w:sz w:val="20"/>
              </w:rPr>
              <w:t>
   6.17. Необходимо разработать и документально оформить спецификации на исходное сырье, промежуточную продукцию, АФС и материалы для маркировки и упаковки. В случае, если вспомогательные материалы, прокладки или другие материалы, используемые в ходе производства промежуточной продукции или АФС, являются критическими для качества, то дополнительно разрабатываются  спецификации на эти вспомогательные материалы. Устанавливаются и оформляются документально критерии приемлемости для контроля в процессе производства.</w:t>
            </w:r>
          </w:p>
          <w:p>
            <w:pPr>
              <w:spacing w:after="20"/>
              <w:ind w:left="20"/>
              <w:jc w:val="both"/>
            </w:pPr>
            <w:r>
              <w:rPr>
                <w:rFonts w:ascii="Times New Roman"/>
                <w:b w:val="false"/>
                <w:i w:val="false"/>
                <w:color w:val="000000"/>
                <w:sz w:val="20"/>
              </w:rPr>
              <w:t>
   6.18. Если используются электронные подписи на документах, то они идентифицируются и защищаются.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Записи очистки и использования оборудования</w:t>
            </w:r>
          </w:p>
          <w:p>
            <w:pPr>
              <w:spacing w:after="20"/>
              <w:ind w:left="20"/>
              <w:jc w:val="both"/>
            </w:pPr>
            <w:r>
              <w:rPr>
                <w:rFonts w:ascii="Times New Roman"/>
                <w:b w:val="false"/>
                <w:i w:val="false"/>
                <w:color w:val="000000"/>
                <w:sz w:val="20"/>
              </w:rPr>
              <w:t xml:space="preserve">
   6.20. В записях использования, очистки, санитарной обработки и (или) стерилизации, а также технического обслуживания основного оборудования указываются дата, при необходимости время, наименование продукции, номер каждой серии произведенной на этом оборудовании продукции, а также лицо, которое проводило очистку и техническое обслуживание. </w:t>
            </w:r>
          </w:p>
          <w:p>
            <w:pPr>
              <w:spacing w:after="20"/>
              <w:ind w:left="20"/>
              <w:jc w:val="both"/>
            </w:pPr>
            <w:r>
              <w:rPr>
                <w:rFonts w:ascii="Times New Roman"/>
                <w:b w:val="false"/>
                <w:i w:val="false"/>
                <w:color w:val="000000"/>
                <w:sz w:val="20"/>
              </w:rPr>
              <w:t>
   6.21. Не требуется составление отдельных записей очистки и использования оборудования в случае, если оно специально предназначено для производства одного наименования промежуточного продукта или АФС. Серии этого промежуточного продукта или АФС производятся в прослеживаемой последовательности. В случаях использования специально предназначенного оборудования записи его очистки, технического обслуживания и эксплуатации являются либо частью досье на серию, либо отдельным документом.</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Записи на исходное сырье, промежуточные продукты, материалы для маркировки и упаковки АФС</w:t>
            </w:r>
          </w:p>
          <w:p>
            <w:pPr>
              <w:spacing w:after="20"/>
              <w:ind w:left="20"/>
              <w:jc w:val="both"/>
            </w:pPr>
            <w:r>
              <w:rPr>
                <w:rFonts w:ascii="Times New Roman"/>
                <w:b w:val="false"/>
                <w:i w:val="false"/>
                <w:color w:val="000000"/>
                <w:sz w:val="20"/>
              </w:rPr>
              <w:t>
   6.30. Записи на исходное сырье, промежуточные продукты, материалы для маркировки и упаковки АФС, содержат следующие данные:</w:t>
            </w:r>
          </w:p>
          <w:p>
            <w:pPr>
              <w:spacing w:after="20"/>
              <w:ind w:left="20"/>
              <w:jc w:val="both"/>
            </w:pPr>
            <w:r>
              <w:rPr>
                <w:rFonts w:ascii="Times New Roman"/>
                <w:b w:val="false"/>
                <w:i w:val="false"/>
                <w:color w:val="000000"/>
                <w:sz w:val="20"/>
              </w:rPr>
              <w:t>
   наименование производителя, идентификацию и количество каждой поставки каждой серии исходного сырья, промежуточной продукции или материалов для маркировки или упаковки АФС; наименование поставщика; контрольный номер (номера) поставщика (если известен) или другой идентификационный номер; номер, присвоенный при приемке, и дата приемки;</w:t>
            </w:r>
          </w:p>
          <w:p>
            <w:pPr>
              <w:spacing w:after="20"/>
              <w:ind w:left="20"/>
              <w:jc w:val="both"/>
            </w:pPr>
            <w:r>
              <w:rPr>
                <w:rFonts w:ascii="Times New Roman"/>
                <w:b w:val="false"/>
                <w:i w:val="false"/>
                <w:color w:val="000000"/>
                <w:sz w:val="20"/>
              </w:rPr>
              <w:t>
   результаты проведенных испытаний или проверок и сделанные на их основании выводы;</w:t>
            </w:r>
          </w:p>
          <w:p>
            <w:pPr>
              <w:spacing w:after="20"/>
              <w:ind w:left="20"/>
              <w:jc w:val="both"/>
            </w:pPr>
            <w:r>
              <w:rPr>
                <w:rFonts w:ascii="Times New Roman"/>
                <w:b w:val="false"/>
                <w:i w:val="false"/>
                <w:color w:val="000000"/>
                <w:sz w:val="20"/>
              </w:rPr>
              <w:t>
   записи, в которых прослеживается использование исходного сырья и материалов;</w:t>
            </w:r>
          </w:p>
          <w:p>
            <w:pPr>
              <w:spacing w:after="20"/>
              <w:ind w:left="20"/>
              <w:jc w:val="both"/>
            </w:pPr>
            <w:r>
              <w:rPr>
                <w:rFonts w:ascii="Times New Roman"/>
                <w:b w:val="false"/>
                <w:i w:val="false"/>
                <w:color w:val="000000"/>
                <w:sz w:val="20"/>
              </w:rPr>
              <w:t xml:space="preserve">
   документация по оценке и проверке материалов для маркировки и упаковки АФС на соответствие установленным спецификациям; </w:t>
            </w:r>
          </w:p>
          <w:p>
            <w:pPr>
              <w:spacing w:after="20"/>
              <w:ind w:left="20"/>
              <w:jc w:val="both"/>
            </w:pPr>
            <w:r>
              <w:rPr>
                <w:rFonts w:ascii="Times New Roman"/>
                <w:b w:val="false"/>
                <w:i w:val="false"/>
                <w:color w:val="000000"/>
                <w:sz w:val="20"/>
              </w:rPr>
              <w:t>
   окончательное решение относительно отклоненного исходного сырья, промежуточной продукции или материалов для маркировки и упаковки АФС.</w:t>
            </w:r>
          </w:p>
          <w:p>
            <w:pPr>
              <w:spacing w:after="20"/>
              <w:ind w:left="20"/>
              <w:jc w:val="both"/>
            </w:pPr>
            <w:r>
              <w:rPr>
                <w:rFonts w:ascii="Times New Roman"/>
                <w:b w:val="false"/>
                <w:i w:val="false"/>
                <w:color w:val="000000"/>
                <w:sz w:val="20"/>
              </w:rPr>
              <w:t>
   6.31. Утвержденные образцы этикеток хранятся для сравнения с ними выпускаемых этикеток.</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Основные технологические инструкции</w:t>
            </w:r>
          </w:p>
          <w:p>
            <w:pPr>
              <w:spacing w:after="20"/>
              <w:ind w:left="20"/>
              <w:jc w:val="both"/>
            </w:pPr>
            <w:r>
              <w:rPr>
                <w:rFonts w:ascii="Times New Roman"/>
                <w:b w:val="false"/>
                <w:i w:val="false"/>
                <w:color w:val="000000"/>
                <w:sz w:val="20"/>
              </w:rPr>
              <w:t xml:space="preserve">
   6.40. Для обеспечения однородности от серии к серии разрабатываются основные технологические инструкции для каждого вида промежуточной продукции и АФС, подписанные и датированные одним лицом, а также независимо проверенные, подписанные и датированные лицом из отдела качества. </w:t>
            </w:r>
          </w:p>
          <w:p>
            <w:pPr>
              <w:spacing w:after="20"/>
              <w:ind w:left="20"/>
              <w:jc w:val="both"/>
            </w:pPr>
            <w:r>
              <w:rPr>
                <w:rFonts w:ascii="Times New Roman"/>
                <w:b w:val="false"/>
                <w:i w:val="false"/>
                <w:color w:val="000000"/>
                <w:sz w:val="20"/>
              </w:rPr>
              <w:t>
   Информация, содержащаяся в основных технологических инструкциях, включается в промышленный регламент.</w:t>
            </w:r>
          </w:p>
          <w:p>
            <w:pPr>
              <w:spacing w:after="20"/>
              <w:ind w:left="20"/>
              <w:jc w:val="both"/>
            </w:pPr>
            <w:r>
              <w:rPr>
                <w:rFonts w:ascii="Times New Roman"/>
                <w:b w:val="false"/>
                <w:i w:val="false"/>
                <w:color w:val="000000"/>
                <w:sz w:val="20"/>
              </w:rPr>
              <w:t xml:space="preserve">
   6.41. Основные технологические инструкции включают: </w:t>
            </w:r>
          </w:p>
          <w:p>
            <w:pPr>
              <w:spacing w:after="20"/>
              <w:ind w:left="20"/>
              <w:jc w:val="both"/>
            </w:pPr>
            <w:r>
              <w:rPr>
                <w:rFonts w:ascii="Times New Roman"/>
                <w:b w:val="false"/>
                <w:i w:val="false"/>
                <w:color w:val="000000"/>
                <w:sz w:val="20"/>
              </w:rPr>
              <w:t>
   наименование выпускаемой промежуточной продукции или АФС и стадии технологического процесса, а также, если применимо, соответствующий код документа;</w:t>
            </w:r>
          </w:p>
          <w:p>
            <w:pPr>
              <w:spacing w:after="20"/>
              <w:ind w:left="20"/>
              <w:jc w:val="both"/>
            </w:pPr>
            <w:r>
              <w:rPr>
                <w:rFonts w:ascii="Times New Roman"/>
                <w:b w:val="false"/>
                <w:i w:val="false"/>
                <w:color w:val="000000"/>
                <w:sz w:val="20"/>
              </w:rPr>
              <w:t>
   полный перечень исходного сырья и промежуточной продукции с указанием наименований или кодов, достаточно специфичных для того, чтобы провести идентификацию и определить любые специальные показатели качества;</w:t>
            </w:r>
          </w:p>
          <w:p>
            <w:pPr>
              <w:spacing w:after="20"/>
              <w:ind w:left="20"/>
              <w:jc w:val="both"/>
            </w:pPr>
            <w:r>
              <w:rPr>
                <w:rFonts w:ascii="Times New Roman"/>
                <w:b w:val="false"/>
                <w:i w:val="false"/>
                <w:color w:val="000000"/>
                <w:sz w:val="20"/>
              </w:rPr>
              <w:t>
   точное указание количества или соотношение каждого наименования используемого сырья или промежуточной продукции с указанием единиц измерения. Если такое количество не является фиксированным, то приводится расчет для каждого размера серии или режима технологического процесса. Приводятся отклонения от указанных количеств, если они обоснованы;</w:t>
            </w:r>
          </w:p>
          <w:p>
            <w:pPr>
              <w:spacing w:after="20"/>
              <w:ind w:left="20"/>
              <w:jc w:val="both"/>
            </w:pPr>
            <w:r>
              <w:rPr>
                <w:rFonts w:ascii="Times New Roman"/>
                <w:b w:val="false"/>
                <w:i w:val="false"/>
                <w:color w:val="000000"/>
                <w:sz w:val="20"/>
              </w:rPr>
              <w:t>
   место осуществления технологического процесса и основное технологическое оборудование, которое при этом используется;</w:t>
            </w:r>
          </w:p>
          <w:p>
            <w:pPr>
              <w:spacing w:after="20"/>
              <w:ind w:left="20"/>
              <w:jc w:val="both"/>
            </w:pPr>
            <w:r>
              <w:rPr>
                <w:rFonts w:ascii="Times New Roman"/>
                <w:b w:val="false"/>
                <w:i w:val="false"/>
                <w:color w:val="000000"/>
                <w:sz w:val="20"/>
              </w:rPr>
              <w:t>
   подробные технологические действия, в том числе:</w:t>
            </w:r>
          </w:p>
          <w:p>
            <w:pPr>
              <w:spacing w:after="20"/>
              <w:ind w:left="20"/>
              <w:jc w:val="both"/>
            </w:pPr>
            <w:r>
              <w:rPr>
                <w:rFonts w:ascii="Times New Roman"/>
                <w:b w:val="false"/>
                <w:i w:val="false"/>
                <w:color w:val="000000"/>
                <w:sz w:val="20"/>
              </w:rPr>
              <w:t>
   последовательность, которую необходимо соблюдать;</w:t>
            </w:r>
          </w:p>
          <w:p>
            <w:pPr>
              <w:spacing w:after="20"/>
              <w:ind w:left="20"/>
              <w:jc w:val="both"/>
            </w:pPr>
            <w:r>
              <w:rPr>
                <w:rFonts w:ascii="Times New Roman"/>
                <w:b w:val="false"/>
                <w:i w:val="false"/>
                <w:color w:val="000000"/>
                <w:sz w:val="20"/>
              </w:rPr>
              <w:t>
   используемые диапазоны параметров процесса;</w:t>
            </w:r>
          </w:p>
          <w:p>
            <w:pPr>
              <w:spacing w:after="20"/>
              <w:ind w:left="20"/>
              <w:jc w:val="both"/>
            </w:pPr>
            <w:r>
              <w:rPr>
                <w:rFonts w:ascii="Times New Roman"/>
                <w:b w:val="false"/>
                <w:i w:val="false"/>
                <w:color w:val="000000"/>
                <w:sz w:val="20"/>
              </w:rPr>
              <w:t>
   указания по отбору проб и контролю в процессе производства с указанием критериев приемлемости, когда это необходимо;</w:t>
            </w:r>
          </w:p>
          <w:p>
            <w:pPr>
              <w:spacing w:after="20"/>
              <w:ind w:left="20"/>
              <w:jc w:val="both"/>
            </w:pPr>
            <w:r>
              <w:rPr>
                <w:rFonts w:ascii="Times New Roman"/>
                <w:b w:val="false"/>
                <w:i w:val="false"/>
                <w:color w:val="000000"/>
                <w:sz w:val="20"/>
              </w:rPr>
              <w:t>
   предельные сроки завершения отдельных стадий технологического процесса и (или) всего процесса в целом, когда это необходимо;</w:t>
            </w:r>
          </w:p>
          <w:p>
            <w:pPr>
              <w:spacing w:after="20"/>
              <w:ind w:left="20"/>
              <w:jc w:val="both"/>
            </w:pPr>
            <w:r>
              <w:rPr>
                <w:rFonts w:ascii="Times New Roman"/>
                <w:b w:val="false"/>
                <w:i w:val="false"/>
                <w:color w:val="000000"/>
                <w:sz w:val="20"/>
              </w:rPr>
              <w:t>
   ожидаемые диапазоны выхода продукции на соответствующих стадиях процесса или в определенное время;</w:t>
            </w:r>
          </w:p>
          <w:p>
            <w:pPr>
              <w:spacing w:after="20"/>
              <w:ind w:left="20"/>
              <w:jc w:val="both"/>
            </w:pPr>
            <w:r>
              <w:rPr>
                <w:rFonts w:ascii="Times New Roman"/>
                <w:b w:val="false"/>
                <w:i w:val="false"/>
                <w:color w:val="000000"/>
                <w:sz w:val="20"/>
              </w:rPr>
              <w:t xml:space="preserve">
   особые указания и меры предосторожности, которые следует соблюдать, или соответствующие перекрестные ссылки на них, когда это необходимо; </w:t>
            </w:r>
          </w:p>
          <w:p>
            <w:pPr>
              <w:spacing w:after="20"/>
              <w:ind w:left="20"/>
              <w:jc w:val="both"/>
            </w:pPr>
            <w:r>
              <w:rPr>
                <w:rFonts w:ascii="Times New Roman"/>
                <w:b w:val="false"/>
                <w:i w:val="false"/>
                <w:color w:val="000000"/>
                <w:sz w:val="20"/>
              </w:rPr>
              <w:t>
   указания по хранению промежуточной продукции или АФС для обеспечения их пригодности к использованию, включая материалы для маркировки и упаковки, а также особые условия хранения с указанием сроков, когда это целесообразно.</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Записи по производству и контролю качества серии или досье на серию</w:t>
            </w:r>
          </w:p>
          <w:p>
            <w:pPr>
              <w:spacing w:after="20"/>
              <w:ind w:left="20"/>
              <w:jc w:val="both"/>
            </w:pPr>
            <w:r>
              <w:rPr>
                <w:rFonts w:ascii="Times New Roman"/>
                <w:b w:val="false"/>
                <w:i w:val="false"/>
                <w:color w:val="000000"/>
                <w:sz w:val="20"/>
              </w:rPr>
              <w:t>
   6.50. Для каждого промежуточного продукта и АФС ведутся записи по производству и контролю качества, которые собираются в досье на серию продукции, включающее в себя полную информацию о производстве и контроле качества каждой серии. Выдаваемая форма для внесения записей по производству соответствует  технологической инструкции и является актуальной версией. Если форма для внесения записей по производству серии составлена на основании отдельной части технологической инструкции, то такой документ содержит ссылку на используемую действующую технологическую инструкцию.</w:t>
            </w:r>
          </w:p>
          <w:p>
            <w:pPr>
              <w:spacing w:after="20"/>
              <w:ind w:left="20"/>
              <w:jc w:val="both"/>
            </w:pPr>
            <w:r>
              <w:rPr>
                <w:rFonts w:ascii="Times New Roman"/>
                <w:b w:val="false"/>
                <w:i w:val="false"/>
                <w:color w:val="000000"/>
                <w:sz w:val="20"/>
              </w:rPr>
              <w:t>
   6.51. Такие формы для записей нумеруются с указанием конкретного номера серии или идентификационного номера, датируются и подписываются при выдаче. При непрерывном производстве код продукции, а также дата и время выпуска служат однозначными идентификаторами до присвоения окончательного номера серии.</w:t>
            </w:r>
          </w:p>
          <w:p>
            <w:pPr>
              <w:spacing w:after="20"/>
              <w:ind w:left="20"/>
              <w:jc w:val="both"/>
            </w:pPr>
            <w:r>
              <w:rPr>
                <w:rFonts w:ascii="Times New Roman"/>
                <w:b w:val="false"/>
                <w:i w:val="false"/>
                <w:color w:val="000000"/>
                <w:sz w:val="20"/>
              </w:rPr>
              <w:t>
   6.52. В записях по производству и контролю или досье на серию продукции после завершения каждой важной технологической стадии указывают:</w:t>
            </w:r>
          </w:p>
          <w:p>
            <w:pPr>
              <w:spacing w:after="20"/>
              <w:ind w:left="20"/>
              <w:jc w:val="both"/>
            </w:pPr>
            <w:r>
              <w:rPr>
                <w:rFonts w:ascii="Times New Roman"/>
                <w:b w:val="false"/>
                <w:i w:val="false"/>
                <w:color w:val="000000"/>
                <w:sz w:val="20"/>
              </w:rPr>
              <w:t>
   дату и, если необходимо, время;</w:t>
            </w:r>
          </w:p>
          <w:p>
            <w:pPr>
              <w:spacing w:after="20"/>
              <w:ind w:left="20"/>
              <w:jc w:val="both"/>
            </w:pPr>
            <w:r>
              <w:rPr>
                <w:rFonts w:ascii="Times New Roman"/>
                <w:b w:val="false"/>
                <w:i w:val="false"/>
                <w:color w:val="000000"/>
                <w:sz w:val="20"/>
              </w:rPr>
              <w:t>
   основное используемое оборудование;</w:t>
            </w:r>
          </w:p>
          <w:p>
            <w:pPr>
              <w:spacing w:after="20"/>
              <w:ind w:left="20"/>
              <w:jc w:val="both"/>
            </w:pPr>
            <w:r>
              <w:rPr>
                <w:rFonts w:ascii="Times New Roman"/>
                <w:b w:val="false"/>
                <w:i w:val="false"/>
                <w:color w:val="000000"/>
                <w:sz w:val="20"/>
              </w:rPr>
              <w:t>
   специфическую идентификацию каждой серии, включая массу, единицы измерения, номера серий исходного сырья, промежуточной продукции или любых материалов, прошедших повторную обработку в ходе производства;</w:t>
            </w:r>
          </w:p>
          <w:p>
            <w:pPr>
              <w:spacing w:after="20"/>
              <w:ind w:left="20"/>
              <w:jc w:val="both"/>
            </w:pPr>
            <w:r>
              <w:rPr>
                <w:rFonts w:ascii="Times New Roman"/>
                <w:b w:val="false"/>
                <w:i w:val="false"/>
                <w:color w:val="000000"/>
                <w:sz w:val="20"/>
              </w:rPr>
              <w:t>
   зарегистрированные фактические результаты критических параметров процесса;</w:t>
            </w:r>
          </w:p>
          <w:p>
            <w:pPr>
              <w:spacing w:after="20"/>
              <w:ind w:left="20"/>
              <w:jc w:val="both"/>
            </w:pPr>
            <w:r>
              <w:rPr>
                <w:rFonts w:ascii="Times New Roman"/>
                <w:b w:val="false"/>
                <w:i w:val="false"/>
                <w:color w:val="000000"/>
                <w:sz w:val="20"/>
              </w:rPr>
              <w:t>
   данные о любых проведенных отборах проб;</w:t>
            </w:r>
          </w:p>
          <w:p>
            <w:pPr>
              <w:spacing w:after="20"/>
              <w:ind w:left="20"/>
              <w:jc w:val="both"/>
            </w:pPr>
            <w:r>
              <w:rPr>
                <w:rFonts w:ascii="Times New Roman"/>
                <w:b w:val="false"/>
                <w:i w:val="false"/>
                <w:color w:val="000000"/>
                <w:sz w:val="20"/>
              </w:rPr>
              <w:t>
   подписи лиц, выполнявших каждую критическую стадию при работе, а также осуществлявших непосредственный надзор или проверку;</w:t>
            </w:r>
          </w:p>
          <w:p>
            <w:pPr>
              <w:spacing w:after="20"/>
              <w:ind w:left="20"/>
              <w:jc w:val="both"/>
            </w:pPr>
            <w:r>
              <w:rPr>
                <w:rFonts w:ascii="Times New Roman"/>
                <w:b w:val="false"/>
                <w:i w:val="false"/>
                <w:color w:val="000000"/>
                <w:sz w:val="20"/>
              </w:rPr>
              <w:t>
   результаты испытаний в процессе производства и лабораторных испытаний;</w:t>
            </w:r>
          </w:p>
          <w:p>
            <w:pPr>
              <w:spacing w:after="20"/>
              <w:ind w:left="20"/>
              <w:jc w:val="both"/>
            </w:pPr>
            <w:r>
              <w:rPr>
                <w:rFonts w:ascii="Times New Roman"/>
                <w:b w:val="false"/>
                <w:i w:val="false"/>
                <w:color w:val="000000"/>
                <w:sz w:val="20"/>
              </w:rPr>
              <w:t>
   фактический выход на соответствующих стадиях или в определенное время;</w:t>
            </w:r>
          </w:p>
          <w:p>
            <w:pPr>
              <w:spacing w:after="20"/>
              <w:ind w:left="20"/>
              <w:jc w:val="both"/>
            </w:pPr>
            <w:r>
              <w:rPr>
                <w:rFonts w:ascii="Times New Roman"/>
                <w:b w:val="false"/>
                <w:i w:val="false"/>
                <w:color w:val="000000"/>
                <w:sz w:val="20"/>
              </w:rPr>
              <w:t>
   описание упаковки и маркировки для промежуточной продукции или АФС;</w:t>
            </w:r>
          </w:p>
          <w:p>
            <w:pPr>
              <w:spacing w:after="20"/>
              <w:ind w:left="20"/>
              <w:jc w:val="both"/>
            </w:pPr>
            <w:r>
              <w:rPr>
                <w:rFonts w:ascii="Times New Roman"/>
                <w:b w:val="false"/>
                <w:i w:val="false"/>
                <w:color w:val="000000"/>
                <w:sz w:val="20"/>
              </w:rPr>
              <w:t>
   образец этикетки для АФС или промежуточной продукции, если они произведены для продажи;</w:t>
            </w:r>
          </w:p>
          <w:p>
            <w:pPr>
              <w:spacing w:after="20"/>
              <w:ind w:left="20"/>
              <w:jc w:val="both"/>
            </w:pPr>
            <w:r>
              <w:rPr>
                <w:rFonts w:ascii="Times New Roman"/>
                <w:b w:val="false"/>
                <w:i w:val="false"/>
                <w:color w:val="000000"/>
                <w:sz w:val="20"/>
              </w:rPr>
              <w:t xml:space="preserve">
   любое замеченное отклонение, его оценку, информацию о проведенном расследовании (при необходимости) или ссылку на такое расследование, если соответствующие документы хранят отдельно; </w:t>
            </w:r>
          </w:p>
          <w:p>
            <w:pPr>
              <w:spacing w:after="20"/>
              <w:ind w:left="20"/>
              <w:jc w:val="both"/>
            </w:pPr>
            <w:r>
              <w:rPr>
                <w:rFonts w:ascii="Times New Roman"/>
                <w:b w:val="false"/>
                <w:i w:val="false"/>
                <w:color w:val="000000"/>
                <w:sz w:val="20"/>
              </w:rPr>
              <w:t xml:space="preserve">
   результаты контроля при выдаче разрешения на выпуск. </w:t>
            </w:r>
          </w:p>
          <w:p>
            <w:pPr>
              <w:spacing w:after="20"/>
              <w:ind w:left="20"/>
              <w:jc w:val="both"/>
            </w:pPr>
            <w:r>
              <w:rPr>
                <w:rFonts w:ascii="Times New Roman"/>
                <w:b w:val="false"/>
                <w:i w:val="false"/>
                <w:color w:val="000000"/>
                <w:sz w:val="20"/>
              </w:rPr>
              <w:t xml:space="preserve">
   6.53. Разрабатываются письменные процедуры, которые соблюдают при расследовании критических отклонений или при несоответствии серий промежуточной продукции или АФС их спецификациям. Такое расследование распространяется и на другие серии, к которым могли бы иметь отношение данные несоответствия или отклонения.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Записи лабораторного контроля</w:t>
            </w:r>
          </w:p>
          <w:p>
            <w:pPr>
              <w:spacing w:after="20"/>
              <w:ind w:left="20"/>
              <w:jc w:val="both"/>
            </w:pPr>
            <w:r>
              <w:rPr>
                <w:rFonts w:ascii="Times New Roman"/>
                <w:b w:val="false"/>
                <w:i w:val="false"/>
                <w:color w:val="000000"/>
                <w:sz w:val="20"/>
              </w:rPr>
              <w:t>
   6.60. Записи лабораторного контроля включают полную информацию о данных, полученных в ходе испытаний, проведенных для подтверждения соответствия установленным спецификациям и стандартам, включая исследования и количественные определения, а именно:</w:t>
            </w:r>
          </w:p>
          <w:p>
            <w:pPr>
              <w:spacing w:after="20"/>
              <w:ind w:left="20"/>
              <w:jc w:val="both"/>
            </w:pPr>
            <w:r>
              <w:rPr>
                <w:rFonts w:ascii="Times New Roman"/>
                <w:b w:val="false"/>
                <w:i w:val="false"/>
                <w:color w:val="000000"/>
                <w:sz w:val="20"/>
              </w:rPr>
              <w:t>
   описание образцов, полученных для проведения испытания, включая название исходного сырья или источника, номер серии или другой характерный код, дату отбора пробы и, где применимо, количество образца, представленного для проведения испытаний, и дату его получения;</w:t>
            </w:r>
          </w:p>
          <w:p>
            <w:pPr>
              <w:spacing w:after="20"/>
              <w:ind w:left="20"/>
              <w:jc w:val="both"/>
            </w:pPr>
            <w:r>
              <w:rPr>
                <w:rFonts w:ascii="Times New Roman"/>
                <w:b w:val="false"/>
                <w:i w:val="false"/>
                <w:color w:val="000000"/>
                <w:sz w:val="20"/>
              </w:rPr>
              <w:t>
   описание каждого используемого метода испытаний или ссылку на такой метод;</w:t>
            </w:r>
          </w:p>
          <w:p>
            <w:pPr>
              <w:spacing w:after="20"/>
              <w:ind w:left="20"/>
              <w:jc w:val="both"/>
            </w:pPr>
            <w:r>
              <w:rPr>
                <w:rFonts w:ascii="Times New Roman"/>
                <w:b w:val="false"/>
                <w:i w:val="false"/>
                <w:color w:val="000000"/>
                <w:sz w:val="20"/>
              </w:rPr>
              <w:t>
   указание массы образца или других единиц измерения для образца, используемого для каждого испытания, в соответствии с описанным методом; данные о приготовлении и испытании стандартных образцов, реактивов и стандартных растворов или соответствующие перекрестные ссылки;</w:t>
            </w:r>
          </w:p>
          <w:p>
            <w:pPr>
              <w:spacing w:after="20"/>
              <w:ind w:left="20"/>
              <w:jc w:val="both"/>
            </w:pPr>
            <w:r>
              <w:rPr>
                <w:rFonts w:ascii="Times New Roman"/>
                <w:b w:val="false"/>
                <w:i w:val="false"/>
                <w:color w:val="000000"/>
                <w:sz w:val="20"/>
              </w:rPr>
              <w:t>
   полные записи всех исходных данных, получаемых в ходе каждого испытания, в дополнение к графикам, таблицам и спектрам, полученным с помощью лабораторных приборов, надлежащим образом идентифицированные для конкретного вещества и серии, подвергаемых испытанию;</w:t>
            </w:r>
          </w:p>
          <w:p>
            <w:pPr>
              <w:spacing w:after="20"/>
              <w:ind w:left="20"/>
              <w:jc w:val="both"/>
            </w:pPr>
            <w:r>
              <w:rPr>
                <w:rFonts w:ascii="Times New Roman"/>
                <w:b w:val="false"/>
                <w:i w:val="false"/>
                <w:color w:val="000000"/>
                <w:sz w:val="20"/>
              </w:rPr>
              <w:t>
   записи всех расчетов, выполненных в связи с проведением испытания, включая, например, единицы измерения, коэффициенты пересчета и факторы эквивалентности;</w:t>
            </w:r>
          </w:p>
          <w:p>
            <w:pPr>
              <w:spacing w:after="20"/>
              <w:ind w:left="20"/>
              <w:jc w:val="both"/>
            </w:pPr>
            <w:r>
              <w:rPr>
                <w:rFonts w:ascii="Times New Roman"/>
                <w:b w:val="false"/>
                <w:i w:val="false"/>
                <w:color w:val="000000"/>
                <w:sz w:val="20"/>
              </w:rPr>
              <w:t>
   изложение результатов испытаний и их соответствия установленным критериям приемлемости;</w:t>
            </w:r>
          </w:p>
          <w:p>
            <w:pPr>
              <w:spacing w:after="20"/>
              <w:ind w:left="20"/>
              <w:jc w:val="both"/>
            </w:pPr>
            <w:r>
              <w:rPr>
                <w:rFonts w:ascii="Times New Roman"/>
                <w:b w:val="false"/>
                <w:i w:val="false"/>
                <w:color w:val="000000"/>
                <w:sz w:val="20"/>
              </w:rPr>
              <w:t>
   подпись лица, проводившего каждое испытание, и дата (даты) их проведения;</w:t>
            </w:r>
          </w:p>
          <w:p>
            <w:pPr>
              <w:spacing w:after="20"/>
              <w:ind w:left="20"/>
              <w:jc w:val="both"/>
            </w:pPr>
            <w:r>
              <w:rPr>
                <w:rFonts w:ascii="Times New Roman"/>
                <w:b w:val="false"/>
                <w:i w:val="false"/>
                <w:color w:val="000000"/>
                <w:sz w:val="20"/>
              </w:rPr>
              <w:t>
   дату и подпись второго лица, свидетельствующую, что оригиналы записей были проверены в отношении точности, полноты и соответствия установленным стандартам.</w:t>
            </w:r>
          </w:p>
          <w:p>
            <w:pPr>
              <w:spacing w:after="20"/>
              <w:ind w:left="20"/>
              <w:jc w:val="both"/>
            </w:pPr>
            <w:r>
              <w:rPr>
                <w:rFonts w:ascii="Times New Roman"/>
                <w:b w:val="false"/>
                <w:i w:val="false"/>
                <w:color w:val="000000"/>
                <w:sz w:val="20"/>
              </w:rPr>
              <w:t>
   6.61. Следует также вести полные записи с указанием:</w:t>
            </w:r>
          </w:p>
          <w:p>
            <w:pPr>
              <w:spacing w:after="20"/>
              <w:ind w:left="20"/>
              <w:jc w:val="both"/>
            </w:pPr>
            <w:r>
              <w:rPr>
                <w:rFonts w:ascii="Times New Roman"/>
                <w:b w:val="false"/>
                <w:i w:val="false"/>
                <w:color w:val="000000"/>
                <w:sz w:val="20"/>
              </w:rPr>
              <w:t>
   любых изменений установленных аналитических методик;</w:t>
            </w:r>
          </w:p>
          <w:p>
            <w:pPr>
              <w:spacing w:after="20"/>
              <w:ind w:left="20"/>
              <w:jc w:val="both"/>
            </w:pPr>
            <w:r>
              <w:rPr>
                <w:rFonts w:ascii="Times New Roman"/>
                <w:b w:val="false"/>
                <w:i w:val="false"/>
                <w:color w:val="000000"/>
                <w:sz w:val="20"/>
              </w:rPr>
              <w:t>
   периодической калибровки лабораторного оборудования, аппаратов, средств измерений и регистрирующих устройств;</w:t>
            </w:r>
          </w:p>
          <w:p>
            <w:pPr>
              <w:spacing w:after="20"/>
              <w:ind w:left="20"/>
              <w:jc w:val="both"/>
            </w:pPr>
            <w:r>
              <w:rPr>
                <w:rFonts w:ascii="Times New Roman"/>
                <w:b w:val="false"/>
                <w:i w:val="false"/>
                <w:color w:val="000000"/>
                <w:sz w:val="20"/>
              </w:rPr>
              <w:t>
   всех испытаний АФС на стабильность;</w:t>
            </w:r>
          </w:p>
          <w:p>
            <w:pPr>
              <w:spacing w:after="20"/>
              <w:ind w:left="20"/>
              <w:jc w:val="both"/>
            </w:pPr>
            <w:r>
              <w:rPr>
                <w:rFonts w:ascii="Times New Roman"/>
                <w:b w:val="false"/>
                <w:i w:val="false"/>
                <w:color w:val="000000"/>
                <w:sz w:val="20"/>
              </w:rPr>
              <w:t>
   расследования отклонений результатов от спецификаций.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Обзор записей по производству и контролю качества серии или досье на серию</w:t>
            </w:r>
          </w:p>
          <w:p>
            <w:pPr>
              <w:spacing w:after="20"/>
              <w:ind w:left="20"/>
              <w:jc w:val="both"/>
            </w:pPr>
            <w:r>
              <w:rPr>
                <w:rFonts w:ascii="Times New Roman"/>
                <w:b w:val="false"/>
                <w:i w:val="false"/>
                <w:color w:val="000000"/>
                <w:sz w:val="20"/>
              </w:rPr>
              <w:t>
   6.70. Для определения соответствия промежуточной продукции или АФС установленным спецификациям перед выдачей разрешения на выпуск серии или перед ее реализацией разрабатывают письменные процедуры, которым следуют при обзоре и утверждении записей по производству и лабораторному контролю серий, включая упаковку и маркировку.</w:t>
            </w:r>
          </w:p>
          <w:p>
            <w:pPr>
              <w:spacing w:after="20"/>
              <w:ind w:left="20"/>
              <w:jc w:val="both"/>
            </w:pPr>
            <w:r>
              <w:rPr>
                <w:rFonts w:ascii="Times New Roman"/>
                <w:b w:val="false"/>
                <w:i w:val="false"/>
                <w:color w:val="000000"/>
                <w:sz w:val="20"/>
              </w:rPr>
              <w:t xml:space="preserve">
   6.71. Записи по производству серий и лабораторному контролю критических стадий процесса подлежат проверке и подтверждению отделом (отделами) качества перед выдачей разрешения на выпуск или перед реализацией каждой серии АФС. Записи по производству и лабораторному контролю для некритических стадий процесса проверяются квалифицированным персоналом производственного отдела или других подразделений в соответствии с процедурами, утвержденными отделом (отделами) качества. </w:t>
            </w:r>
          </w:p>
          <w:p>
            <w:pPr>
              <w:spacing w:after="20"/>
              <w:ind w:left="20"/>
              <w:jc w:val="both"/>
            </w:pPr>
            <w:r>
              <w:rPr>
                <w:rFonts w:ascii="Times New Roman"/>
                <w:b w:val="false"/>
                <w:i w:val="false"/>
                <w:color w:val="000000"/>
                <w:sz w:val="20"/>
              </w:rPr>
              <w:t>
   6.72. Все отклонения, отчеты о расследованиях и отклонениях результатов от спецификаций оцениваются в процессе обзора записей по производству и контролю серии или досье на серию перед выдачей разрешения на выпуск этой серии.</w:t>
            </w:r>
          </w:p>
          <w:p>
            <w:pPr>
              <w:spacing w:after="20"/>
              <w:ind w:left="20"/>
              <w:jc w:val="both"/>
            </w:pPr>
            <w:r>
              <w:rPr>
                <w:rFonts w:ascii="Times New Roman"/>
                <w:b w:val="false"/>
                <w:i w:val="false"/>
                <w:color w:val="000000"/>
                <w:sz w:val="20"/>
              </w:rPr>
              <w:t>
   6.73. Отдел (отделы) качества передают производственному отделу обязанности и полномочия в отношении выдачи разрешения на использование промежуточной продукции за исключением тех случаев, когда продукция предназначена для поставки за пределы сферы контроля производителя.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Работа с материалами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Общий контроль</w:t>
            </w:r>
          </w:p>
          <w:p>
            <w:pPr>
              <w:spacing w:after="20"/>
              <w:ind w:left="20"/>
              <w:jc w:val="both"/>
            </w:pPr>
            <w:r>
              <w:rPr>
                <w:rFonts w:ascii="Times New Roman"/>
                <w:b w:val="false"/>
                <w:i w:val="false"/>
                <w:color w:val="000000"/>
                <w:sz w:val="20"/>
              </w:rPr>
              <w:t>
   7.10. Ведутся письменные процедуры, описывающие приемку, идентификацию, помещение в карантин, хранение, обращение, отбор проб, проведение испытаний, а также одобрение или отклонение материалов.</w:t>
            </w:r>
          </w:p>
          <w:p>
            <w:pPr>
              <w:spacing w:after="20"/>
              <w:ind w:left="20"/>
              <w:jc w:val="both"/>
            </w:pPr>
            <w:r>
              <w:rPr>
                <w:rFonts w:ascii="Times New Roman"/>
                <w:b w:val="false"/>
                <w:i w:val="false"/>
                <w:color w:val="000000"/>
                <w:sz w:val="20"/>
              </w:rPr>
              <w:t>
   7.11. Производители промежуточной продукции и (или) АФС имеют систему оценки поставщиков материалов, критического для качества.</w:t>
            </w:r>
          </w:p>
          <w:p>
            <w:pPr>
              <w:spacing w:after="20"/>
              <w:ind w:left="20"/>
              <w:jc w:val="both"/>
            </w:pPr>
            <w:r>
              <w:rPr>
                <w:rFonts w:ascii="Times New Roman"/>
                <w:b w:val="false"/>
                <w:i w:val="false"/>
                <w:color w:val="000000"/>
                <w:sz w:val="20"/>
              </w:rPr>
              <w:t>
   7.12. Поставки материалов осуществляются поставщиками, утвержденными отделом(ами) качества, в соответствии с согласованными спецификациями.</w:t>
            </w:r>
          </w:p>
          <w:p>
            <w:pPr>
              <w:spacing w:after="20"/>
              <w:ind w:left="20"/>
              <w:jc w:val="both"/>
            </w:pPr>
            <w:r>
              <w:rPr>
                <w:rFonts w:ascii="Times New Roman"/>
                <w:b w:val="false"/>
                <w:i w:val="false"/>
                <w:color w:val="000000"/>
                <w:sz w:val="20"/>
              </w:rPr>
              <w:t>
   7.13. Если поставщик критических материалов не является его производителем, то производитель промежуточной продукции и (или) АФС знает название и адрес производителя этих материалов.</w:t>
            </w:r>
          </w:p>
          <w:p>
            <w:pPr>
              <w:spacing w:after="20"/>
              <w:ind w:left="20"/>
              <w:jc w:val="both"/>
            </w:pPr>
            <w:r>
              <w:rPr>
                <w:rFonts w:ascii="Times New Roman"/>
                <w:b w:val="false"/>
                <w:i w:val="false"/>
                <w:color w:val="000000"/>
                <w:sz w:val="20"/>
              </w:rPr>
              <w:t>
   7.14. Замену поставщика критических материалов проводят в соответствии с разделом 13 части II настоящего Стандарта.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Приемка и карантин</w:t>
            </w:r>
          </w:p>
          <w:p>
            <w:pPr>
              <w:spacing w:after="20"/>
              <w:ind w:left="20"/>
              <w:jc w:val="both"/>
            </w:pPr>
            <w:r>
              <w:rPr>
                <w:rFonts w:ascii="Times New Roman"/>
                <w:b w:val="false"/>
                <w:i w:val="false"/>
                <w:color w:val="000000"/>
                <w:sz w:val="20"/>
              </w:rPr>
              <w:t>
   7.20. При получении и перед приемкой каждый контейнер с материалами или группу контейнеров обследуют визуально на правильность маркировки, включая соответствие названия, используемого поставщиком и заказчиком, если они отличаются и наличие повреждений контейнера, поврежденных пломб, свидетельств постороннего вмешательства или контаминации. Материалы содержат в карантине от отбора проб, проверки или проведения испытаний и до получения разрешения на его использование.</w:t>
            </w:r>
          </w:p>
          <w:p>
            <w:pPr>
              <w:spacing w:after="20"/>
              <w:ind w:left="20"/>
              <w:jc w:val="both"/>
            </w:pPr>
            <w:r>
              <w:rPr>
                <w:rFonts w:ascii="Times New Roman"/>
                <w:b w:val="false"/>
                <w:i w:val="false"/>
                <w:color w:val="000000"/>
                <w:sz w:val="20"/>
              </w:rPr>
              <w:t>
   7.21. До смешивания поступивших материалов с имеющимися запасами их обозначают как соответствующие требованиям, прошедшие необходимые испытания, если применимо, и разрешенные для использования. Разрабатывают процедуры по предотвращению ошибочной выгрузки поступивших материалов в имеющийся запас.</w:t>
            </w:r>
          </w:p>
          <w:p>
            <w:pPr>
              <w:spacing w:after="20"/>
              <w:ind w:left="20"/>
              <w:jc w:val="both"/>
            </w:pPr>
            <w:r>
              <w:rPr>
                <w:rFonts w:ascii="Times New Roman"/>
                <w:b w:val="false"/>
                <w:i w:val="false"/>
                <w:color w:val="000000"/>
                <w:sz w:val="20"/>
              </w:rPr>
              <w:t>
   7.22. В целях исключения возможности перекрестной контаминации поставки ангро, если она осуществляется в емкостях, не предназначенных специально для нее, используются одно или несколько следующих доказательств:</w:t>
            </w:r>
          </w:p>
          <w:p>
            <w:pPr>
              <w:spacing w:after="20"/>
              <w:ind w:left="20"/>
              <w:jc w:val="both"/>
            </w:pPr>
            <w:r>
              <w:rPr>
                <w:rFonts w:ascii="Times New Roman"/>
                <w:b w:val="false"/>
                <w:i w:val="false"/>
                <w:color w:val="000000"/>
                <w:sz w:val="20"/>
              </w:rPr>
              <w:t xml:space="preserve">
   наличие документа, подтверждающего очистку; </w:t>
            </w:r>
          </w:p>
          <w:p>
            <w:pPr>
              <w:spacing w:after="20"/>
              <w:ind w:left="20"/>
              <w:jc w:val="both"/>
            </w:pPr>
            <w:r>
              <w:rPr>
                <w:rFonts w:ascii="Times New Roman"/>
                <w:b w:val="false"/>
                <w:i w:val="false"/>
                <w:color w:val="000000"/>
                <w:sz w:val="20"/>
              </w:rPr>
              <w:t>
   испытание на наличие следов примесей;</w:t>
            </w:r>
          </w:p>
          <w:p>
            <w:pPr>
              <w:spacing w:after="20"/>
              <w:ind w:left="20"/>
              <w:jc w:val="both"/>
            </w:pPr>
            <w:r>
              <w:rPr>
                <w:rFonts w:ascii="Times New Roman"/>
                <w:b w:val="false"/>
                <w:i w:val="false"/>
                <w:color w:val="000000"/>
                <w:sz w:val="20"/>
              </w:rPr>
              <w:t>
   аудит поставщика.</w:t>
            </w:r>
          </w:p>
          <w:p>
            <w:pPr>
              <w:spacing w:after="20"/>
              <w:ind w:left="20"/>
              <w:jc w:val="both"/>
            </w:pPr>
            <w:r>
              <w:rPr>
                <w:rFonts w:ascii="Times New Roman"/>
                <w:b w:val="false"/>
                <w:i w:val="false"/>
                <w:color w:val="000000"/>
                <w:sz w:val="20"/>
              </w:rPr>
              <w:t>
   7.23. Большие емкости для хранения и обслуживающие их трубопроводы, линии наполнения и разгрузки имеют соответствующую маркировку.</w:t>
            </w:r>
          </w:p>
          <w:p>
            <w:pPr>
              <w:spacing w:after="20"/>
              <w:ind w:left="20"/>
              <w:jc w:val="both"/>
            </w:pPr>
            <w:r>
              <w:rPr>
                <w:rFonts w:ascii="Times New Roman"/>
                <w:b w:val="false"/>
                <w:i w:val="false"/>
                <w:color w:val="000000"/>
                <w:sz w:val="20"/>
              </w:rPr>
              <w:t xml:space="preserve">
   7.24. Каждый контейнер или группу контейнеров с материалами идентифицируют с помощью характерного кода, номера серии или номера, присвоенного при приемке. Этот номер используют при регистрации местонахождения каждой серии. Имеется система идентификации статуса каждой серии.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Отбор проб и проведение испытаний материалов, поступивших для производства</w:t>
            </w:r>
          </w:p>
          <w:p>
            <w:pPr>
              <w:spacing w:after="20"/>
              <w:ind w:left="20"/>
              <w:jc w:val="both"/>
            </w:pPr>
            <w:r>
              <w:rPr>
                <w:rFonts w:ascii="Times New Roman"/>
                <w:b w:val="false"/>
                <w:i w:val="false"/>
                <w:color w:val="000000"/>
                <w:sz w:val="20"/>
              </w:rPr>
              <w:t xml:space="preserve">
   7.30. Для подтверждения подлинности каждой серии материалов, за исключением материалов, указанных в пункте 7.32, проводят хотя бы одно испытание. Если производитель имеет систему оценки поставщиков, то вместо проведения других испытаний используют сертификат анализа поставщика. </w:t>
            </w:r>
          </w:p>
          <w:p>
            <w:pPr>
              <w:spacing w:after="20"/>
              <w:ind w:left="20"/>
              <w:jc w:val="both"/>
            </w:pPr>
            <w:r>
              <w:rPr>
                <w:rFonts w:ascii="Times New Roman"/>
                <w:b w:val="false"/>
                <w:i w:val="false"/>
                <w:color w:val="000000"/>
                <w:sz w:val="20"/>
              </w:rPr>
              <w:t>
   7.31. Процедура утверждения поставщика включает оценку способности производителя постоянно поставлять материалы, соответствующие спецификациям, например, данные о качестве предыдущих поставок. Прежде чем сократить объем испытаний при входном контроле, проводят полный анализ, как минимум, трех серий. Полный анализ проводят через определенные промежутки времени и сравнивают его результаты с данными сертификата анализа поставщика. Достоверность данных сертификатов анализа проверяется регулярно.</w:t>
            </w:r>
          </w:p>
          <w:p>
            <w:pPr>
              <w:spacing w:after="20"/>
              <w:ind w:left="20"/>
              <w:jc w:val="both"/>
            </w:pPr>
            <w:r>
              <w:rPr>
                <w:rFonts w:ascii="Times New Roman"/>
                <w:b w:val="false"/>
                <w:i w:val="false"/>
                <w:color w:val="000000"/>
                <w:sz w:val="20"/>
              </w:rPr>
              <w:t>
   7.32. Не требуется проведение контроля технологических добавок, опасного или высокотоксичного сырья, других специальных материалов или материалов, передаваемых в другое подразделение под контролем заказчика, при наличии сертификата анализа производителя, подтверждающего соответствие этих материалов установленным требованиям. Идентификацию этих материалов проводят путем визуальной проверки контейнеров, этикеток и регистрации номеров серий. Отсутствие контроля таких материалов на месте обосновывается и оформляется документально.</w:t>
            </w:r>
          </w:p>
          <w:p>
            <w:pPr>
              <w:spacing w:after="20"/>
              <w:ind w:left="20"/>
              <w:jc w:val="both"/>
            </w:pPr>
            <w:r>
              <w:rPr>
                <w:rFonts w:ascii="Times New Roman"/>
                <w:b w:val="false"/>
                <w:i w:val="false"/>
                <w:color w:val="000000"/>
                <w:sz w:val="20"/>
              </w:rPr>
              <w:t>
   7.33. Достигается репрезентативность проб для серии материалов, из которой они отобраны. В методиках отбора проб устанавливается число контейнеров, из которых отбираются пробы, и та часть контейнера, откуда берется проба, а также количество материалов, которое отбирается из каждого контейнера. Число контейнеров для отбора проб и размер пробы указываются в плане отбора проб, в котором учитывается критичность материалов, изменчивость свойств материалов, предшествующий опыт работы с поставщиком в отношении качества, а также количество, необходимое для анализа.</w:t>
            </w:r>
          </w:p>
          <w:p>
            <w:pPr>
              <w:spacing w:after="20"/>
              <w:ind w:left="20"/>
              <w:jc w:val="both"/>
            </w:pPr>
            <w:r>
              <w:rPr>
                <w:rFonts w:ascii="Times New Roman"/>
                <w:b w:val="false"/>
                <w:i w:val="false"/>
                <w:color w:val="000000"/>
                <w:sz w:val="20"/>
              </w:rPr>
              <w:t>
   7.34. Отбор проб проводят в определенных местах и в соответствии с инструкциями, предназначенными для предотвращения контаминации отобранной пробы и других материалов.</w:t>
            </w:r>
          </w:p>
          <w:p>
            <w:pPr>
              <w:spacing w:after="20"/>
              <w:ind w:left="20"/>
              <w:jc w:val="both"/>
            </w:pPr>
            <w:r>
              <w:rPr>
                <w:rFonts w:ascii="Times New Roman"/>
                <w:b w:val="false"/>
                <w:i w:val="false"/>
                <w:color w:val="000000"/>
                <w:sz w:val="20"/>
              </w:rPr>
              <w:t>
   7.35. Контейнеры, из которых отбирают пробы, открывают осторожно и немедленно закрывают после отбора пробы. Их маркируют для указания факта отбора пробы.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Хранение</w:t>
            </w:r>
          </w:p>
          <w:p>
            <w:pPr>
              <w:spacing w:after="20"/>
              <w:ind w:left="20"/>
              <w:jc w:val="both"/>
            </w:pPr>
            <w:r>
              <w:rPr>
                <w:rFonts w:ascii="Times New Roman"/>
                <w:b w:val="false"/>
                <w:i w:val="false"/>
                <w:color w:val="000000"/>
                <w:sz w:val="20"/>
              </w:rPr>
              <w:t>
   7.40. Обращение с материалами и их хранение осуществляется таким образом, чтобы предотвратить их разложение, контаминацию и перекрестную контаминацию.</w:t>
            </w:r>
          </w:p>
          <w:p>
            <w:pPr>
              <w:spacing w:after="20"/>
              <w:ind w:left="20"/>
              <w:jc w:val="both"/>
            </w:pPr>
            <w:r>
              <w:rPr>
                <w:rFonts w:ascii="Times New Roman"/>
                <w:b w:val="false"/>
                <w:i w:val="false"/>
                <w:color w:val="000000"/>
                <w:sz w:val="20"/>
              </w:rPr>
              <w:t xml:space="preserve">
   7.41. Материалы, хранящиеся в фибровых барабанах, мешках или ящиках, не размещают на полу и располагают таким образом, чтобы дать возможность при необходимости провести очистку и осмотр. </w:t>
            </w:r>
          </w:p>
          <w:p>
            <w:pPr>
              <w:spacing w:after="20"/>
              <w:ind w:left="20"/>
              <w:jc w:val="both"/>
            </w:pPr>
            <w:r>
              <w:rPr>
                <w:rFonts w:ascii="Times New Roman"/>
                <w:b w:val="false"/>
                <w:i w:val="false"/>
                <w:color w:val="000000"/>
                <w:sz w:val="20"/>
              </w:rPr>
              <w:t>
   7.42. Материалы хранят при условиях и в течение периода, которые не оказывают неблагоприятного воздействия на их качество; необходимо следить, чтобы материалы, поступившие первыми, были использованы в первую очередь.</w:t>
            </w:r>
          </w:p>
          <w:p>
            <w:pPr>
              <w:spacing w:after="20"/>
              <w:ind w:left="20"/>
              <w:jc w:val="both"/>
            </w:pPr>
            <w:r>
              <w:rPr>
                <w:rFonts w:ascii="Times New Roman"/>
                <w:b w:val="false"/>
                <w:i w:val="false"/>
                <w:color w:val="000000"/>
                <w:sz w:val="20"/>
              </w:rPr>
              <w:t>
   7.43. Некоторые материалы в соответствующих контейнерах хранятся вне помещений при условии, что идентифицирующие этикетки остаются разборчивыми, а контейнеры надлежащим образом очищают перед вскрытием и использованием.</w:t>
            </w:r>
          </w:p>
          <w:p>
            <w:pPr>
              <w:spacing w:after="20"/>
              <w:ind w:left="20"/>
              <w:jc w:val="both"/>
            </w:pPr>
            <w:r>
              <w:rPr>
                <w:rFonts w:ascii="Times New Roman"/>
                <w:b w:val="false"/>
                <w:i w:val="false"/>
                <w:color w:val="000000"/>
                <w:sz w:val="20"/>
              </w:rPr>
              <w:t>
   7.44. Отклоненные материалы маркируются и находятся под контролем в карантине, чтобы предотвратить их несанкционированное использование в производстве.</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Повторная оценка</w:t>
            </w:r>
          </w:p>
          <w:p>
            <w:pPr>
              <w:spacing w:after="20"/>
              <w:ind w:left="20"/>
              <w:jc w:val="both"/>
            </w:pPr>
            <w:r>
              <w:rPr>
                <w:rFonts w:ascii="Times New Roman"/>
                <w:b w:val="false"/>
                <w:i w:val="false"/>
                <w:color w:val="000000"/>
                <w:sz w:val="20"/>
              </w:rPr>
              <w:t>
   7.50. По мере необходимости материалы подвергают повторной оценке, для того чтобы определить их пригодность для использования.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Технологический процесс и контроль в процессе производства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Технологические операции</w:t>
            </w:r>
          </w:p>
          <w:p>
            <w:pPr>
              <w:spacing w:after="20"/>
              <w:ind w:left="20"/>
              <w:jc w:val="both"/>
            </w:pPr>
            <w:r>
              <w:rPr>
                <w:rFonts w:ascii="Times New Roman"/>
                <w:b w:val="false"/>
                <w:i w:val="false"/>
                <w:color w:val="000000"/>
                <w:sz w:val="20"/>
              </w:rPr>
              <w:t>
   8.10. Исходное сырье для производства промежуточной продукции и АФС взвешивают или отмеривают в соответствующих условиях, не оказывающих влияния на его пригодность для использования. Для весов и устройств для измерения объема достигается точность, приемлемая для предполагаемого использования.</w:t>
            </w:r>
          </w:p>
          <w:p>
            <w:pPr>
              <w:spacing w:after="20"/>
              <w:ind w:left="20"/>
              <w:jc w:val="both"/>
            </w:pPr>
            <w:r>
              <w:rPr>
                <w:rFonts w:ascii="Times New Roman"/>
                <w:b w:val="false"/>
                <w:i w:val="false"/>
                <w:color w:val="000000"/>
                <w:sz w:val="20"/>
              </w:rPr>
              <w:t>
   8.11. Если исходное сырье делят на несколько порций для последующего использования в технологических операциях, соответствующий по объему контейнер, в который поступает исходное сырье, маркируется таким образом, чтобы была в наличии следующая информация:</w:t>
            </w:r>
          </w:p>
          <w:p>
            <w:pPr>
              <w:spacing w:after="20"/>
              <w:ind w:left="20"/>
              <w:jc w:val="both"/>
            </w:pPr>
            <w:r>
              <w:rPr>
                <w:rFonts w:ascii="Times New Roman"/>
                <w:b w:val="false"/>
                <w:i w:val="false"/>
                <w:color w:val="000000"/>
                <w:sz w:val="20"/>
              </w:rPr>
              <w:t>
   название исходного сырья и (или) его код;</w:t>
            </w:r>
          </w:p>
          <w:p>
            <w:pPr>
              <w:spacing w:after="20"/>
              <w:ind w:left="20"/>
              <w:jc w:val="both"/>
            </w:pPr>
            <w:r>
              <w:rPr>
                <w:rFonts w:ascii="Times New Roman"/>
                <w:b w:val="false"/>
                <w:i w:val="false"/>
                <w:color w:val="000000"/>
                <w:sz w:val="20"/>
              </w:rPr>
              <w:t>
   номер, присвоенный при приемке, или контрольный номер;</w:t>
            </w:r>
          </w:p>
          <w:p>
            <w:pPr>
              <w:spacing w:after="20"/>
              <w:ind w:left="20"/>
              <w:jc w:val="both"/>
            </w:pPr>
            <w:r>
              <w:rPr>
                <w:rFonts w:ascii="Times New Roman"/>
                <w:b w:val="false"/>
                <w:i w:val="false"/>
                <w:color w:val="000000"/>
                <w:sz w:val="20"/>
              </w:rPr>
              <w:t>
   масса или объем исходного сырья в новом контейнере;</w:t>
            </w:r>
          </w:p>
          <w:p>
            <w:pPr>
              <w:spacing w:after="20"/>
              <w:ind w:left="20"/>
              <w:jc w:val="both"/>
            </w:pPr>
            <w:r>
              <w:rPr>
                <w:rFonts w:ascii="Times New Roman"/>
                <w:b w:val="false"/>
                <w:i w:val="false"/>
                <w:color w:val="000000"/>
                <w:sz w:val="20"/>
              </w:rPr>
              <w:t>
   при необходимости дата проведения повторной оценки или повторных испытаний.</w:t>
            </w:r>
          </w:p>
          <w:p>
            <w:pPr>
              <w:spacing w:after="20"/>
              <w:ind w:left="20"/>
              <w:jc w:val="both"/>
            </w:pPr>
            <w:r>
              <w:rPr>
                <w:rFonts w:ascii="Times New Roman"/>
                <w:b w:val="false"/>
                <w:i w:val="false"/>
                <w:color w:val="000000"/>
                <w:sz w:val="20"/>
              </w:rPr>
              <w:t xml:space="preserve">
   8.12. Устанавливается наблюдение за критическими операциями взвешивания, отмеривания или разделения, удостоверяется выполнение указанных операций либо подвергается эквивалентному контролю. Перед использованием исходного сырья производственный персонал убеждается в том, что оно действительно является тем сырьем, которое указано в форме для записи по производству серии для данной промежуточной продукции или АФС. </w:t>
            </w:r>
          </w:p>
          <w:p>
            <w:pPr>
              <w:spacing w:after="20"/>
              <w:ind w:left="20"/>
              <w:jc w:val="both"/>
            </w:pPr>
            <w:r>
              <w:rPr>
                <w:rFonts w:ascii="Times New Roman"/>
                <w:b w:val="false"/>
                <w:i w:val="false"/>
                <w:color w:val="000000"/>
                <w:sz w:val="20"/>
              </w:rPr>
              <w:t>
   8.13. Устанавливается наблюдение за любыми другими критическими технологическими операциями или они подвергаются  эквивалентному контролю.</w:t>
            </w:r>
          </w:p>
          <w:p>
            <w:pPr>
              <w:spacing w:after="20"/>
              <w:ind w:left="20"/>
              <w:jc w:val="both"/>
            </w:pPr>
            <w:r>
              <w:rPr>
                <w:rFonts w:ascii="Times New Roman"/>
                <w:b w:val="false"/>
                <w:i w:val="false"/>
                <w:color w:val="000000"/>
                <w:sz w:val="20"/>
              </w:rPr>
              <w:t xml:space="preserve">
   8.14. На определенных стадиях технологического процесса фактические выходы сопоставляют с ожидаемыми. Ожидаемые выходы и соответствующие пределы определяют на основании данных проведенных ранее лабораторных, опытных или промышленных испытаний. Причины отклонений от ожидаемого выхода, связанные с критическими стадиями процесса, расследуются, чтобы определить их влияние или возможное влияние на качество соответствующих серий. </w:t>
            </w:r>
          </w:p>
          <w:p>
            <w:pPr>
              <w:spacing w:after="20"/>
              <w:ind w:left="20"/>
              <w:jc w:val="both"/>
            </w:pPr>
            <w:r>
              <w:rPr>
                <w:rFonts w:ascii="Times New Roman"/>
                <w:b w:val="false"/>
                <w:i w:val="false"/>
                <w:color w:val="000000"/>
                <w:sz w:val="20"/>
              </w:rPr>
              <w:t>
   8.15. Любое отклонение оформляется документально и объясняется. Любое критическое отклонение расследуется.</w:t>
            </w:r>
          </w:p>
          <w:p>
            <w:pPr>
              <w:spacing w:after="20"/>
              <w:ind w:left="20"/>
              <w:jc w:val="both"/>
            </w:pPr>
            <w:r>
              <w:rPr>
                <w:rFonts w:ascii="Times New Roman"/>
                <w:b w:val="false"/>
                <w:i w:val="false"/>
                <w:color w:val="000000"/>
                <w:sz w:val="20"/>
              </w:rPr>
              <w:t xml:space="preserve">
   8.16. Технологический статус основных единиц оборудования указывается либо на конкретных единицах оборудования, либо в соответствующей документации, либо с использованием систем компьютерного контроля, либо с помощью альтернативных методов. </w:t>
            </w:r>
          </w:p>
          <w:p>
            <w:pPr>
              <w:spacing w:after="20"/>
              <w:ind w:left="20"/>
              <w:jc w:val="both"/>
            </w:pPr>
            <w:r>
              <w:rPr>
                <w:rFonts w:ascii="Times New Roman"/>
                <w:b w:val="false"/>
                <w:i w:val="false"/>
                <w:color w:val="000000"/>
                <w:sz w:val="20"/>
              </w:rPr>
              <w:t xml:space="preserve">
   8.17. Материалы, предназначенные для повторной обработки или переработки, надлежащим образом контролируются для предотвращения несанкционированного использования.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Ограничение времени выполнения операций</w:t>
            </w:r>
          </w:p>
          <w:p>
            <w:pPr>
              <w:spacing w:after="20"/>
              <w:ind w:left="20"/>
              <w:jc w:val="both"/>
            </w:pPr>
            <w:r>
              <w:rPr>
                <w:rFonts w:ascii="Times New Roman"/>
                <w:b w:val="false"/>
                <w:i w:val="false"/>
                <w:color w:val="000000"/>
                <w:sz w:val="20"/>
              </w:rPr>
              <w:t>
   8.20. Если в технологической инструкции установлены ограничения времени, они соблюдаются для обеспечения качества промежуточной продукции и АФС. Отклонения от этих ограничений оформляют документально и проводят их оценку. Такие ограничения не требуются при проведении технологического процесса до достижения установленных значений параметров, поскольку завершение реакций или стадий процесса определяется посредством отбора проб и испытаний в процессе производства.</w:t>
            </w:r>
          </w:p>
          <w:p>
            <w:pPr>
              <w:spacing w:after="20"/>
              <w:ind w:left="20"/>
              <w:jc w:val="both"/>
            </w:pPr>
            <w:r>
              <w:rPr>
                <w:rFonts w:ascii="Times New Roman"/>
                <w:b w:val="false"/>
                <w:i w:val="false"/>
                <w:color w:val="000000"/>
                <w:sz w:val="20"/>
              </w:rPr>
              <w:t>
   8.21. Промежуточную продукцию, предназначенную для дальнейшей обработки, хранят при определенных условиях, чтобы обеспечить ее пригодность для дальнейшего использования.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Отбор проб и контроль в процессе производства</w:t>
            </w:r>
          </w:p>
          <w:p>
            <w:pPr>
              <w:spacing w:after="20"/>
              <w:ind w:left="20"/>
              <w:jc w:val="both"/>
            </w:pPr>
            <w:r>
              <w:rPr>
                <w:rFonts w:ascii="Times New Roman"/>
                <w:b w:val="false"/>
                <w:i w:val="false"/>
                <w:color w:val="000000"/>
                <w:sz w:val="20"/>
              </w:rPr>
              <w:t>
   8.30. Разрабатываются письменные инструкции мониторинга процесса и контроля выполнения тех стадий процесса, которые являются причиной непостоянства показателей качества промежуточной продукции и АФС. Порядок проведения контроля в процессе производства и соответствующие критерии приемлемости определяются на основании информации, полученной на стадии разработки, или на основании предшествующего опыта производства.</w:t>
            </w:r>
          </w:p>
          <w:p>
            <w:pPr>
              <w:spacing w:after="20"/>
              <w:ind w:left="20"/>
              <w:jc w:val="both"/>
            </w:pPr>
            <w:r>
              <w:rPr>
                <w:rFonts w:ascii="Times New Roman"/>
                <w:b w:val="false"/>
                <w:i w:val="false"/>
                <w:color w:val="000000"/>
                <w:sz w:val="20"/>
              </w:rPr>
              <w:t>
   8.31. Критерии приемлемости, тип и объем испытаний зависят от природы выпускаемых промежуточной продукции и АФС, реакции или стадии процесса и степени влияния технологического процесса на непостоянство качества продукции. На начальных стадиях процесса проводят менее жесткий контроль, тогда как на более поздних стадиях процесса проводят более жесткий контроль.</w:t>
            </w:r>
          </w:p>
          <w:p>
            <w:pPr>
              <w:spacing w:after="20"/>
              <w:ind w:left="20"/>
              <w:jc w:val="both"/>
            </w:pPr>
            <w:r>
              <w:rPr>
                <w:rFonts w:ascii="Times New Roman"/>
                <w:b w:val="false"/>
                <w:i w:val="false"/>
                <w:color w:val="000000"/>
                <w:sz w:val="20"/>
              </w:rPr>
              <w:t>
   8.32. Критические этапы контроля в процессе производства и мониторинг критических процессов, включая точки и методы контроля, излагаются в письменном виде и утверждаются отделом качества.</w:t>
            </w:r>
          </w:p>
          <w:p>
            <w:pPr>
              <w:spacing w:after="20"/>
              <w:ind w:left="20"/>
              <w:jc w:val="both"/>
            </w:pPr>
            <w:r>
              <w:rPr>
                <w:rFonts w:ascii="Times New Roman"/>
                <w:b w:val="false"/>
                <w:i w:val="false"/>
                <w:color w:val="000000"/>
                <w:sz w:val="20"/>
              </w:rPr>
              <w:t xml:space="preserve">
   8.33. Контроль в процессе производства осуществляется квалифицированным производственным персоналом, корректировка процесса осуществляется без предварительной санкции отдела качества, если она проводится в заранее установленных пределах, утвержденных отделом качества. Все испытания и их результаты полностью оформляются документально как часть записей на серию или досье на серию. </w:t>
            </w:r>
          </w:p>
          <w:p>
            <w:pPr>
              <w:spacing w:after="20"/>
              <w:ind w:left="20"/>
              <w:jc w:val="both"/>
            </w:pPr>
            <w:r>
              <w:rPr>
                <w:rFonts w:ascii="Times New Roman"/>
                <w:b w:val="false"/>
                <w:i w:val="false"/>
                <w:color w:val="000000"/>
                <w:sz w:val="20"/>
              </w:rPr>
              <w:t xml:space="preserve">
   8.34. Методы отбора проб для материалов, находящихся в процессе производства, промежуточной продукции и АФС, приводятся в письменных инструкциях. Планы отбора проб и методики базируются на научно обоснованном порядке отбора проб. </w:t>
            </w:r>
          </w:p>
          <w:p>
            <w:pPr>
              <w:spacing w:after="20"/>
              <w:ind w:left="20"/>
              <w:jc w:val="both"/>
            </w:pPr>
            <w:r>
              <w:rPr>
                <w:rFonts w:ascii="Times New Roman"/>
                <w:b w:val="false"/>
                <w:i w:val="false"/>
                <w:color w:val="000000"/>
                <w:sz w:val="20"/>
              </w:rPr>
              <w:t>
   8.35. Отбор проб в процессе производства осуществляют с использованием процедур, предусматривающих предотвращение контаминации отобранного материала и другой промежуточной продукции или АФС. Для обеспечения сохранения целостности образцов после отбора разрабатывают соответствующие процедуры.</w:t>
            </w:r>
          </w:p>
          <w:p>
            <w:pPr>
              <w:spacing w:after="20"/>
              <w:ind w:left="20"/>
              <w:jc w:val="both"/>
            </w:pPr>
            <w:r>
              <w:rPr>
                <w:rFonts w:ascii="Times New Roman"/>
                <w:b w:val="false"/>
                <w:i w:val="false"/>
                <w:color w:val="000000"/>
                <w:sz w:val="20"/>
              </w:rPr>
              <w:t>
   8.36. При проведении испытаний в процессе производства, которые осуществляют с целью мониторинга и (или) корректировки процесса не требуется расследовать случаи несоответствия спецификациям.</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Смешивание серий промежуточной продукции или АФС</w:t>
            </w:r>
          </w:p>
          <w:p>
            <w:pPr>
              <w:spacing w:after="20"/>
              <w:ind w:left="20"/>
              <w:jc w:val="both"/>
            </w:pPr>
            <w:r>
              <w:rPr>
                <w:rFonts w:ascii="Times New Roman"/>
                <w:b w:val="false"/>
                <w:i w:val="false"/>
                <w:color w:val="000000"/>
                <w:sz w:val="20"/>
              </w:rPr>
              <w:t>
   8.40. В части II настоящего Стандарта смешивание определяется как процесс объединения веществ в рамках одной спецификации для получения однородной промежуточной продукции или АФС. Смешивание в процессе производства частей одной и той же серии или объединение частей различных серий для последующей обработки считается частью технологического процесса и не рассматривается как смешивание.</w:t>
            </w:r>
          </w:p>
          <w:p>
            <w:pPr>
              <w:spacing w:after="20"/>
              <w:ind w:left="20"/>
              <w:jc w:val="both"/>
            </w:pPr>
            <w:r>
              <w:rPr>
                <w:rFonts w:ascii="Times New Roman"/>
                <w:b w:val="false"/>
                <w:i w:val="false"/>
                <w:color w:val="000000"/>
                <w:sz w:val="20"/>
              </w:rPr>
              <w:t>
   8.41. Смешивание серий, не отвечающих требованиям спецификаций, с другими сериями с целью обеспечения соответствия спецификациям является недопустимым. Каждая серия, входящая в состав смеси, производится по установленной технологии, индивидуально испытывается и соответствует установленным спецификациям перед смешиванием.</w:t>
            </w:r>
          </w:p>
          <w:p>
            <w:pPr>
              <w:spacing w:after="20"/>
              <w:ind w:left="20"/>
              <w:jc w:val="both"/>
            </w:pPr>
            <w:r>
              <w:rPr>
                <w:rFonts w:ascii="Times New Roman"/>
                <w:b w:val="false"/>
                <w:i w:val="false"/>
                <w:color w:val="000000"/>
                <w:sz w:val="20"/>
              </w:rPr>
              <w:t>
   8.42. Операции смешивания приемлемы, в частности, для:</w:t>
            </w:r>
          </w:p>
          <w:p>
            <w:pPr>
              <w:spacing w:after="20"/>
              <w:ind w:left="20"/>
              <w:jc w:val="both"/>
            </w:pPr>
            <w:r>
              <w:rPr>
                <w:rFonts w:ascii="Times New Roman"/>
                <w:b w:val="false"/>
                <w:i w:val="false"/>
                <w:color w:val="000000"/>
                <w:sz w:val="20"/>
              </w:rPr>
              <w:t>
   смешивания небольших серий для увеличения размера серии;</w:t>
            </w:r>
          </w:p>
          <w:p>
            <w:pPr>
              <w:spacing w:after="20"/>
              <w:ind w:left="20"/>
              <w:jc w:val="both"/>
            </w:pPr>
            <w:r>
              <w:rPr>
                <w:rFonts w:ascii="Times New Roman"/>
                <w:b w:val="false"/>
                <w:i w:val="false"/>
                <w:color w:val="000000"/>
                <w:sz w:val="20"/>
              </w:rPr>
              <w:t>
   смешивания остатков, то есть относительно небольших количеств выделенного вещества серий одной и той же промежуточной продукции или одной и той же АФС для получения единой серии.</w:t>
            </w:r>
          </w:p>
          <w:p>
            <w:pPr>
              <w:spacing w:after="20"/>
              <w:ind w:left="20"/>
              <w:jc w:val="both"/>
            </w:pPr>
            <w:r>
              <w:rPr>
                <w:rFonts w:ascii="Times New Roman"/>
                <w:b w:val="false"/>
                <w:i w:val="false"/>
                <w:color w:val="000000"/>
                <w:sz w:val="20"/>
              </w:rPr>
              <w:t xml:space="preserve">
   8.43. Процессы смешивания надлежащим образом контролируются и оформляются документально. Полученную в результате смешивания серию, где применимо, подвергают испытаниям на соответствие установленным спецификациям. </w:t>
            </w:r>
          </w:p>
          <w:p>
            <w:pPr>
              <w:spacing w:after="20"/>
              <w:ind w:left="20"/>
              <w:jc w:val="both"/>
            </w:pPr>
            <w:r>
              <w:rPr>
                <w:rFonts w:ascii="Times New Roman"/>
                <w:b w:val="false"/>
                <w:i w:val="false"/>
                <w:color w:val="000000"/>
                <w:sz w:val="20"/>
              </w:rPr>
              <w:t>
   8.44. Необходимо, чтобы записи, относящиеся к серии (досье на серию), отражающие смешивание, обеспечивали возможность обратного прослеживания отдельных серий, из которых сделана смесь.</w:t>
            </w:r>
          </w:p>
          <w:p>
            <w:pPr>
              <w:spacing w:after="20"/>
              <w:ind w:left="20"/>
              <w:jc w:val="both"/>
            </w:pPr>
            <w:r>
              <w:rPr>
                <w:rFonts w:ascii="Times New Roman"/>
                <w:b w:val="false"/>
                <w:i w:val="false"/>
                <w:color w:val="000000"/>
                <w:sz w:val="20"/>
              </w:rPr>
              <w:t>
   8.45. В тех случаях, когда физические характеристики АФС являются критическими, например, АФС, предназначенные для получения твердых лекарственных форм или суспензий для приема внутрь, операции смешивания следует валидировать, чтобы продемонстрировать однородность объединенной серии. Валидация включает проведение испытаний критических характеристик, например, распределения частиц по размерам, насыпной плотности и плотности при уплотнении, на которые оказывает влияние процесс смешивания.</w:t>
            </w:r>
          </w:p>
          <w:p>
            <w:pPr>
              <w:spacing w:after="20"/>
              <w:ind w:left="20"/>
              <w:jc w:val="both"/>
            </w:pPr>
            <w:r>
              <w:rPr>
                <w:rFonts w:ascii="Times New Roman"/>
                <w:b w:val="false"/>
                <w:i w:val="false"/>
                <w:color w:val="000000"/>
                <w:sz w:val="20"/>
              </w:rPr>
              <w:t>
   8.46. Если смешивание оказывает отрицательное воздействие на стабильность, проводят испытания стабильности окончательных серий, полученных в результате смешивания.</w:t>
            </w:r>
          </w:p>
          <w:p>
            <w:pPr>
              <w:spacing w:after="20"/>
              <w:ind w:left="20"/>
              <w:jc w:val="both"/>
            </w:pPr>
            <w:r>
              <w:rPr>
                <w:rFonts w:ascii="Times New Roman"/>
                <w:b w:val="false"/>
                <w:i w:val="false"/>
                <w:color w:val="000000"/>
                <w:sz w:val="20"/>
              </w:rPr>
              <w:t>
   8.47. Дату окончания срока годности или дату проведения повторных испытаний серии, полученной в результате смешивания, определяют на основании даты производства самых старых остатков или самой старой серии в смеси.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Контроль контаминации</w:t>
            </w:r>
          </w:p>
          <w:p>
            <w:pPr>
              <w:spacing w:after="20"/>
              <w:ind w:left="20"/>
              <w:jc w:val="both"/>
            </w:pPr>
            <w:r>
              <w:rPr>
                <w:rFonts w:ascii="Times New Roman"/>
                <w:b w:val="false"/>
                <w:i w:val="false"/>
                <w:color w:val="000000"/>
                <w:sz w:val="20"/>
              </w:rPr>
              <w:t>
   8.50. Остатки веществ вносятся в последующие серии той же промежуточной продукции или АФС при условии соответствующего контроля. Это относится к остаткам, налипшим на стенку измельчителя, слою влажных кристаллов, оставшихся на стенках бака центрифуги после разгрузки, и остаткам, образовавшимся в результате неполной выгрузки жидкостей или кристаллов из рабочей емкости при переносе вещества на следующую стадию процесса. Такое внесение не влечет за собой переноса продуктов разложения или микробной контаминации, которые отрицательно влияют на установленный профиль примесей АФС.</w:t>
            </w:r>
          </w:p>
          <w:p>
            <w:pPr>
              <w:spacing w:after="20"/>
              <w:ind w:left="20"/>
              <w:jc w:val="both"/>
            </w:pPr>
            <w:r>
              <w:rPr>
                <w:rFonts w:ascii="Times New Roman"/>
                <w:b w:val="false"/>
                <w:i w:val="false"/>
                <w:color w:val="000000"/>
                <w:sz w:val="20"/>
              </w:rPr>
              <w:t>
   8.51. Технологические операции проводятся таким образом, чтобы предотвратить контаминацию промежуточной продукции или АФС другими веществами.</w:t>
            </w:r>
          </w:p>
          <w:p>
            <w:pPr>
              <w:spacing w:after="20"/>
              <w:ind w:left="20"/>
              <w:jc w:val="both"/>
            </w:pPr>
            <w:r>
              <w:rPr>
                <w:rFonts w:ascii="Times New Roman"/>
                <w:b w:val="false"/>
                <w:i w:val="false"/>
                <w:color w:val="000000"/>
                <w:sz w:val="20"/>
              </w:rPr>
              <w:t>
   8.52. С целью предотвращения контаминации соблюдаются особые меры предосторожности при работе с АФС после ее очистки.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Упаковка и идентифицирующая маркировка АФС и промежуточной продукции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Общие требования</w:t>
            </w:r>
          </w:p>
          <w:p>
            <w:pPr>
              <w:spacing w:after="20"/>
              <w:ind w:left="20"/>
              <w:jc w:val="both"/>
            </w:pPr>
            <w:r>
              <w:rPr>
                <w:rFonts w:ascii="Times New Roman"/>
                <w:b w:val="false"/>
                <w:i w:val="false"/>
                <w:color w:val="000000"/>
                <w:sz w:val="20"/>
              </w:rPr>
              <w:t>
   9.10. Имеются письменные процедуры, в которых описаны приемка, идентификация, помещение в карантин, отбор проб, исследование и (или) испытание и выдача разрешения на использование материалов для упаковки и маркировки, а также обращение с ними.</w:t>
            </w:r>
          </w:p>
          <w:p>
            <w:pPr>
              <w:spacing w:after="20"/>
              <w:ind w:left="20"/>
              <w:jc w:val="both"/>
            </w:pPr>
            <w:r>
              <w:rPr>
                <w:rFonts w:ascii="Times New Roman"/>
                <w:b w:val="false"/>
                <w:i w:val="false"/>
                <w:color w:val="000000"/>
                <w:sz w:val="20"/>
              </w:rPr>
              <w:t>
   9.11. Материалы для упаковки и маркировки соответствуют установленным спецификациям. Те из них, которые не соответствуют таким спецификациям, отклоняются для предотвращения их использования при выполнении операций, для которых они непригодны.</w:t>
            </w:r>
          </w:p>
          <w:p>
            <w:pPr>
              <w:spacing w:after="20"/>
              <w:ind w:left="20"/>
              <w:jc w:val="both"/>
            </w:pPr>
            <w:r>
              <w:rPr>
                <w:rFonts w:ascii="Times New Roman"/>
                <w:b w:val="false"/>
                <w:i w:val="false"/>
                <w:color w:val="000000"/>
                <w:sz w:val="20"/>
              </w:rPr>
              <w:t>
   9.12. Ведутся записи для каждой поставки этикеток и упаковочных материалов с указанием данных об их приемке, проверке или испытании, а также об их принятии или отклонении.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Упаковочные материалы</w:t>
            </w:r>
          </w:p>
          <w:p>
            <w:pPr>
              <w:spacing w:after="20"/>
              <w:ind w:left="20"/>
              <w:jc w:val="both"/>
            </w:pPr>
            <w:r>
              <w:rPr>
                <w:rFonts w:ascii="Times New Roman"/>
                <w:b w:val="false"/>
                <w:i w:val="false"/>
                <w:color w:val="000000"/>
                <w:sz w:val="20"/>
              </w:rPr>
              <w:t>
   9.20. Контейнеры или упаковки обеспечивают надлежащую защиту от порчи или контаминации промежуточной продукции или АФС во время транспортирования и хранения в рекомендуемых условиях.</w:t>
            </w:r>
          </w:p>
          <w:p>
            <w:pPr>
              <w:spacing w:after="20"/>
              <w:ind w:left="20"/>
              <w:jc w:val="both"/>
            </w:pPr>
            <w:r>
              <w:rPr>
                <w:rFonts w:ascii="Times New Roman"/>
                <w:b w:val="false"/>
                <w:i w:val="false"/>
                <w:color w:val="000000"/>
                <w:sz w:val="20"/>
              </w:rPr>
              <w:t>
   9.21. Чистые контейнеры или упаковки, если этого требует характер промежуточной продукции или АФС, подвергаются санитарной обработке для обеспечения их пригодности для использования по назначению. Такие контейнеры или упаковки не обладают химической активностью, абсорбирующими свойствами и не служат источником посторонних примесей, чтобы не вызывать изменений качества промежуточной продукции или АФС сверх пределов, установленных в спецификации.</w:t>
            </w:r>
          </w:p>
          <w:p>
            <w:pPr>
              <w:spacing w:after="20"/>
              <w:ind w:left="20"/>
              <w:jc w:val="both"/>
            </w:pPr>
            <w:r>
              <w:rPr>
                <w:rFonts w:ascii="Times New Roman"/>
                <w:b w:val="false"/>
                <w:i w:val="false"/>
                <w:color w:val="000000"/>
                <w:sz w:val="20"/>
              </w:rPr>
              <w:t>
   9.22. Если контейнеры или упаковки предназначены для повторного использования, они очищаются в соответствии с письменными инструкциями, а все предыдущие этикетки удаляются или стираются.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Выдача этикеток и контроль</w:t>
            </w:r>
          </w:p>
          <w:p>
            <w:pPr>
              <w:spacing w:after="20"/>
              <w:ind w:left="20"/>
              <w:jc w:val="both"/>
            </w:pPr>
            <w:r>
              <w:rPr>
                <w:rFonts w:ascii="Times New Roman"/>
                <w:b w:val="false"/>
                <w:i w:val="false"/>
                <w:color w:val="000000"/>
                <w:sz w:val="20"/>
              </w:rPr>
              <w:t xml:space="preserve">
   9.30. Доступ в зоны хранения этикеток разрешается только лицам, имеющим соответствующие полномочия. </w:t>
            </w:r>
          </w:p>
          <w:p>
            <w:pPr>
              <w:spacing w:after="20"/>
              <w:ind w:left="20"/>
              <w:jc w:val="both"/>
            </w:pPr>
            <w:r>
              <w:rPr>
                <w:rFonts w:ascii="Times New Roman"/>
                <w:b w:val="false"/>
                <w:i w:val="false"/>
                <w:color w:val="000000"/>
                <w:sz w:val="20"/>
              </w:rPr>
              <w:t>
   9.31. Применяются процедуры сопоставления количества выданных, использованных и возвращенных этикеток, чтобы оценить расхождения между количеством маркированных упаковок и количеством выданных этикеток. Факты расхождения расследуются, а полученные результаты утверждаются отделом (отделами) качества.</w:t>
            </w:r>
          </w:p>
          <w:p>
            <w:pPr>
              <w:spacing w:after="20"/>
              <w:ind w:left="20"/>
              <w:jc w:val="both"/>
            </w:pPr>
            <w:r>
              <w:rPr>
                <w:rFonts w:ascii="Times New Roman"/>
                <w:b w:val="false"/>
                <w:i w:val="false"/>
                <w:color w:val="000000"/>
                <w:sz w:val="20"/>
              </w:rPr>
              <w:t>
   9.32. Все неиспользованные этикетки с номерами серий или другой печатной информацией, относящейся к этим сериям, уничтожаются. Возвращенные этикетки содержатся и хранятся таким образом, чтобы предотвратить перепутывание и обеспечить надлежащую идентификацию.</w:t>
            </w:r>
          </w:p>
          <w:p>
            <w:pPr>
              <w:spacing w:after="20"/>
              <w:ind w:left="20"/>
              <w:jc w:val="both"/>
            </w:pPr>
            <w:r>
              <w:rPr>
                <w:rFonts w:ascii="Times New Roman"/>
                <w:b w:val="false"/>
                <w:i w:val="false"/>
                <w:color w:val="000000"/>
                <w:sz w:val="20"/>
              </w:rPr>
              <w:t>
   9.33. Устаревшие этикетки и этикетки с просроченными датами уничтожаются.</w:t>
            </w:r>
          </w:p>
          <w:p>
            <w:pPr>
              <w:spacing w:after="20"/>
              <w:ind w:left="20"/>
              <w:jc w:val="both"/>
            </w:pPr>
            <w:r>
              <w:rPr>
                <w:rFonts w:ascii="Times New Roman"/>
                <w:b w:val="false"/>
                <w:i w:val="false"/>
                <w:color w:val="000000"/>
                <w:sz w:val="20"/>
              </w:rPr>
              <w:t>
   9.34. Оборудование, используемое для печатания этикеток при операциях упаковки, контролируются в целях обеспечения соответствия всех оттисков печатному тексту, указанному в записях по производству серии.</w:t>
            </w:r>
          </w:p>
          <w:p>
            <w:pPr>
              <w:spacing w:after="20"/>
              <w:ind w:left="20"/>
              <w:jc w:val="both"/>
            </w:pPr>
            <w:r>
              <w:rPr>
                <w:rFonts w:ascii="Times New Roman"/>
                <w:b w:val="false"/>
                <w:i w:val="false"/>
                <w:color w:val="000000"/>
                <w:sz w:val="20"/>
              </w:rPr>
              <w:t>
   9.35. Отпечатанные этикетки, выдаваемые для определенной серии, тщательно проверяются в отношении их подлинности и соответствия спецификациям, приведенным в основных записях производства. Результаты такой проверки оформляются документально.</w:t>
            </w:r>
          </w:p>
          <w:p>
            <w:pPr>
              <w:spacing w:after="20"/>
              <w:ind w:left="20"/>
              <w:jc w:val="both"/>
            </w:pPr>
            <w:r>
              <w:rPr>
                <w:rFonts w:ascii="Times New Roman"/>
                <w:b w:val="false"/>
                <w:i w:val="false"/>
                <w:color w:val="000000"/>
                <w:sz w:val="20"/>
              </w:rPr>
              <w:t>
   9.36. Образец отпечатанной этикетки, соответствующий использованным этикеткам, включают в записи по производству серии.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Операции по упаковке и маркировке</w:t>
            </w:r>
          </w:p>
          <w:p>
            <w:pPr>
              <w:spacing w:after="20"/>
              <w:ind w:left="20"/>
              <w:jc w:val="both"/>
            </w:pPr>
            <w:r>
              <w:rPr>
                <w:rFonts w:ascii="Times New Roman"/>
                <w:b w:val="false"/>
                <w:i w:val="false"/>
                <w:color w:val="000000"/>
                <w:sz w:val="20"/>
              </w:rPr>
              <w:t>
   9.40. В наличии имеются документально оформленные инструкции, предназначенные для обеспечения правильного использования упаковочных материалов и этикеток.</w:t>
            </w:r>
          </w:p>
          <w:p>
            <w:pPr>
              <w:spacing w:after="20"/>
              <w:ind w:left="20"/>
              <w:jc w:val="both"/>
            </w:pPr>
            <w:r>
              <w:rPr>
                <w:rFonts w:ascii="Times New Roman"/>
                <w:b w:val="false"/>
                <w:i w:val="false"/>
                <w:color w:val="000000"/>
                <w:sz w:val="20"/>
              </w:rPr>
              <w:t>
   9.41. В операциях по маркировке предусматривается предотвращение перепутывания. Предпринимается физическое или пространственное разделение работ, связанных с разной промежуточной продукцией или АФС.</w:t>
            </w:r>
          </w:p>
          <w:p>
            <w:pPr>
              <w:spacing w:after="20"/>
              <w:ind w:left="20"/>
              <w:jc w:val="both"/>
            </w:pPr>
            <w:r>
              <w:rPr>
                <w:rFonts w:ascii="Times New Roman"/>
                <w:b w:val="false"/>
                <w:i w:val="false"/>
                <w:color w:val="000000"/>
                <w:sz w:val="20"/>
              </w:rPr>
              <w:t>
   9.42. Этикетки, используемые для маркировки наружной поверхности контейнеров с промежуточной продукцией или АФС, содержат название или идентификационный код, номер серии продукции и условия хранения, если такая информация является критической для обеспечения качества промежуточной продукции или АФС.</w:t>
            </w:r>
          </w:p>
          <w:p>
            <w:pPr>
              <w:spacing w:after="20"/>
              <w:ind w:left="20"/>
              <w:jc w:val="both"/>
            </w:pPr>
            <w:r>
              <w:rPr>
                <w:rFonts w:ascii="Times New Roman"/>
                <w:b w:val="false"/>
                <w:i w:val="false"/>
                <w:color w:val="000000"/>
                <w:sz w:val="20"/>
              </w:rPr>
              <w:t>
   9.43. Если промежуточная продукция или АФС предназначены для транспортирования за пределы сферы контроля системы управления материалами производителя, то на этикетке указывается также название и адрес производителя, количество содержимого, особые условия транспортирования и любые специальные узаконенные требования. Для промежуточной продукции и АФС, которые имеют установленный срок годности, на этикетке и в сертификате анализа указывается дата истечения срока годности. Для промежуточной продукции и АФС, для которых установлена дата повторных испытаний, эту дату указывают на этикетке и (или) в сертификате анализа.</w:t>
            </w:r>
          </w:p>
          <w:p>
            <w:pPr>
              <w:spacing w:after="20"/>
              <w:ind w:left="20"/>
              <w:jc w:val="both"/>
            </w:pPr>
            <w:r>
              <w:rPr>
                <w:rFonts w:ascii="Times New Roman"/>
                <w:b w:val="false"/>
                <w:i w:val="false"/>
                <w:color w:val="000000"/>
                <w:sz w:val="20"/>
              </w:rPr>
              <w:t>
   9.44. Помещения и оборудование для упаковки и маркировки проверяются непосредственно перед их использованием, для того чтобы убедиться, что удалены все материалы, которые не нужны для следующей операции упаковки. Такая проверка оформляется документально в записях по производству серии, в журналах по использованию помещений и эксплуатации оборудования или отражается в другой системе документального оформления.</w:t>
            </w:r>
          </w:p>
          <w:p>
            <w:pPr>
              <w:spacing w:after="20"/>
              <w:ind w:left="20"/>
              <w:jc w:val="both"/>
            </w:pPr>
            <w:r>
              <w:rPr>
                <w:rFonts w:ascii="Times New Roman"/>
                <w:b w:val="false"/>
                <w:i w:val="false"/>
                <w:color w:val="000000"/>
                <w:sz w:val="20"/>
              </w:rPr>
              <w:t>
   9.45. Упакованную и маркированную промежуточную продукцию или АФС проверяют, чтобы убедиться, что первичная и вторичная упаковка для серии имеет правильную маркировку. Эта проверка является частью операции по упаковке. Результаты такой проверки отражаются в записях по производству серии или в документах по контролю.</w:t>
            </w:r>
          </w:p>
          <w:p>
            <w:pPr>
              <w:spacing w:after="20"/>
              <w:ind w:left="20"/>
              <w:jc w:val="both"/>
            </w:pPr>
            <w:r>
              <w:rPr>
                <w:rFonts w:ascii="Times New Roman"/>
                <w:b w:val="false"/>
                <w:i w:val="false"/>
                <w:color w:val="000000"/>
                <w:sz w:val="20"/>
              </w:rPr>
              <w:t>
   9.46. Упаковки с промежуточной продукцией или АФС, подлежащие транспортированию за пределы сферы контроля производителя, пломбируют таким образом, чтобы в случае нарушения или отсутствия пломбы получатель мог обратить внимание на возможность изменения содержимого.</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Хранение и реализация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Хранение на складе</w:t>
            </w:r>
          </w:p>
          <w:p>
            <w:pPr>
              <w:spacing w:after="20"/>
              <w:ind w:left="20"/>
              <w:jc w:val="both"/>
            </w:pPr>
            <w:r>
              <w:rPr>
                <w:rFonts w:ascii="Times New Roman"/>
                <w:b w:val="false"/>
                <w:i w:val="false"/>
                <w:color w:val="000000"/>
                <w:sz w:val="20"/>
              </w:rPr>
              <w:t>
   10.10. Для хранения всех материалов при соответствующих условиях, например, контролируемые температура и влажность, когда это необходимо предусматриваются помещения и технические средства. Ведутся записи параметров эти</w:t>
            </w:r>
          </w:p>
          <w:p>
            <w:pPr>
              <w:spacing w:after="20"/>
              <w:ind w:left="20"/>
              <w:jc w:val="both"/>
            </w:pPr>
            <w:r>
              <w:rPr>
                <w:rFonts w:ascii="Times New Roman"/>
                <w:b w:val="false"/>
                <w:i w:val="false"/>
                <w:color w:val="000000"/>
                <w:sz w:val="20"/>
              </w:rPr>
              <w:t>
   х условий, если они являются критическими для сохранения свойств материалов.</w:t>
            </w:r>
          </w:p>
          <w:p>
            <w:pPr>
              <w:spacing w:after="20"/>
              <w:ind w:left="20"/>
              <w:jc w:val="both"/>
            </w:pPr>
            <w:r>
              <w:rPr>
                <w:rFonts w:ascii="Times New Roman"/>
                <w:b w:val="false"/>
                <w:i w:val="false"/>
                <w:color w:val="000000"/>
                <w:sz w:val="20"/>
              </w:rPr>
              <w:t>
   10.11. Если не имеется другой системы для предотвращения непреднамеренного или несанкционированного использования находящихся в карантине, отклоненных, возвращенных или отозванных материалов, то выделяются отдельные зоны для временного хранения указанных материалов до принятия решения об их использовании.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Реализация</w:t>
            </w:r>
          </w:p>
          <w:p>
            <w:pPr>
              <w:spacing w:after="20"/>
              <w:ind w:left="20"/>
              <w:jc w:val="both"/>
            </w:pPr>
            <w:r>
              <w:rPr>
                <w:rFonts w:ascii="Times New Roman"/>
                <w:b w:val="false"/>
                <w:i w:val="false"/>
                <w:color w:val="000000"/>
                <w:sz w:val="20"/>
              </w:rPr>
              <w:t>
   10.20. Реализация АФС и промежуточных продуктов третьим сторонам допускается только после выдачи разрешения отдела (отделов) качества на их выпуски подтверждения соответствия серии Уполномоченным лицом. АФС и промежуточная продукция в статусе карантина передаются в другое подразделение, находящееся в сфере контроля производителя, если это разрешено отделом (отделами) качества и при наличии соответствующего контроля и документации.</w:t>
            </w:r>
          </w:p>
          <w:p>
            <w:pPr>
              <w:spacing w:after="20"/>
              <w:ind w:left="20"/>
              <w:jc w:val="both"/>
            </w:pPr>
            <w:r>
              <w:rPr>
                <w:rFonts w:ascii="Times New Roman"/>
                <w:b w:val="false"/>
                <w:i w:val="false"/>
                <w:color w:val="000000"/>
                <w:sz w:val="20"/>
              </w:rPr>
              <w:t>
   10.21. Условия транспортирования АФС и промежуточной продукции не оказывают отрицательного воздействия на их качество.</w:t>
            </w:r>
          </w:p>
          <w:p>
            <w:pPr>
              <w:spacing w:after="20"/>
              <w:ind w:left="20"/>
              <w:jc w:val="both"/>
            </w:pPr>
            <w:r>
              <w:rPr>
                <w:rFonts w:ascii="Times New Roman"/>
                <w:b w:val="false"/>
                <w:i w:val="false"/>
                <w:color w:val="000000"/>
                <w:sz w:val="20"/>
              </w:rPr>
              <w:t>
   10.22. Особые условия транспортирования или хранения АФС или промежуточной продукции указываются на этикетке.</w:t>
            </w:r>
          </w:p>
          <w:p>
            <w:pPr>
              <w:spacing w:after="20"/>
              <w:ind w:left="20"/>
              <w:jc w:val="both"/>
            </w:pPr>
            <w:r>
              <w:rPr>
                <w:rFonts w:ascii="Times New Roman"/>
                <w:b w:val="false"/>
                <w:i w:val="false"/>
                <w:color w:val="000000"/>
                <w:sz w:val="20"/>
              </w:rPr>
              <w:t>
   10.23. Производитель убеждается в том, что подрядчик, ответственный за перевозку АФС или промежуточной продукции, осведомлен о соответствующих условиях транспортирования и хранения и соблюдает их.</w:t>
            </w:r>
          </w:p>
          <w:p>
            <w:pPr>
              <w:spacing w:after="20"/>
              <w:ind w:left="20"/>
              <w:jc w:val="both"/>
            </w:pPr>
            <w:r>
              <w:rPr>
                <w:rFonts w:ascii="Times New Roman"/>
                <w:b w:val="false"/>
                <w:i w:val="false"/>
                <w:color w:val="000000"/>
                <w:sz w:val="20"/>
              </w:rPr>
              <w:t>
   10.24. Имеется система, позволяющая быстро установить пути реализации каждой серии промежуточной продукции и (или) АФС, что дает возможность их отзыва.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Лабораторный контроль</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Общий контроль</w:t>
            </w:r>
          </w:p>
          <w:p>
            <w:pPr>
              <w:spacing w:after="20"/>
              <w:ind w:left="20"/>
              <w:jc w:val="both"/>
            </w:pPr>
            <w:r>
              <w:rPr>
                <w:rFonts w:ascii="Times New Roman"/>
                <w:b w:val="false"/>
                <w:i w:val="false"/>
                <w:color w:val="000000"/>
                <w:sz w:val="20"/>
              </w:rPr>
              <w:t>
   11.10. Независимый отдел качества имеет в своем распоряжении соответствующие лабораторные помещения и оборудование.</w:t>
            </w:r>
          </w:p>
          <w:p>
            <w:pPr>
              <w:spacing w:after="20"/>
              <w:ind w:left="20"/>
              <w:jc w:val="both"/>
            </w:pPr>
            <w:r>
              <w:rPr>
                <w:rFonts w:ascii="Times New Roman"/>
                <w:b w:val="false"/>
                <w:i w:val="false"/>
                <w:color w:val="000000"/>
                <w:sz w:val="20"/>
              </w:rPr>
              <w:t>
   11.11. В наличии имеются письменные инструкции, описывающие отбор проб, проведение испытаний, одобрение или отклонение материалов, а также документальное оформление и хранение лабораторных данных. Ведение лабораторных записей соответствует требованиям пункта 6.6. части II настоящего Стандарта.</w:t>
            </w:r>
          </w:p>
          <w:p>
            <w:pPr>
              <w:spacing w:after="20"/>
              <w:ind w:left="20"/>
              <w:jc w:val="both"/>
            </w:pPr>
            <w:r>
              <w:rPr>
                <w:rFonts w:ascii="Times New Roman"/>
                <w:b w:val="false"/>
                <w:i w:val="false"/>
                <w:color w:val="000000"/>
                <w:sz w:val="20"/>
              </w:rPr>
              <w:t>
   11.12. Все спецификации, планы отбора проб и методики испытаний научно обоснованы и пригодны для гарантии того, что исходное сырье, промежуточная продукция, АФС, этикетки и упаковочные материалы соответствуют установленным стандартам качества и (или) чистоты. Спецификации и методики испытаний соответствуют требованиям регистрационного досье. Спецификации регистрационного досье допускается дополнять спецификациями. Спецификации, планы отбора проб и методики испытаний, включая вносимые в эти документы изменения, составляются соответствующим подразделением, проверяются и утверждаются отделом (отделами) качества.</w:t>
            </w:r>
          </w:p>
          <w:p>
            <w:pPr>
              <w:spacing w:after="20"/>
              <w:ind w:left="20"/>
              <w:jc w:val="both"/>
            </w:pPr>
            <w:r>
              <w:rPr>
                <w:rFonts w:ascii="Times New Roman"/>
                <w:b w:val="false"/>
                <w:i w:val="false"/>
                <w:color w:val="000000"/>
                <w:sz w:val="20"/>
              </w:rPr>
              <w:t>
   11.13. Для АФС разрабатываются надлежащие спецификации, соответствующие принятым стандартам и согласующиеся с процессом производства. Спецификации включают контроль примесей. Если имеется спецификация для АФС в отношении микробиологической чистоты, то для общего количества микроорганизмов и при указании недопустимых микроорганизмов устанавливаются пределы, требующие принятия мер, и эти требования соблюдаются. Если имеется спецификация для АФС в отношении содержания эндотоксинов, то устанавливаются соответствующие пределы, требующие принятия мер, и эти требования соблюдаются.</w:t>
            </w:r>
          </w:p>
          <w:p>
            <w:pPr>
              <w:spacing w:after="20"/>
              <w:ind w:left="20"/>
              <w:jc w:val="both"/>
            </w:pPr>
            <w:r>
              <w:rPr>
                <w:rFonts w:ascii="Times New Roman"/>
                <w:b w:val="false"/>
                <w:i w:val="false"/>
                <w:color w:val="000000"/>
                <w:sz w:val="20"/>
              </w:rPr>
              <w:t>
   11.14. Все процедуры лабораторного контроля проводятся в соответствии с утвержденными инструкциями и оформляются в письменном виде во время выполнения. Любые отклонения от вышеуказанных процедур оформляются документально и объясняются.</w:t>
            </w:r>
          </w:p>
          <w:p>
            <w:pPr>
              <w:spacing w:after="20"/>
              <w:ind w:left="20"/>
              <w:jc w:val="both"/>
            </w:pPr>
            <w:r>
              <w:rPr>
                <w:rFonts w:ascii="Times New Roman"/>
                <w:b w:val="false"/>
                <w:i w:val="false"/>
                <w:color w:val="000000"/>
                <w:sz w:val="20"/>
              </w:rPr>
              <w:t>
   11.15. Любые полученные данные о несоответствии спецификации расследуются и документально оформляются согласно установленной процедуре. В соответствии с этой процедурой данные анализируются, дается оценка того, имеются ли существенные проблемы, определяются необходимые корректирующие действия и делаются соответствующие  выводы. Любой повторный отбор проб и (или) проведение повторных испытаний после получения результатов несоответствия спецификации выполняются согласно письменной процедуре.</w:t>
            </w:r>
          </w:p>
          <w:p>
            <w:pPr>
              <w:spacing w:after="20"/>
              <w:ind w:left="20"/>
              <w:jc w:val="both"/>
            </w:pPr>
            <w:r>
              <w:rPr>
                <w:rFonts w:ascii="Times New Roman"/>
                <w:b w:val="false"/>
                <w:i w:val="false"/>
                <w:color w:val="000000"/>
                <w:sz w:val="20"/>
              </w:rPr>
              <w:t>
   11.16. Реактивы и стандартные растворы  готовятся и маркируются в соответствии с письменными инструкциями. На посуде с аналитическими реактивами или стандартными растворами, если это целесообразно  указывается дата, до которой они могут использоваться: "использовать до".</w:t>
            </w:r>
          </w:p>
          <w:p>
            <w:pPr>
              <w:spacing w:after="20"/>
              <w:ind w:left="20"/>
              <w:jc w:val="both"/>
            </w:pPr>
            <w:r>
              <w:rPr>
                <w:rFonts w:ascii="Times New Roman"/>
                <w:b w:val="false"/>
                <w:i w:val="false"/>
                <w:color w:val="000000"/>
                <w:sz w:val="20"/>
              </w:rPr>
              <w:t>
   11.17. При производстве АФС при необходимости имеются первичные стандартные образцы. Источник каждого первичного стандартного образца фиксируется в документации. Ведутся записи хранения каждого первичного стандартного образца и его использования в соответствии с рекомендациями поставщика. Первичные стандартные образцы, полученные из официально признанных источников и хранящиеся в соответствии с рекомендациями поставщика, используются без проведения их испытаний.</w:t>
            </w:r>
          </w:p>
          <w:p>
            <w:pPr>
              <w:spacing w:after="20"/>
              <w:ind w:left="20"/>
              <w:jc w:val="both"/>
            </w:pPr>
            <w:r>
              <w:rPr>
                <w:rFonts w:ascii="Times New Roman"/>
                <w:b w:val="false"/>
                <w:i w:val="false"/>
                <w:color w:val="000000"/>
                <w:sz w:val="20"/>
              </w:rPr>
              <w:t xml:space="preserve">
   11.18. При отсутствии первичного стандартного образца у официально признанного источника разрабатывается "внутренний" первичный стандартный образец. Для достоверного установления подлинности и чистоты такого первичного стандартного образца следует провести надлежащие испытания. Необходимо сохранять соответствующую документацию проведения этих испытаний. </w:t>
            </w:r>
          </w:p>
          <w:p>
            <w:pPr>
              <w:spacing w:after="20"/>
              <w:ind w:left="20"/>
              <w:jc w:val="both"/>
            </w:pPr>
            <w:r>
              <w:rPr>
                <w:rFonts w:ascii="Times New Roman"/>
                <w:b w:val="false"/>
                <w:i w:val="false"/>
                <w:color w:val="000000"/>
                <w:sz w:val="20"/>
              </w:rPr>
              <w:t>
   11.19. Вторичные стандартные образцы готовятся, идентифицируются, испытываются, утверждаются и хранятся надлежащим образом. Перед первым использованием определяют пригодность каждой серии вторичного стандартного образца путем сравнения с первичным стандартным образцом. Каждую серию вторичного стандартного образца периодически подвергают повторной квалификации в соответствии с письменным протоколом.</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Испытания промежуточных продуктов и АФС</w:t>
            </w:r>
          </w:p>
          <w:p>
            <w:pPr>
              <w:spacing w:after="20"/>
              <w:ind w:left="20"/>
              <w:jc w:val="both"/>
            </w:pPr>
            <w:r>
              <w:rPr>
                <w:rFonts w:ascii="Times New Roman"/>
                <w:b w:val="false"/>
                <w:i w:val="false"/>
                <w:color w:val="000000"/>
                <w:sz w:val="20"/>
              </w:rPr>
              <w:t>
   11.20. Для каждой серии промежуточной продукции и АФС проводятся необходимые лабораторные испытания с целью подтверждения соответствия спецификациям.</w:t>
            </w:r>
          </w:p>
          <w:p>
            <w:pPr>
              <w:spacing w:after="20"/>
              <w:ind w:left="20"/>
              <w:jc w:val="both"/>
            </w:pPr>
            <w:r>
              <w:rPr>
                <w:rFonts w:ascii="Times New Roman"/>
                <w:b w:val="false"/>
                <w:i w:val="false"/>
                <w:color w:val="000000"/>
                <w:sz w:val="20"/>
              </w:rPr>
              <w:t>
   11.21. Для каждого АФС устанавливается профиль примесей, описывающий идентифицированные и не идентифицированные примеси, присутствующие в типичной серии, полученной в результате определенного контролируемого технологического процесса. Профиль примесей включает идентификацию или какую-либо качественную аналитическую характеристику, пределы содержания каждой обнаруживаемой примеси и классификацию каждой идентифицированной примеси. Профиль примесей зависит от особенностей технологического процесса и происхождения АФС. Нет необходимости определять профиль примесей для АФС растительного или животного происхождения. Вопросы, связанные с биотехнологией, регулируются соответствующими нормативными правовыми актами.</w:t>
            </w:r>
          </w:p>
          <w:p>
            <w:pPr>
              <w:spacing w:after="20"/>
              <w:ind w:left="20"/>
              <w:jc w:val="both"/>
            </w:pPr>
            <w:r>
              <w:rPr>
                <w:rFonts w:ascii="Times New Roman"/>
                <w:b w:val="false"/>
                <w:i w:val="false"/>
                <w:color w:val="000000"/>
                <w:sz w:val="20"/>
              </w:rPr>
              <w:t>
   11.22. Профиль примесей через определенные промежутки времени сравнивают с профилем примесей, приведенным в регистрационных документах, или с ранее полученными данными, чтобы обнаружить изменения в АФС, являющиеся результатом изменений сырья, параметров работы оборудования или технологического процесса.</w:t>
            </w:r>
          </w:p>
          <w:p>
            <w:pPr>
              <w:spacing w:after="20"/>
              <w:ind w:left="20"/>
              <w:jc w:val="both"/>
            </w:pPr>
            <w:r>
              <w:rPr>
                <w:rFonts w:ascii="Times New Roman"/>
                <w:b w:val="false"/>
                <w:i w:val="false"/>
                <w:color w:val="000000"/>
                <w:sz w:val="20"/>
              </w:rPr>
              <w:t>
   11.23. Проводятся соответствующие микробиологические испытания для каждой серии промежуточной продукции и АФС, если их микробиологическая чистота нормируется.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Валидация аналитических методик</w:t>
            </w:r>
            <w:r>
              <w:rPr>
                <w:rFonts w:ascii="Times New Roman"/>
                <w:b w:val="false"/>
                <w:i w:val="false"/>
                <w:color w:val="000000"/>
                <w:sz w:val="20"/>
              </w:rPr>
              <w:t xml:space="preserve"> указана в разделе 12 части II настоящего Стандарта.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Сертификаты анализа</w:t>
            </w:r>
          </w:p>
          <w:p>
            <w:pPr>
              <w:spacing w:after="20"/>
              <w:ind w:left="20"/>
              <w:jc w:val="both"/>
            </w:pPr>
            <w:r>
              <w:rPr>
                <w:rFonts w:ascii="Times New Roman"/>
                <w:b w:val="false"/>
                <w:i w:val="false"/>
                <w:color w:val="000000"/>
                <w:sz w:val="20"/>
              </w:rPr>
              <w:t>
   11.40. Для каждой серии промежуточной продукции или АФС выдается оригинал сертификата анализа при его запросе.</w:t>
            </w:r>
          </w:p>
          <w:p>
            <w:pPr>
              <w:spacing w:after="20"/>
              <w:ind w:left="20"/>
              <w:jc w:val="both"/>
            </w:pPr>
            <w:r>
              <w:rPr>
                <w:rFonts w:ascii="Times New Roman"/>
                <w:b w:val="false"/>
                <w:i w:val="false"/>
                <w:color w:val="000000"/>
                <w:sz w:val="20"/>
              </w:rPr>
              <w:t xml:space="preserve">
   11.41. Сертификат анализа содержит информацию о названии промежуточной продукции или АФС, включая при необходимости сорт, номер серии и дату выпуска. Если для промежуточной продукции или АФС установлена дата истечения срока годности, эту дату следует указывать на этикетке и в сертификате анализа. Если для промежуточной продукции или АФС установлена дата повторного испытания, то эту дату указывают на этикетке и (или) в сертификате анализа. </w:t>
            </w:r>
          </w:p>
          <w:p>
            <w:pPr>
              <w:spacing w:after="20"/>
              <w:ind w:left="20"/>
              <w:jc w:val="both"/>
            </w:pPr>
            <w:r>
              <w:rPr>
                <w:rFonts w:ascii="Times New Roman"/>
                <w:b w:val="false"/>
                <w:i w:val="false"/>
                <w:color w:val="000000"/>
                <w:sz w:val="20"/>
              </w:rPr>
              <w:t>
   11.42. В сертификате приводится перечень всех испытаний, проведенных в соответствии с фармакопейными требованиями или требованиями потребителя, включая допустимые пределы, а также полученные числовые результаты, если результаты испытаний таковыми являются.</w:t>
            </w:r>
          </w:p>
          <w:p>
            <w:pPr>
              <w:spacing w:after="20"/>
              <w:ind w:left="20"/>
              <w:jc w:val="both"/>
            </w:pPr>
            <w:r>
              <w:rPr>
                <w:rFonts w:ascii="Times New Roman"/>
                <w:b w:val="false"/>
                <w:i w:val="false"/>
                <w:color w:val="000000"/>
                <w:sz w:val="20"/>
              </w:rPr>
              <w:t>
   11.43. Сертификат датируется и подписывается правомочным персоналом отдела (отделов) качества; содержит наименование, адрес и номер телефона первоначального производителя. Если анализ был проведен предприятием по переупаковке или повторной обработке, в сертификате анализа указывается его наименование, адрес, номер телефона и дается ссылка на наименование первоначального производителя.</w:t>
            </w:r>
          </w:p>
          <w:p>
            <w:pPr>
              <w:spacing w:after="20"/>
              <w:ind w:left="20"/>
              <w:jc w:val="both"/>
            </w:pPr>
            <w:r>
              <w:rPr>
                <w:rFonts w:ascii="Times New Roman"/>
                <w:b w:val="false"/>
                <w:i w:val="false"/>
                <w:color w:val="000000"/>
                <w:sz w:val="20"/>
              </w:rPr>
              <w:t>
   11.44. Если предприятием по переупаковке или повторной обработке, поставщиками или лицами, действующими от их имени, выдаются новые сертификаты, то в них указывается название, адрес и номер телефона лаборатории, проводившей анализы. Такие сертификаты также содержат ссылку на наименование и адрес первоначального производителя и на первоначальный сертификат серии, копия которого прилагается.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Контроль стабильности АФС</w:t>
            </w:r>
          </w:p>
          <w:p>
            <w:pPr>
              <w:spacing w:after="20"/>
              <w:ind w:left="20"/>
              <w:jc w:val="both"/>
            </w:pPr>
            <w:r>
              <w:rPr>
                <w:rFonts w:ascii="Times New Roman"/>
                <w:b w:val="false"/>
                <w:i w:val="false"/>
                <w:color w:val="000000"/>
                <w:sz w:val="20"/>
              </w:rPr>
              <w:t>
   11.50. Разрабатывается документально оформленная программа продолжающихся испытаний, предназначенная для контроля стабильности характеристик АФС; полученные результаты используют для подтверждения надлежащих условий хранения и дат проведения повторных испытаний или истечения срока годности.</w:t>
            </w:r>
          </w:p>
          <w:p>
            <w:pPr>
              <w:spacing w:after="20"/>
              <w:ind w:left="20"/>
              <w:jc w:val="both"/>
            </w:pPr>
            <w:r>
              <w:rPr>
                <w:rFonts w:ascii="Times New Roman"/>
                <w:b w:val="false"/>
                <w:i w:val="false"/>
                <w:color w:val="000000"/>
                <w:sz w:val="20"/>
              </w:rPr>
              <w:t>
   11.51. Методики испытаний, используемые при исследовании стабильности, проходят валидацию и позволяют получать необходимые данные о стабильности.</w:t>
            </w:r>
          </w:p>
          <w:p>
            <w:pPr>
              <w:spacing w:after="20"/>
              <w:ind w:left="20"/>
              <w:jc w:val="both"/>
            </w:pPr>
            <w:r>
              <w:rPr>
                <w:rFonts w:ascii="Times New Roman"/>
                <w:b w:val="false"/>
                <w:i w:val="false"/>
                <w:color w:val="000000"/>
                <w:sz w:val="20"/>
              </w:rPr>
              <w:t xml:space="preserve">
   11.52. Образцы для испытания на стабильность хранят в контейнерах, упаковках, моделирующих коммерческий контейнер. </w:t>
            </w:r>
          </w:p>
          <w:p>
            <w:pPr>
              <w:spacing w:after="20"/>
              <w:ind w:left="20"/>
              <w:jc w:val="both"/>
            </w:pPr>
            <w:r>
              <w:rPr>
                <w:rFonts w:ascii="Times New Roman"/>
                <w:b w:val="false"/>
                <w:i w:val="false"/>
                <w:color w:val="000000"/>
                <w:sz w:val="20"/>
              </w:rPr>
              <w:t>
   11.53. В программу мониторинга стабильности для подтверждения дат проведения повторных испытаний или истечения срока годности включаются первые три реализуемые производственные серии. Однако если данные предварительного исследования свидетельствуют, что АФС может сохранять стабильность, по крайней мере, в течение двух лет - используют менее трех серий.</w:t>
            </w:r>
          </w:p>
          <w:p>
            <w:pPr>
              <w:spacing w:after="20"/>
              <w:ind w:left="20"/>
              <w:jc w:val="both"/>
            </w:pPr>
            <w:r>
              <w:rPr>
                <w:rFonts w:ascii="Times New Roman"/>
                <w:b w:val="false"/>
                <w:i w:val="false"/>
                <w:color w:val="000000"/>
                <w:sz w:val="20"/>
              </w:rPr>
              <w:t>
   11.54. После этого в программу продолжающихся испытаний стабильности включают, как минимум, одну произведенную серию АФС в год, за исключением тех случаев, когда производственные серии в данном году не выпускались и, по крайней мере, ежегодно проводят ее испытания для подтверждения стабильности.</w:t>
            </w:r>
          </w:p>
          <w:p>
            <w:pPr>
              <w:spacing w:after="20"/>
              <w:ind w:left="20"/>
              <w:jc w:val="both"/>
            </w:pPr>
            <w:r>
              <w:rPr>
                <w:rFonts w:ascii="Times New Roman"/>
                <w:b w:val="false"/>
                <w:i w:val="false"/>
                <w:color w:val="000000"/>
                <w:sz w:val="20"/>
              </w:rPr>
              <w:t>
   11.55. Для АФС с короткими сроками хранения испытания проводят чаще. Если имеются данные, подтверждающие, что стабильность АФС сохраняется, то  рассматривается вопрос об удлинении периодов между испытаниями.</w:t>
            </w:r>
          </w:p>
          <w:p>
            <w:pPr>
              <w:spacing w:after="20"/>
              <w:ind w:left="20"/>
              <w:jc w:val="both"/>
            </w:pPr>
            <w:r>
              <w:rPr>
                <w:rFonts w:ascii="Times New Roman"/>
                <w:b w:val="false"/>
                <w:i w:val="false"/>
                <w:color w:val="000000"/>
                <w:sz w:val="20"/>
              </w:rPr>
              <w:t>
   11.56. Необходимо, чтобы условия хранения при испытаниях на стабильность соответствовали нормативным правовым актам в отношении стабильности.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Даты истечения срока годности и проведения повторных испытаний</w:t>
            </w:r>
          </w:p>
          <w:p>
            <w:pPr>
              <w:spacing w:after="20"/>
              <w:ind w:left="20"/>
              <w:jc w:val="both"/>
            </w:pPr>
            <w:r>
              <w:rPr>
                <w:rFonts w:ascii="Times New Roman"/>
                <w:b w:val="false"/>
                <w:i w:val="false"/>
                <w:color w:val="000000"/>
                <w:sz w:val="20"/>
              </w:rPr>
              <w:t>
   11.60. Если промежуточная продукция предназначена для передачи за пределы сферы контроля системы управления материалами производителя и для нее определена дата истечения срока годности или проведения повторных испытаний, то в наличии имеется информация, подтверждающая ее стабильность.</w:t>
            </w:r>
          </w:p>
          <w:p>
            <w:pPr>
              <w:spacing w:after="20"/>
              <w:ind w:left="20"/>
              <w:jc w:val="both"/>
            </w:pPr>
            <w:r>
              <w:rPr>
                <w:rFonts w:ascii="Times New Roman"/>
                <w:b w:val="false"/>
                <w:i w:val="false"/>
                <w:color w:val="000000"/>
                <w:sz w:val="20"/>
              </w:rPr>
              <w:t>
   11.61. Даты истечения срока годности или проведения повторных испытаний АФС основываются на результатах оценки данных, полученных при изучении стабильности. Общепринятой практикой является использование даты проведения повторных испытаний, а не даты истечения срока годности.</w:t>
            </w:r>
          </w:p>
          <w:p>
            <w:pPr>
              <w:spacing w:after="20"/>
              <w:ind w:left="20"/>
              <w:jc w:val="both"/>
            </w:pPr>
            <w:r>
              <w:rPr>
                <w:rFonts w:ascii="Times New Roman"/>
                <w:b w:val="false"/>
                <w:i w:val="false"/>
                <w:color w:val="000000"/>
                <w:sz w:val="20"/>
              </w:rPr>
              <w:t>
   11.62. Предварительные даты истечения срока годности или проведения повторных испытаний АФС основываются на результатах, полученных для опытных серий, если:</w:t>
            </w:r>
          </w:p>
          <w:p>
            <w:pPr>
              <w:spacing w:after="20"/>
              <w:ind w:left="20"/>
              <w:jc w:val="both"/>
            </w:pPr>
            <w:r>
              <w:rPr>
                <w:rFonts w:ascii="Times New Roman"/>
                <w:b w:val="false"/>
                <w:i w:val="false"/>
                <w:color w:val="000000"/>
                <w:sz w:val="20"/>
              </w:rPr>
              <w:t>
   1) для опытных серий используются способ производства и процедуры, моделирующие окончательный процесс промышленного производства;</w:t>
            </w:r>
          </w:p>
          <w:p>
            <w:pPr>
              <w:spacing w:after="20"/>
              <w:ind w:left="20"/>
              <w:jc w:val="both"/>
            </w:pPr>
            <w:r>
              <w:rPr>
                <w:rFonts w:ascii="Times New Roman"/>
                <w:b w:val="false"/>
                <w:i w:val="false"/>
                <w:color w:val="000000"/>
                <w:sz w:val="20"/>
              </w:rPr>
              <w:t>
   2) качество АФС соответствует качеству вещества, которое будет выпускаться в промышленном масштабе.</w:t>
            </w:r>
          </w:p>
          <w:p>
            <w:pPr>
              <w:spacing w:after="20"/>
              <w:ind w:left="20"/>
              <w:jc w:val="both"/>
            </w:pPr>
            <w:r>
              <w:rPr>
                <w:rFonts w:ascii="Times New Roman"/>
                <w:b w:val="false"/>
                <w:i w:val="false"/>
                <w:color w:val="000000"/>
                <w:sz w:val="20"/>
              </w:rPr>
              <w:t>
   11.63. Для проведения повторных испытаний отбираются репрезентативные образцы.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Архивные образцы</w:t>
            </w:r>
          </w:p>
          <w:p>
            <w:pPr>
              <w:spacing w:after="20"/>
              <w:ind w:left="20"/>
              <w:jc w:val="both"/>
            </w:pPr>
            <w:r>
              <w:rPr>
                <w:rFonts w:ascii="Times New Roman"/>
                <w:b w:val="false"/>
                <w:i w:val="false"/>
                <w:color w:val="000000"/>
                <w:sz w:val="20"/>
              </w:rPr>
              <w:t xml:space="preserve">
   11.70. Архивные образцы упаковывают и хранят с целью возможной оценки качества серий АФС в будущем, но не для проведения испытаний на стабильность. </w:t>
            </w:r>
          </w:p>
          <w:p>
            <w:pPr>
              <w:spacing w:after="20"/>
              <w:ind w:left="20"/>
              <w:jc w:val="both"/>
            </w:pPr>
            <w:r>
              <w:rPr>
                <w:rFonts w:ascii="Times New Roman"/>
                <w:b w:val="false"/>
                <w:i w:val="false"/>
                <w:color w:val="000000"/>
                <w:sz w:val="20"/>
              </w:rPr>
              <w:t>
   11.71. Архивные образцы каждой серии АФС, надлежащим образом маркированные, хранятся в течение одного года после даты истечения срока годности серии, которая определяется производителем или в течение трех лет после реализации серии в зависимости от того, какой срок является более длительным. Архивные образцы АФС с установленной датой повторных испытаний хранятся в течение трех лет после того, как серия была полностью реализована производителем.</w:t>
            </w:r>
          </w:p>
          <w:p>
            <w:pPr>
              <w:spacing w:after="20"/>
              <w:ind w:left="20"/>
              <w:jc w:val="both"/>
            </w:pPr>
            <w:r>
              <w:rPr>
                <w:rFonts w:ascii="Times New Roman"/>
                <w:b w:val="false"/>
                <w:i w:val="false"/>
                <w:color w:val="000000"/>
                <w:sz w:val="20"/>
              </w:rPr>
              <w:t>
   11.72. При хранении архивного образца используется такая же система упаковки, в которой хранится АФС, или такая, которая эквивалентна системе упаковки, предназначенной для продажи, или обеспечивает лучшую защиту. Хранению подлежат количества, достаточные для проведения, как минимум, двух полных анализов в соответствии с фармакопейными требованиями или при отсутствии фармакопейной статьи – двух полных анализов в соответствии со спецификацией.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Валидация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Политика валидации</w:t>
            </w:r>
          </w:p>
          <w:p>
            <w:pPr>
              <w:spacing w:after="20"/>
              <w:ind w:left="20"/>
              <w:jc w:val="both"/>
            </w:pPr>
            <w:r>
              <w:rPr>
                <w:rFonts w:ascii="Times New Roman"/>
                <w:b w:val="false"/>
                <w:i w:val="false"/>
                <w:color w:val="000000"/>
                <w:sz w:val="20"/>
              </w:rPr>
              <w:t>
   12.10. Общая политика производителя в отношении намерений и подхода к валидации, включая валидацию технологических процессов, процедур очистки, аналитических методик, процедур контроля в процессе производства, компьютеризированных систем, и в отношении лиц, ответственных за разработку, проверку, утверждение и документальное оформление каждого этапа валидации оформляется документально.</w:t>
            </w:r>
          </w:p>
          <w:p>
            <w:pPr>
              <w:spacing w:after="20"/>
              <w:ind w:left="20"/>
              <w:jc w:val="both"/>
            </w:pPr>
            <w:r>
              <w:rPr>
                <w:rFonts w:ascii="Times New Roman"/>
                <w:b w:val="false"/>
                <w:i w:val="false"/>
                <w:color w:val="000000"/>
                <w:sz w:val="20"/>
              </w:rPr>
              <w:t>
   12.11. Критические параметры или показатели качества определяют на стадии разработки или на основании данных предварительного опыта работы, также определяют диапазоны значений этих критических параметров или показателей качества, необходимые для обеспечения воспроизводимости процесса. При этом необходимо:</w:t>
            </w:r>
          </w:p>
          <w:p>
            <w:pPr>
              <w:spacing w:after="20"/>
              <w:ind w:left="20"/>
              <w:jc w:val="both"/>
            </w:pPr>
            <w:r>
              <w:rPr>
                <w:rFonts w:ascii="Times New Roman"/>
                <w:b w:val="false"/>
                <w:i w:val="false"/>
                <w:color w:val="000000"/>
                <w:sz w:val="20"/>
              </w:rPr>
              <w:t xml:space="preserve">
   определить критические показатели качества АФС как продукции; </w:t>
            </w:r>
          </w:p>
          <w:p>
            <w:pPr>
              <w:spacing w:after="20"/>
              <w:ind w:left="20"/>
              <w:jc w:val="both"/>
            </w:pPr>
            <w:r>
              <w:rPr>
                <w:rFonts w:ascii="Times New Roman"/>
                <w:b w:val="false"/>
                <w:i w:val="false"/>
                <w:color w:val="000000"/>
                <w:sz w:val="20"/>
              </w:rPr>
              <w:t>
   указать параметры процесса, которые влияют на критические показатели качества АФС;</w:t>
            </w:r>
          </w:p>
          <w:p>
            <w:pPr>
              <w:spacing w:after="20"/>
              <w:ind w:left="20"/>
              <w:jc w:val="both"/>
            </w:pPr>
            <w:r>
              <w:rPr>
                <w:rFonts w:ascii="Times New Roman"/>
                <w:b w:val="false"/>
                <w:i w:val="false"/>
                <w:color w:val="000000"/>
                <w:sz w:val="20"/>
              </w:rPr>
              <w:t>
   установить диапазон значений каждого критического параметра процесса, который предполагается использовать при серийном производстве и контроле процесса.</w:t>
            </w:r>
          </w:p>
          <w:p>
            <w:pPr>
              <w:spacing w:after="20"/>
              <w:ind w:left="20"/>
              <w:jc w:val="both"/>
            </w:pPr>
            <w:r>
              <w:rPr>
                <w:rFonts w:ascii="Times New Roman"/>
                <w:b w:val="false"/>
                <w:i w:val="false"/>
                <w:color w:val="000000"/>
                <w:sz w:val="20"/>
              </w:rPr>
              <w:t>
   12.12. Операции, которые считаются критическими для качества и чистоты АФС, подлежат валидации.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Документация по валидации</w:t>
            </w:r>
          </w:p>
          <w:p>
            <w:pPr>
              <w:spacing w:after="20"/>
              <w:ind w:left="20"/>
              <w:jc w:val="both"/>
            </w:pPr>
            <w:r>
              <w:rPr>
                <w:rFonts w:ascii="Times New Roman"/>
                <w:b w:val="false"/>
                <w:i w:val="false"/>
                <w:color w:val="000000"/>
                <w:sz w:val="20"/>
              </w:rPr>
              <w:t>
   12.20. Для каждого процесса, подлежащего валидации, следует разработать протокол валидации. Этот протокол проверяется и утверждается отделом (отделами) качества и другими соответствующими службами.</w:t>
            </w:r>
          </w:p>
          <w:p>
            <w:pPr>
              <w:spacing w:after="20"/>
              <w:ind w:left="20"/>
              <w:jc w:val="both"/>
            </w:pPr>
            <w:r>
              <w:rPr>
                <w:rFonts w:ascii="Times New Roman"/>
                <w:b w:val="false"/>
                <w:i w:val="false"/>
                <w:color w:val="000000"/>
                <w:sz w:val="20"/>
              </w:rPr>
              <w:t>
   12.21. В протоколе валидации определяются критические стадии процесса и критерии приемлемости, а также вид проводимой валидации: ретроспективная, перспективная, сопутствующая и количество производственных циклов.</w:t>
            </w:r>
          </w:p>
          <w:p>
            <w:pPr>
              <w:spacing w:after="20"/>
              <w:ind w:left="20"/>
              <w:jc w:val="both"/>
            </w:pPr>
            <w:r>
              <w:rPr>
                <w:rFonts w:ascii="Times New Roman"/>
                <w:b w:val="false"/>
                <w:i w:val="false"/>
                <w:color w:val="000000"/>
                <w:sz w:val="20"/>
              </w:rPr>
              <w:t>
   12.22. Отчет о валидации содержит перекрестные ссылки на протокол валидации и обобщает полученные результаты, объясняет любые обнаруженные отклонения с соответствующими выводами, включающими рекомендуемые изменения для исправления недостатков.</w:t>
            </w:r>
          </w:p>
          <w:p>
            <w:pPr>
              <w:spacing w:after="20"/>
              <w:ind w:left="20"/>
              <w:jc w:val="both"/>
            </w:pPr>
            <w:r>
              <w:rPr>
                <w:rFonts w:ascii="Times New Roman"/>
                <w:b w:val="false"/>
                <w:i w:val="false"/>
                <w:color w:val="000000"/>
                <w:sz w:val="20"/>
              </w:rPr>
              <w:t>
   12.23. Любые отклонения от протокола валидации оформляются документально с соответствующим обоснованием.</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Квалификация</w:t>
            </w:r>
          </w:p>
          <w:p>
            <w:pPr>
              <w:spacing w:after="20"/>
              <w:ind w:left="20"/>
              <w:jc w:val="both"/>
            </w:pPr>
            <w:r>
              <w:rPr>
                <w:rFonts w:ascii="Times New Roman"/>
                <w:b w:val="false"/>
                <w:i w:val="false"/>
                <w:color w:val="000000"/>
                <w:sz w:val="20"/>
              </w:rPr>
              <w:t>
   12.30. До начала работ по валидации процесса следует завершить надлежащую квалификацию критического оборудования и вспомогательных систем. Квалификацию обычно проводят по следующим этапам по отдельности или в совокупности:</w:t>
            </w:r>
          </w:p>
          <w:p>
            <w:pPr>
              <w:spacing w:after="20"/>
              <w:ind w:left="20"/>
              <w:jc w:val="both"/>
            </w:pPr>
            <w:r>
              <w:rPr>
                <w:rFonts w:ascii="Times New Roman"/>
                <w:b w:val="false"/>
                <w:i w:val="false"/>
                <w:color w:val="000000"/>
                <w:sz w:val="20"/>
              </w:rPr>
              <w:t>
   квалификация проекта - документально оформленное подтверждение того, что предложенный проект производственных помещений, оборудования или систем является пригодным для применения по назначению;</w:t>
            </w:r>
          </w:p>
          <w:p>
            <w:pPr>
              <w:spacing w:after="20"/>
              <w:ind w:left="20"/>
              <w:jc w:val="both"/>
            </w:pPr>
            <w:r>
              <w:rPr>
                <w:rFonts w:ascii="Times New Roman"/>
                <w:b w:val="false"/>
                <w:i w:val="false"/>
                <w:color w:val="000000"/>
                <w:sz w:val="20"/>
              </w:rPr>
              <w:t>
   квалификация монтажа - документально оформленное подтверждение того, что монтаж помещений, систем и оборудования, установленных или модифицированных, выполнен в соответствии с утвержденным проектом, рекомендациями производителя и (или) требованиями пользователя;</w:t>
            </w:r>
          </w:p>
          <w:p>
            <w:pPr>
              <w:spacing w:after="20"/>
              <w:ind w:left="20"/>
              <w:jc w:val="both"/>
            </w:pPr>
            <w:r>
              <w:rPr>
                <w:rFonts w:ascii="Times New Roman"/>
                <w:b w:val="false"/>
                <w:i w:val="false"/>
                <w:color w:val="000000"/>
                <w:sz w:val="20"/>
              </w:rPr>
              <w:t>
   квалификация функционирования - документально оформленное подтверждение того, что помещения, системы и оборудование, установленные или модифицированные, функционируют в соответствии с предъявляемыми требованиями во всех предусмотренных режимах работы;</w:t>
            </w:r>
          </w:p>
          <w:p>
            <w:pPr>
              <w:spacing w:after="20"/>
              <w:ind w:left="20"/>
              <w:jc w:val="both"/>
            </w:pPr>
            <w:r>
              <w:rPr>
                <w:rFonts w:ascii="Times New Roman"/>
                <w:b w:val="false"/>
                <w:i w:val="false"/>
                <w:color w:val="000000"/>
                <w:sz w:val="20"/>
              </w:rPr>
              <w:t>
   квалификация эксплуатации - документально оформленное подтверждение того, что помещения, системы и оборудование при совместном использовании работают эффективно и с воспроизводимыми показателями в соответствии с утвержденными требованиями и характеристиками процесса.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Подходы к валидации процесса</w:t>
            </w:r>
          </w:p>
          <w:p>
            <w:pPr>
              <w:spacing w:after="20"/>
              <w:ind w:left="20"/>
              <w:jc w:val="both"/>
            </w:pPr>
            <w:r>
              <w:rPr>
                <w:rFonts w:ascii="Times New Roman"/>
                <w:b w:val="false"/>
                <w:i w:val="false"/>
                <w:color w:val="000000"/>
                <w:sz w:val="20"/>
              </w:rPr>
              <w:t>
   12.40. Валидация процесса – это документально оформленное доказательство того, что процесс, функционирующий в пределах установленных параметров, обеспечивает эффективное и с воспроизводимыми результатами производство промежуточной продукции или АФС, соответствующих предварительно заданным спецификациям и показателям качества.</w:t>
            </w:r>
          </w:p>
          <w:p>
            <w:pPr>
              <w:spacing w:after="20"/>
              <w:ind w:left="20"/>
              <w:jc w:val="both"/>
            </w:pPr>
            <w:r>
              <w:rPr>
                <w:rFonts w:ascii="Times New Roman"/>
                <w:b w:val="false"/>
                <w:i w:val="false"/>
                <w:color w:val="000000"/>
                <w:sz w:val="20"/>
              </w:rPr>
              <w:t>
   12.41. Существует три подхода к валидации. Перспективная валидация является предпочтительным подходом, но имеются исключения, позволяющие использовать другие подходы. Эти подходы и их применимость описаны ниже.</w:t>
            </w:r>
          </w:p>
          <w:p>
            <w:pPr>
              <w:spacing w:after="20"/>
              <w:ind w:left="20"/>
              <w:jc w:val="both"/>
            </w:pPr>
            <w:r>
              <w:rPr>
                <w:rFonts w:ascii="Times New Roman"/>
                <w:b w:val="false"/>
                <w:i w:val="false"/>
                <w:color w:val="000000"/>
                <w:sz w:val="20"/>
              </w:rPr>
              <w:t>
   12.42. Перспективную валидацию обычно выполняют для всех процессов, связанных с производством АФС, как указано в пункте 12.12 части II настоящего Стандарта. Перспективная валидация, проводимая для процесса, связанного с производством АФС, завершается до начала реализации готового лекарственного препарата, произведенного из этой АФС.</w:t>
            </w:r>
          </w:p>
          <w:p>
            <w:pPr>
              <w:spacing w:after="20"/>
              <w:ind w:left="20"/>
              <w:jc w:val="both"/>
            </w:pPr>
            <w:r>
              <w:rPr>
                <w:rFonts w:ascii="Times New Roman"/>
                <w:b w:val="false"/>
                <w:i w:val="false"/>
                <w:color w:val="000000"/>
                <w:sz w:val="20"/>
              </w:rPr>
              <w:t>
   12.43. Сопутствующая валидация проводится при отсутствии данных для повторяющихся технологических циклов, если выпущено ограниченное число серий АФС, если серии АФС выпускались редко или были произведены посредством валидированного процесса, который был модифицирован. До завершения сопутствующей валидации серии АФС выпускаются и используются для производства лекарственного препарата, предназначенного для реализации, при условии полного контроля и мониторинга серий АФС.</w:t>
            </w:r>
          </w:p>
          <w:p>
            <w:pPr>
              <w:spacing w:after="20"/>
              <w:ind w:left="20"/>
              <w:jc w:val="both"/>
            </w:pPr>
            <w:r>
              <w:rPr>
                <w:rFonts w:ascii="Times New Roman"/>
                <w:b w:val="false"/>
                <w:i w:val="false"/>
                <w:color w:val="000000"/>
                <w:sz w:val="20"/>
              </w:rPr>
              <w:t>
   12.44. Ретроспективная валидация проводится как исключение для хорошо организованных процессов, в которые не было внесено значительных изменений для получения АФС требуемого качества вследствие изменений исходного сырья, оборудования, систем, технических средств или технологического процесса. Такой подход к валидации используется, если:</w:t>
            </w:r>
          </w:p>
          <w:p>
            <w:pPr>
              <w:spacing w:after="20"/>
              <w:ind w:left="20"/>
              <w:jc w:val="both"/>
            </w:pPr>
            <w:r>
              <w:rPr>
                <w:rFonts w:ascii="Times New Roman"/>
                <w:b w:val="false"/>
                <w:i w:val="false"/>
                <w:color w:val="000000"/>
                <w:sz w:val="20"/>
              </w:rPr>
              <w:t>
   1) определены критические показатели качества и критические параметры процесса;</w:t>
            </w:r>
          </w:p>
          <w:p>
            <w:pPr>
              <w:spacing w:after="20"/>
              <w:ind w:left="20"/>
              <w:jc w:val="both"/>
            </w:pPr>
            <w:r>
              <w:rPr>
                <w:rFonts w:ascii="Times New Roman"/>
                <w:b w:val="false"/>
                <w:i w:val="false"/>
                <w:color w:val="000000"/>
                <w:sz w:val="20"/>
              </w:rPr>
              <w:t xml:space="preserve">
   2) установлены надлежащие критерии приемлемости и контроля в процессе производства; </w:t>
            </w:r>
          </w:p>
          <w:p>
            <w:pPr>
              <w:spacing w:after="20"/>
              <w:ind w:left="20"/>
              <w:jc w:val="both"/>
            </w:pPr>
            <w:r>
              <w:rPr>
                <w:rFonts w:ascii="Times New Roman"/>
                <w:b w:val="false"/>
                <w:i w:val="false"/>
                <w:color w:val="000000"/>
                <w:sz w:val="20"/>
              </w:rPr>
              <w:t>
   3) отсутствовали существенные сбои в ходе процесса или дефекты продукции по причинам, не связанным с ошибками оператора или отказами оборудования;</w:t>
            </w:r>
          </w:p>
          <w:p>
            <w:pPr>
              <w:spacing w:after="20"/>
              <w:ind w:left="20"/>
              <w:jc w:val="both"/>
            </w:pPr>
            <w:r>
              <w:rPr>
                <w:rFonts w:ascii="Times New Roman"/>
                <w:b w:val="false"/>
                <w:i w:val="false"/>
                <w:color w:val="000000"/>
                <w:sz w:val="20"/>
              </w:rPr>
              <w:t>
   4) были установлены профили примесей для данной АФС.</w:t>
            </w:r>
          </w:p>
          <w:p>
            <w:pPr>
              <w:spacing w:after="20"/>
              <w:ind w:left="20"/>
              <w:jc w:val="both"/>
            </w:pPr>
            <w:r>
              <w:rPr>
                <w:rFonts w:ascii="Times New Roman"/>
                <w:b w:val="false"/>
                <w:i w:val="false"/>
                <w:color w:val="000000"/>
                <w:sz w:val="20"/>
              </w:rPr>
              <w:t>
   12.45. Серии, отобранные для ретроспективной валидации, представляют собой репрезентативную выборку из всех серий, произведенных за проверяемый период, в том числе любых серий, не соответствующих спецификациям. При этом количество таких серий достаточно для доказательства постоянства процесса. В целях получения данных для ретроспективной валидации процесса проводится испытание архивных образцов.</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Программа валидации процесса</w:t>
            </w:r>
          </w:p>
          <w:p>
            <w:pPr>
              <w:spacing w:after="20"/>
              <w:ind w:left="20"/>
              <w:jc w:val="both"/>
            </w:pPr>
            <w:r>
              <w:rPr>
                <w:rFonts w:ascii="Times New Roman"/>
                <w:b w:val="false"/>
                <w:i w:val="false"/>
                <w:color w:val="000000"/>
                <w:sz w:val="20"/>
              </w:rPr>
              <w:t>
   12.50. Количество производственных циклов, необходимых для валидации, зависит от сложности процесса или от значимости изменений процесса, подлежащих рассмотрению. Для перспективной и сопутствующей валидации используются данные, полученные для трех последовательных производственных серий продукции надлежащего качества. Однако могут быть ситуации, когда для доказательства постоянства процесса необходимы дополнительные производственные циклы. Для оценки постоянства процесса при ретроспективной валидации, исследуются данные для 10-30 последовательных серий, но при соответствующем обосновании это число может быть уменьшено.</w:t>
            </w:r>
          </w:p>
          <w:p>
            <w:pPr>
              <w:spacing w:after="20"/>
              <w:ind w:left="20"/>
              <w:jc w:val="both"/>
            </w:pPr>
            <w:r>
              <w:rPr>
                <w:rFonts w:ascii="Times New Roman"/>
                <w:b w:val="false"/>
                <w:i w:val="false"/>
                <w:color w:val="000000"/>
                <w:sz w:val="20"/>
              </w:rPr>
              <w:t>
   12.51. Во время проведения исследований по валидации процесса контролируют и проверяют его критические параметры. Параметры процесса, не связанные с качеством, например, переменные, контролируемые в целях сокращения потребления энергии или использования оборудования, допускается не включать в валидацию процесса.</w:t>
            </w:r>
          </w:p>
          <w:p>
            <w:pPr>
              <w:spacing w:after="20"/>
              <w:ind w:left="20"/>
              <w:jc w:val="both"/>
            </w:pPr>
            <w:r>
              <w:rPr>
                <w:rFonts w:ascii="Times New Roman"/>
                <w:b w:val="false"/>
                <w:i w:val="false"/>
                <w:color w:val="000000"/>
                <w:sz w:val="20"/>
              </w:rPr>
              <w:t>
   12.52. Валидация процесса подтверждает, что профиль примесей для каждого АФС находится в заданных пределах. Профиль примесей сходен либо лучше в сравнении с ранее полученным профилем, а также в соответствующих случаях с профилем примесей, установленным при разработке процесса, или серий, использованных для основных клинических и токсикологических исследований.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Периодическая проверка валидированных систем</w:t>
            </w:r>
          </w:p>
          <w:p>
            <w:pPr>
              <w:spacing w:after="20"/>
              <w:ind w:left="20"/>
              <w:jc w:val="both"/>
            </w:pPr>
            <w:r>
              <w:rPr>
                <w:rFonts w:ascii="Times New Roman"/>
                <w:b w:val="false"/>
                <w:i w:val="false"/>
                <w:color w:val="000000"/>
                <w:sz w:val="20"/>
              </w:rPr>
              <w:t>
   12.60. Системы и процессы подвергают периодической оценке для подтверждения того, что они по-прежнему функционируют правильным образом. Если в процесс или систему не было внесено существенных изменений и обзор качества подтвердил, что система или процесс постоянно обеспечивают производство материала, соответствующего спецификациям, то отсутствует необходимость в проведении повторной валидации.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Валидация очистки</w:t>
            </w:r>
          </w:p>
          <w:p>
            <w:pPr>
              <w:spacing w:after="20"/>
              <w:ind w:left="20"/>
              <w:jc w:val="both"/>
            </w:pPr>
            <w:r>
              <w:rPr>
                <w:rFonts w:ascii="Times New Roman"/>
                <w:b w:val="false"/>
                <w:i w:val="false"/>
                <w:color w:val="000000"/>
                <w:sz w:val="20"/>
              </w:rPr>
              <w:t>
   12.70. Процедуры очистки проходят валидацию. Обычно валидацию очистки проводят в случаях, при которых контаминация или перенос веществ представляют наибольшую опасность для качества АФС. Например, на начальных стадиях технологического процесса может не требоваться проведение валидации процедур очистки оборудования, если остаточные вещества удаляют на последующих стадиях очистки.</w:t>
            </w:r>
          </w:p>
          <w:p>
            <w:pPr>
              <w:spacing w:after="20"/>
              <w:ind w:left="20"/>
              <w:jc w:val="both"/>
            </w:pPr>
            <w:r>
              <w:rPr>
                <w:rFonts w:ascii="Times New Roman"/>
                <w:b w:val="false"/>
                <w:i w:val="false"/>
                <w:color w:val="000000"/>
                <w:sz w:val="20"/>
              </w:rPr>
              <w:t>
   12.71. Валидация процедур очистки отражает фактический характер использования оборудования. Если разные АФС или различную промежуточную продукцию производят на одном и том же оборудовании и это оборудование очищают одним и тем же способом, то для валидации очистки выбирается репрезентативная промежуточная продукция или АФС. Такой выбор основывается на данных о растворимости и трудностях очистки, а также на расчете предельного содержания остатков, принимая во внимание их активность, токсичность и стабильность.</w:t>
            </w:r>
          </w:p>
          <w:p>
            <w:pPr>
              <w:spacing w:after="20"/>
              <w:ind w:left="20"/>
              <w:jc w:val="both"/>
            </w:pPr>
            <w:r>
              <w:rPr>
                <w:rFonts w:ascii="Times New Roman"/>
                <w:b w:val="false"/>
                <w:i w:val="false"/>
                <w:color w:val="000000"/>
                <w:sz w:val="20"/>
              </w:rPr>
              <w:t>
   12.72. В протоколе валидации очистки описывается оборудование, подлежащее очистке, процедуры, материалы, приемлемые уровни очистки, контролируемые и регулируемые параметры и аналитические методики. В протоколе также указываются виды отбираемых проб, способы их отбора и маркировки.</w:t>
            </w:r>
          </w:p>
          <w:p>
            <w:pPr>
              <w:spacing w:after="20"/>
              <w:ind w:left="20"/>
              <w:jc w:val="both"/>
            </w:pPr>
            <w:r>
              <w:rPr>
                <w:rFonts w:ascii="Times New Roman"/>
                <w:b w:val="false"/>
                <w:i w:val="false"/>
                <w:color w:val="000000"/>
                <w:sz w:val="20"/>
              </w:rPr>
              <w:t>
   12.73. Для обнаружения как нерастворимых, так и растворимых остатков методы отбора проб включают, исходя из ситуации, забор мазков, смывов или другие методы, например, прямую экстракцию. Используемые методы отбора проб позволяют количественно определять уровни остатков на поверхностях оборудования после очистки. Метод отбора проб посредством забора мазков может оказаться практически неосуществимым, если контактирующие с продуктом поверхности являются труднодоступными вследствие конструктивных особенностей оборудования, например, внутренние поверхности шлангов, транспортных трубопроводов, емкости реакторов с узкими люками, а также небольшое по размеру сложное оборудование и (или) если существуют ограничения процесса, например, обработка токсичных веществ.</w:t>
            </w:r>
          </w:p>
          <w:p>
            <w:pPr>
              <w:spacing w:after="20"/>
              <w:ind w:left="20"/>
              <w:jc w:val="both"/>
            </w:pPr>
            <w:r>
              <w:rPr>
                <w:rFonts w:ascii="Times New Roman"/>
                <w:b w:val="false"/>
                <w:i w:val="false"/>
                <w:color w:val="000000"/>
                <w:sz w:val="20"/>
              </w:rPr>
              <w:t>
   12.74. Используются валидированные аналитические методики, обладающие достаточной чувствительностью для обнаружения остатков или контаминантов. Предел обнаружения каждой аналитической методики является достаточным для обнаружения определенного приемлемого уровня остатка или контаминанта. Для методики устанавливают достигаемый уровень извлечения вещества. Пределы содержания остатков практичные, достижимые, проверяемые и основываются на содержании наиболее вредного остатка. Пределы устанавливают, основываясь на минимальном обладающем известной фармакологической, токсикологической или физиологической активностью количестве АФС или ее наиболее вредного компонента.</w:t>
            </w:r>
          </w:p>
          <w:p>
            <w:pPr>
              <w:spacing w:after="20"/>
              <w:ind w:left="20"/>
              <w:jc w:val="both"/>
            </w:pPr>
            <w:r>
              <w:rPr>
                <w:rFonts w:ascii="Times New Roman"/>
                <w:b w:val="false"/>
                <w:i w:val="false"/>
                <w:color w:val="000000"/>
                <w:sz w:val="20"/>
              </w:rPr>
              <w:t>
   12.75. Для процессов, в которых существует необходимость снижения общего количества микроорганизмов или эндотоксинов в АФС, или для других процессов, где имеет значение такая контаминация, например, производство нестерильных АФС, используемых для производства стерильных лекарственных препаратов, исследование очистки или санитарной обработки оборудования проводят в отношении контаминации микроорганизмами и эндотоксинами.</w:t>
            </w:r>
          </w:p>
          <w:p>
            <w:pPr>
              <w:spacing w:after="20"/>
              <w:ind w:left="20"/>
              <w:jc w:val="both"/>
            </w:pPr>
            <w:r>
              <w:rPr>
                <w:rFonts w:ascii="Times New Roman"/>
                <w:b w:val="false"/>
                <w:i w:val="false"/>
                <w:color w:val="000000"/>
                <w:sz w:val="20"/>
              </w:rPr>
              <w:t xml:space="preserve">
   12.76. Процедуры очистки контролируют с определенной периодичностью после валидации, чтобы убедиться, что эти процедуры являются эффективными при их использовании во время текущего технологического процесса. Чистоту оборудования, когда это осуществимо, контролируют посредством проведения аналитических испытаний и визуального осмотра. Визуальный осмотр позволяет обнаружить значительные скопления контаминантов на небольших участках, которые могут оказаться не обнаруженными иным способом при отборе проб и (или) анализе.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Валидация аналитических методик</w:t>
            </w:r>
          </w:p>
          <w:p>
            <w:pPr>
              <w:spacing w:after="20"/>
              <w:ind w:left="20"/>
              <w:jc w:val="both"/>
            </w:pPr>
            <w:r>
              <w:rPr>
                <w:rFonts w:ascii="Times New Roman"/>
                <w:b w:val="false"/>
                <w:i w:val="false"/>
                <w:color w:val="000000"/>
                <w:sz w:val="20"/>
              </w:rPr>
              <w:t>
   12.80. Если используемые аналитические методики не включены в соответствующую Фармакопею или в другие признанные стандарты, то они проходят валидацию. Пригодность всех используемых методик испытаний проверяется в реальных условиях применения и оформляется документально.</w:t>
            </w:r>
          </w:p>
          <w:p>
            <w:pPr>
              <w:spacing w:after="20"/>
              <w:ind w:left="20"/>
              <w:jc w:val="both"/>
            </w:pPr>
            <w:r>
              <w:rPr>
                <w:rFonts w:ascii="Times New Roman"/>
                <w:b w:val="false"/>
                <w:i w:val="false"/>
                <w:color w:val="000000"/>
                <w:sz w:val="20"/>
              </w:rPr>
              <w:t>
   12.81. Валидацию методик проводят с учетом обоснования характеристик, приведенных в соответствующих нормативных правовых актах по валидации аналитических методик. Объем проводимой аналитической валидации зависит от цели анализа и стадии технологического процесса производства АФС.</w:t>
            </w:r>
          </w:p>
          <w:p>
            <w:pPr>
              <w:spacing w:after="20"/>
              <w:ind w:left="20"/>
              <w:jc w:val="both"/>
            </w:pPr>
            <w:r>
              <w:rPr>
                <w:rFonts w:ascii="Times New Roman"/>
                <w:b w:val="false"/>
                <w:i w:val="false"/>
                <w:color w:val="000000"/>
                <w:sz w:val="20"/>
              </w:rPr>
              <w:t>
   12.82. До начала валидации аналитических методик проводят соответствующую квалификацию аналитического оборудования.</w:t>
            </w:r>
          </w:p>
          <w:p>
            <w:pPr>
              <w:spacing w:after="20"/>
              <w:ind w:left="20"/>
              <w:jc w:val="both"/>
            </w:pPr>
            <w:r>
              <w:rPr>
                <w:rFonts w:ascii="Times New Roman"/>
                <w:b w:val="false"/>
                <w:i w:val="false"/>
                <w:color w:val="000000"/>
                <w:sz w:val="20"/>
              </w:rPr>
              <w:t>
   12.83. Ведут полные записи любых изменений валидированной аналитической методики. Такие записи отражают причину изменения и соответствующие данные для подтверждения того, что изменение приводит к результатам, которые столь же точны и надежны, как и результаты, полученные с помощью принятой методики.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Контроль изменений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Разрабатывается формализованная система контроля изменений для оценки изменений, которые влияют на производство и контроль промежуточной продукции и АФС.</w:t>
            </w:r>
          </w:p>
          <w:p>
            <w:pPr>
              <w:spacing w:after="20"/>
              <w:ind w:left="20"/>
              <w:jc w:val="both"/>
            </w:pPr>
            <w:r>
              <w:rPr>
                <w:rFonts w:ascii="Times New Roman"/>
                <w:b w:val="false"/>
                <w:i w:val="false"/>
                <w:color w:val="000000"/>
                <w:sz w:val="20"/>
              </w:rPr>
              <w:t>
   13.11. Предусматриваются письменные процедуры для идентификации, документального оформления, соответствующей проверки и утверждения изменений в отношении исходного сырья, спецификаций, аналитических методик, помещений, вспомогательных систем, оборудования, включая компьютерное оборудование, стадий процесса, материалов для маркировки и упаковки, а также компьютерного программного обеспечения.</w:t>
            </w:r>
          </w:p>
          <w:p>
            <w:pPr>
              <w:spacing w:after="20"/>
              <w:ind w:left="20"/>
              <w:jc w:val="both"/>
            </w:pPr>
            <w:r>
              <w:rPr>
                <w:rFonts w:ascii="Times New Roman"/>
                <w:b w:val="false"/>
                <w:i w:val="false"/>
                <w:color w:val="000000"/>
                <w:sz w:val="20"/>
              </w:rPr>
              <w:t>
   13.12. Любые предложения по изменениям, касающимся соблюдения требований настоящего Стандарта, составляются, проверяются и утверждаются соответствующими подразделениями, а затем проверяются и утверждаются отделом (отделами) качества.</w:t>
            </w:r>
          </w:p>
          <w:p>
            <w:pPr>
              <w:spacing w:after="20"/>
              <w:ind w:left="20"/>
              <w:jc w:val="both"/>
            </w:pPr>
            <w:r>
              <w:rPr>
                <w:rFonts w:ascii="Times New Roman"/>
                <w:b w:val="false"/>
                <w:i w:val="false"/>
                <w:color w:val="000000"/>
                <w:sz w:val="20"/>
              </w:rPr>
              <w:t>
   13.13. Оценивается возможное влияние предложенного изменения на качество промежуточной продукции или АФС. Процедура классификации изменений помогает в определении объема испытаний, валидации и документации, требуемых для обоснования изменений, вносимых в валидированный процесс. Изменения  классифицируются в зависимости от их характера и объема, а также влияния, которое они оказывают на процесс. С учетом обоснованного заключения определяют, какие дополнительные испытания и исследования по валидации необходимы для обоснования таких изменений.</w:t>
            </w:r>
          </w:p>
          <w:p>
            <w:pPr>
              <w:spacing w:after="20"/>
              <w:ind w:left="20"/>
              <w:jc w:val="both"/>
            </w:pPr>
            <w:r>
              <w:rPr>
                <w:rFonts w:ascii="Times New Roman"/>
                <w:b w:val="false"/>
                <w:i w:val="false"/>
                <w:color w:val="000000"/>
                <w:sz w:val="20"/>
              </w:rPr>
              <w:t>
   13.14. При внедрении утвержденных изменений принимают меры по пересмотру документов, на содержание которых влияют эти изменения.</w:t>
            </w:r>
          </w:p>
          <w:p>
            <w:pPr>
              <w:spacing w:after="20"/>
              <w:ind w:left="20"/>
              <w:jc w:val="both"/>
            </w:pPr>
            <w:r>
              <w:rPr>
                <w:rFonts w:ascii="Times New Roman"/>
                <w:b w:val="false"/>
                <w:i w:val="false"/>
                <w:color w:val="000000"/>
                <w:sz w:val="20"/>
              </w:rPr>
              <w:t>
   13.15. После внедрения изменения проводят оценку первых серий, произведенных или испытанных после внесения этого изменения.</w:t>
            </w:r>
          </w:p>
          <w:p>
            <w:pPr>
              <w:spacing w:after="20"/>
              <w:ind w:left="20"/>
              <w:jc w:val="both"/>
            </w:pPr>
            <w:r>
              <w:rPr>
                <w:rFonts w:ascii="Times New Roman"/>
                <w:b w:val="false"/>
                <w:i w:val="false"/>
                <w:color w:val="000000"/>
                <w:sz w:val="20"/>
              </w:rPr>
              <w:t>
   13.16. Оценивается возможность воздействия критических изменений на стабильность и, следовательно, на установленные даты повторных испытаний или даты истечения срока годности. При необходимости образцы промежуточной продукции или АФС, которые были произведены посредством измененного процесса, вводятся в программу ускоренного изучения стабильности и (или) включаются в программу мониторинга стабильности.</w:t>
            </w:r>
          </w:p>
          <w:p>
            <w:pPr>
              <w:spacing w:after="20"/>
              <w:ind w:left="20"/>
              <w:jc w:val="both"/>
            </w:pPr>
            <w:r>
              <w:rPr>
                <w:rFonts w:ascii="Times New Roman"/>
                <w:b w:val="false"/>
                <w:i w:val="false"/>
                <w:color w:val="000000"/>
                <w:sz w:val="20"/>
              </w:rPr>
              <w:t>
   13.17. Соответствующие производители лекарственных препаратов, в том числе в форме нерасфасованных продуктов информируются об изменениях в установленных технологических процессах и процедурах контроля процесса, которые влияют на качество АФС.</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Отклонение  и повторное использование материалов</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Отклонение</w:t>
            </w:r>
          </w:p>
          <w:p>
            <w:pPr>
              <w:spacing w:after="20"/>
              <w:ind w:left="20"/>
              <w:jc w:val="both"/>
            </w:pPr>
            <w:r>
              <w:rPr>
                <w:rFonts w:ascii="Times New Roman"/>
                <w:b w:val="false"/>
                <w:i w:val="false"/>
                <w:color w:val="000000"/>
                <w:sz w:val="20"/>
              </w:rPr>
              <w:t>
   14.10. Промежуточную продукцию и АФС, которые не соответствуют установленным спецификациям, четко маркируют соответствующим образом и содержат в условиях карантина. Такую промежуточную продукцию или АФС подвергают повторной обработке или переработке. Окончательное решение в отношении отклоненных материалов оформляется документально.</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Повторная обработка</w:t>
            </w:r>
          </w:p>
          <w:p>
            <w:pPr>
              <w:spacing w:after="20"/>
              <w:ind w:left="20"/>
              <w:jc w:val="both"/>
            </w:pPr>
            <w:r>
              <w:rPr>
                <w:rFonts w:ascii="Times New Roman"/>
                <w:b w:val="false"/>
                <w:i w:val="false"/>
                <w:color w:val="000000"/>
                <w:sz w:val="20"/>
              </w:rPr>
              <w:t>
   14.20. Повторное введение в процесс промежуточной продукции или АФС, включая продукцию, не соответствующую стандартам или спецификациям, и их повторная обработка путем повторения стадии кристаллизации или других соответствующих стадий обработки такими химическими и физическими способами, как дистилляция, фильтрация, хроматографирование, измельчение, являющихся частью установленного производственного процесса, обычно считается приемлемым. Однако, если повторная обработка используется для большинства серий, то ее включают в качестве части стандартного технологического процесса.</w:t>
            </w:r>
          </w:p>
          <w:p>
            <w:pPr>
              <w:spacing w:after="20"/>
              <w:ind w:left="20"/>
              <w:jc w:val="both"/>
            </w:pPr>
            <w:r>
              <w:rPr>
                <w:rFonts w:ascii="Times New Roman"/>
                <w:b w:val="false"/>
                <w:i w:val="false"/>
                <w:color w:val="000000"/>
                <w:sz w:val="20"/>
              </w:rPr>
              <w:t>
   14.21. Продолжение осуществления стадии технологического процесса после того, как контроль в процессе производства показал, что стадия не завершена, считается частью обычного процесса, а не повторной обработкой.</w:t>
            </w:r>
          </w:p>
          <w:p>
            <w:pPr>
              <w:spacing w:after="20"/>
              <w:ind w:left="20"/>
              <w:jc w:val="both"/>
            </w:pPr>
            <w:r>
              <w:rPr>
                <w:rFonts w:ascii="Times New Roman"/>
                <w:b w:val="false"/>
                <w:i w:val="false"/>
                <w:color w:val="000000"/>
                <w:sz w:val="20"/>
              </w:rPr>
              <w:t>
   14.22. Введение непрореагировавшего вещества вновь в процесс и повторное проведение химической реакции считают повторной обработкой, если это не является частью установленного процесса. Такой повторной обработке предшествует тщательная оценка, гарантирующая, что это не повлияет отрицательно на качество промежуточной продукции или АФС вследствие возможного образования побочных продуктов и веществ, прореагировавших сверх установленной нормы.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Переработка</w:t>
            </w:r>
          </w:p>
          <w:p>
            <w:pPr>
              <w:spacing w:after="20"/>
              <w:ind w:left="20"/>
              <w:jc w:val="both"/>
            </w:pPr>
            <w:r>
              <w:rPr>
                <w:rFonts w:ascii="Times New Roman"/>
                <w:b w:val="false"/>
                <w:i w:val="false"/>
                <w:color w:val="000000"/>
                <w:sz w:val="20"/>
              </w:rPr>
              <w:t>
   14.30. Перед принятием решения о переработке серий, не соответствующих установленным нормам или спецификациям, следует провести расследование причин такого несоответствия.</w:t>
            </w:r>
          </w:p>
          <w:p>
            <w:pPr>
              <w:spacing w:after="20"/>
              <w:ind w:left="20"/>
              <w:jc w:val="both"/>
            </w:pPr>
            <w:r>
              <w:rPr>
                <w:rFonts w:ascii="Times New Roman"/>
                <w:b w:val="false"/>
                <w:i w:val="false"/>
                <w:color w:val="000000"/>
                <w:sz w:val="20"/>
              </w:rPr>
              <w:t>
   14.31. Серии, подвергнутые переработке, являются объектом соответствующей оценки, испытаний, исследования стабильности, если для этого есть основания, и документального оформления, чтобы показать, что переработанная продукция по качеству эквивалентна продукции, произведенной посредством первоначально установленного производственного процесса. Наиболее целесообразным подходом к валидации процедур переработки является сопутствующая валидация. Это позволяет составить записи процедуры переработки, установить порядок ее проведения и определить ожидаемые результаты. Если переработке подлежит только одна серия, то составляется письменный отчет, а серия разрешается к выпуску сразу после подтверждения ее приемлемости.</w:t>
            </w:r>
          </w:p>
          <w:p>
            <w:pPr>
              <w:spacing w:after="20"/>
              <w:ind w:left="20"/>
              <w:jc w:val="both"/>
            </w:pPr>
            <w:r>
              <w:rPr>
                <w:rFonts w:ascii="Times New Roman"/>
                <w:b w:val="false"/>
                <w:i w:val="false"/>
                <w:color w:val="000000"/>
                <w:sz w:val="20"/>
              </w:rPr>
              <w:t>
   14.32. В наличии имеются процедуры для сравнения профиля примесей каждой переработанной серии с профилями примесей серий, произведенных посредством установленного процесса. Если применяемые аналитические методики не позволяют адекватно охарактеризовать переработанную серию, то пользуются дополнительными методиками.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Регенерация материалов и растворителей</w:t>
            </w:r>
          </w:p>
          <w:p>
            <w:pPr>
              <w:spacing w:after="20"/>
              <w:ind w:left="20"/>
              <w:jc w:val="both"/>
            </w:pPr>
            <w:r>
              <w:rPr>
                <w:rFonts w:ascii="Times New Roman"/>
                <w:b w:val="false"/>
                <w:i w:val="false"/>
                <w:color w:val="000000"/>
                <w:sz w:val="20"/>
              </w:rPr>
              <w:t>
   14.40. Регенерация реактивов, промежуточной продукции или АФС считается допустимой при условии наличия утвержденных процедур регенерации и соответствия регенерированных материалов спецификациям, подходящим для их предполагаемого использования.</w:t>
            </w:r>
          </w:p>
          <w:p>
            <w:pPr>
              <w:spacing w:after="20"/>
              <w:ind w:left="20"/>
              <w:jc w:val="both"/>
            </w:pPr>
            <w:r>
              <w:rPr>
                <w:rFonts w:ascii="Times New Roman"/>
                <w:b w:val="false"/>
                <w:i w:val="false"/>
                <w:color w:val="000000"/>
                <w:sz w:val="20"/>
              </w:rPr>
              <w:t>
   14.41. Допускается регенерация и повторное использование растворителей в тех же или других процессах при условии, что процедуры регенерации контролируют и проверяют для обеспечения соответствия растворителей соответствующим стандартам перед их повторным использованием или смешиванием с другими одобренными материалами.</w:t>
            </w:r>
          </w:p>
          <w:p>
            <w:pPr>
              <w:spacing w:after="20"/>
              <w:ind w:left="20"/>
              <w:jc w:val="both"/>
            </w:pPr>
            <w:r>
              <w:rPr>
                <w:rFonts w:ascii="Times New Roman"/>
                <w:b w:val="false"/>
                <w:i w:val="false"/>
                <w:color w:val="000000"/>
                <w:sz w:val="20"/>
              </w:rPr>
              <w:t>
   14.42. Новые и регенерированные растворители и реактивы смешивают, если в ходе соответствующих испытаний показана их пригодность для всех технологических процессов, в которых они используются.</w:t>
            </w:r>
          </w:p>
          <w:p>
            <w:pPr>
              <w:spacing w:after="20"/>
              <w:ind w:left="20"/>
              <w:jc w:val="both"/>
            </w:pPr>
            <w:r>
              <w:rPr>
                <w:rFonts w:ascii="Times New Roman"/>
                <w:b w:val="false"/>
                <w:i w:val="false"/>
                <w:color w:val="000000"/>
                <w:sz w:val="20"/>
              </w:rPr>
              <w:t>
   14.43. Использование регенерированных растворителей, маточных жидкостей и других регенерированных веществ оформляется документально.</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Возврат</w:t>
            </w:r>
          </w:p>
          <w:p>
            <w:pPr>
              <w:spacing w:after="20"/>
              <w:ind w:left="20"/>
              <w:jc w:val="both"/>
            </w:pPr>
            <w:r>
              <w:rPr>
                <w:rFonts w:ascii="Times New Roman"/>
                <w:b w:val="false"/>
                <w:i w:val="false"/>
                <w:color w:val="000000"/>
                <w:sz w:val="20"/>
              </w:rPr>
              <w:t>
   14.50. Возвращенную промежуточную продукцию или возвращенные АФС маркируют соответствующим образом и содержат в условиях карантина.</w:t>
            </w:r>
          </w:p>
          <w:p>
            <w:pPr>
              <w:spacing w:after="20"/>
              <w:ind w:left="20"/>
              <w:jc w:val="both"/>
            </w:pPr>
            <w:r>
              <w:rPr>
                <w:rFonts w:ascii="Times New Roman"/>
                <w:b w:val="false"/>
                <w:i w:val="false"/>
                <w:color w:val="000000"/>
                <w:sz w:val="20"/>
              </w:rPr>
              <w:t>
   14.51. Если условия, в которых хранились или транспортировались возвращенная промежуточная продукция или возвращенные АФС до или в процессе их возврата, или состояние их контейнеров, упаковки вызывают сомнения относительно их качества, то возвращенная промежуточная продукция или возвращенные АФС подлежат повторной обработке, переработке или уничтожению в зависимости от конкретной ситуации.</w:t>
            </w:r>
          </w:p>
          <w:p>
            <w:pPr>
              <w:spacing w:after="20"/>
              <w:ind w:left="20"/>
              <w:jc w:val="both"/>
            </w:pPr>
            <w:r>
              <w:rPr>
                <w:rFonts w:ascii="Times New Roman"/>
                <w:b w:val="false"/>
                <w:i w:val="false"/>
                <w:color w:val="000000"/>
                <w:sz w:val="20"/>
              </w:rPr>
              <w:t>
   14.52. Ведутся записи возврата промежуточной продукции или АФС. Для каждого возврата в документации указывают:</w:t>
            </w:r>
          </w:p>
          <w:p>
            <w:pPr>
              <w:spacing w:after="20"/>
              <w:ind w:left="20"/>
              <w:jc w:val="both"/>
            </w:pPr>
            <w:r>
              <w:rPr>
                <w:rFonts w:ascii="Times New Roman"/>
                <w:b w:val="false"/>
                <w:i w:val="false"/>
                <w:color w:val="000000"/>
                <w:sz w:val="20"/>
              </w:rPr>
              <w:t>
   название и адрес грузополучателя;</w:t>
            </w:r>
          </w:p>
          <w:p>
            <w:pPr>
              <w:spacing w:after="20"/>
              <w:ind w:left="20"/>
              <w:jc w:val="both"/>
            </w:pPr>
            <w:r>
              <w:rPr>
                <w:rFonts w:ascii="Times New Roman"/>
                <w:b w:val="false"/>
                <w:i w:val="false"/>
                <w:color w:val="000000"/>
                <w:sz w:val="20"/>
              </w:rPr>
              <w:t>
   наименование промежуточной продукции или АФС, номер серии и возвращенное количество;</w:t>
            </w:r>
          </w:p>
          <w:p>
            <w:pPr>
              <w:spacing w:after="20"/>
              <w:ind w:left="20"/>
              <w:jc w:val="both"/>
            </w:pPr>
            <w:r>
              <w:rPr>
                <w:rFonts w:ascii="Times New Roman"/>
                <w:b w:val="false"/>
                <w:i w:val="false"/>
                <w:color w:val="000000"/>
                <w:sz w:val="20"/>
              </w:rPr>
              <w:t>
   причину возврата;</w:t>
            </w:r>
          </w:p>
          <w:p>
            <w:pPr>
              <w:spacing w:after="20"/>
              <w:ind w:left="20"/>
              <w:jc w:val="both"/>
            </w:pPr>
            <w:r>
              <w:rPr>
                <w:rFonts w:ascii="Times New Roman"/>
                <w:b w:val="false"/>
                <w:i w:val="false"/>
                <w:color w:val="000000"/>
                <w:sz w:val="20"/>
              </w:rPr>
              <w:t>
   указание на использование или уничтожение возвращенной промежуточной продукции или АФС.</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Претензии и отзывы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Все претензии, касающиеся качества, полученные в устной или письменной форме, оформляются документально и расследуются согласно письменной инструкции.</w:t>
            </w:r>
          </w:p>
          <w:p>
            <w:pPr>
              <w:spacing w:after="20"/>
              <w:ind w:left="20"/>
              <w:jc w:val="both"/>
            </w:pPr>
            <w:r>
              <w:rPr>
                <w:rFonts w:ascii="Times New Roman"/>
                <w:b w:val="false"/>
                <w:i w:val="false"/>
                <w:color w:val="000000"/>
                <w:sz w:val="20"/>
              </w:rPr>
              <w:t>
   15.11. Записи рассмотрения претензий содержат:</w:t>
            </w:r>
          </w:p>
          <w:p>
            <w:pPr>
              <w:spacing w:after="20"/>
              <w:ind w:left="20"/>
              <w:jc w:val="both"/>
            </w:pPr>
            <w:r>
              <w:rPr>
                <w:rFonts w:ascii="Times New Roman"/>
                <w:b w:val="false"/>
                <w:i w:val="false"/>
                <w:color w:val="000000"/>
                <w:sz w:val="20"/>
              </w:rPr>
              <w:t>
   наименование и адрес предъявившего претензию;</w:t>
            </w:r>
          </w:p>
          <w:p>
            <w:pPr>
              <w:spacing w:after="20"/>
              <w:ind w:left="20"/>
              <w:jc w:val="both"/>
            </w:pPr>
            <w:r>
              <w:rPr>
                <w:rFonts w:ascii="Times New Roman"/>
                <w:b w:val="false"/>
                <w:i w:val="false"/>
                <w:color w:val="000000"/>
                <w:sz w:val="20"/>
              </w:rPr>
              <w:t>
   фамилию, имя, отчество, при необходимости – должность  лица, предъявившего претензию, и номер его телефона;</w:t>
            </w:r>
          </w:p>
          <w:p>
            <w:pPr>
              <w:spacing w:after="20"/>
              <w:ind w:left="20"/>
              <w:jc w:val="both"/>
            </w:pPr>
            <w:r>
              <w:rPr>
                <w:rFonts w:ascii="Times New Roman"/>
                <w:b w:val="false"/>
                <w:i w:val="false"/>
                <w:color w:val="000000"/>
                <w:sz w:val="20"/>
              </w:rPr>
              <w:t>
   суть претензии, включая название и номер серии АФС;</w:t>
            </w:r>
          </w:p>
          <w:p>
            <w:pPr>
              <w:spacing w:after="20"/>
              <w:ind w:left="20"/>
              <w:jc w:val="both"/>
            </w:pPr>
            <w:r>
              <w:rPr>
                <w:rFonts w:ascii="Times New Roman"/>
                <w:b w:val="false"/>
                <w:i w:val="false"/>
                <w:color w:val="000000"/>
                <w:sz w:val="20"/>
              </w:rPr>
              <w:t>
   дату поступления претензии;</w:t>
            </w:r>
          </w:p>
          <w:p>
            <w:pPr>
              <w:spacing w:after="20"/>
              <w:ind w:left="20"/>
              <w:jc w:val="both"/>
            </w:pPr>
            <w:r>
              <w:rPr>
                <w:rFonts w:ascii="Times New Roman"/>
                <w:b w:val="false"/>
                <w:i w:val="false"/>
                <w:color w:val="000000"/>
                <w:sz w:val="20"/>
              </w:rPr>
              <w:t>
   первоначально принятые меры с указанием даты и лица, принявшего меры;</w:t>
            </w:r>
          </w:p>
          <w:p>
            <w:pPr>
              <w:spacing w:after="20"/>
              <w:ind w:left="20"/>
              <w:jc w:val="both"/>
            </w:pPr>
            <w:r>
              <w:rPr>
                <w:rFonts w:ascii="Times New Roman"/>
                <w:b w:val="false"/>
                <w:i w:val="false"/>
                <w:color w:val="000000"/>
                <w:sz w:val="20"/>
              </w:rPr>
              <w:t>
   любые дальнейшие действия;</w:t>
            </w:r>
          </w:p>
          <w:p>
            <w:pPr>
              <w:spacing w:after="20"/>
              <w:ind w:left="20"/>
              <w:jc w:val="both"/>
            </w:pPr>
            <w:r>
              <w:rPr>
                <w:rFonts w:ascii="Times New Roman"/>
                <w:b w:val="false"/>
                <w:i w:val="false"/>
                <w:color w:val="000000"/>
                <w:sz w:val="20"/>
              </w:rPr>
              <w:t>
   ответ, отправленный лицу, предъявившему претензию, включая дату отправки ответа;</w:t>
            </w:r>
          </w:p>
          <w:p>
            <w:pPr>
              <w:spacing w:after="20"/>
              <w:ind w:left="20"/>
              <w:jc w:val="both"/>
            </w:pPr>
            <w:r>
              <w:rPr>
                <w:rFonts w:ascii="Times New Roman"/>
                <w:b w:val="false"/>
                <w:i w:val="false"/>
                <w:color w:val="000000"/>
                <w:sz w:val="20"/>
              </w:rPr>
              <w:t>
   окончательное решение относительно серии или партии промежуточной продукции или АФС.</w:t>
            </w:r>
          </w:p>
          <w:p>
            <w:pPr>
              <w:spacing w:after="20"/>
              <w:ind w:left="20"/>
              <w:jc w:val="both"/>
            </w:pPr>
            <w:r>
              <w:rPr>
                <w:rFonts w:ascii="Times New Roman"/>
                <w:b w:val="false"/>
                <w:i w:val="false"/>
                <w:color w:val="000000"/>
                <w:sz w:val="20"/>
              </w:rPr>
              <w:t>
   15.12. Записи рассмотрения претензий сохраняют для оценки тенденций, частоты поступления претензий и их серьезности для принятия дополнительного и, при необходимости, немедленного корректирующего действия.</w:t>
            </w:r>
          </w:p>
          <w:p>
            <w:pPr>
              <w:spacing w:after="20"/>
              <w:ind w:left="20"/>
              <w:jc w:val="both"/>
            </w:pPr>
            <w:r>
              <w:rPr>
                <w:rFonts w:ascii="Times New Roman"/>
                <w:b w:val="false"/>
                <w:i w:val="false"/>
                <w:color w:val="000000"/>
                <w:sz w:val="20"/>
              </w:rPr>
              <w:t>
   15.13. Имеется письменная процедура для определения обстоятельств, при которых рассматривают вопрос об отзыве промежуточной продукции или АФС.</w:t>
            </w:r>
          </w:p>
          <w:p>
            <w:pPr>
              <w:spacing w:after="20"/>
              <w:ind w:left="20"/>
              <w:jc w:val="both"/>
            </w:pPr>
            <w:r>
              <w:rPr>
                <w:rFonts w:ascii="Times New Roman"/>
                <w:b w:val="false"/>
                <w:i w:val="false"/>
                <w:color w:val="000000"/>
                <w:sz w:val="20"/>
              </w:rPr>
              <w:t>
   15.14. Процедура отзыва определяет, кто принимает участие в оценке информации, как начинать процедуру отзыва, кого следует проинформировать об отзыве и как следует поступать с отозванным материалом.</w:t>
            </w:r>
          </w:p>
          <w:p>
            <w:pPr>
              <w:spacing w:after="20"/>
              <w:ind w:left="20"/>
              <w:jc w:val="both"/>
            </w:pPr>
            <w:r>
              <w:rPr>
                <w:rFonts w:ascii="Times New Roman"/>
                <w:b w:val="false"/>
                <w:i w:val="false"/>
                <w:color w:val="000000"/>
                <w:sz w:val="20"/>
              </w:rPr>
              <w:t>
   15.15. В случае серьезной или потенциально угрожающей жизни ситуации следует проинформировать об этом уполномоченные органы и обратиться к ним за консультацией.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по контракту, включая лаборатории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Производители, работающие по контрактам, включая лаборатории, соблюдают требования настоящего Стандарта. Уделяется особое внимание предотвращению перекрестной контаминации и обеспечению прослеживаемости.</w:t>
            </w:r>
          </w:p>
          <w:p>
            <w:pPr>
              <w:spacing w:after="20"/>
              <w:ind w:left="20"/>
              <w:jc w:val="both"/>
            </w:pPr>
            <w:r>
              <w:rPr>
                <w:rFonts w:ascii="Times New Roman"/>
                <w:b w:val="false"/>
                <w:i w:val="false"/>
                <w:color w:val="000000"/>
                <w:sz w:val="20"/>
              </w:rPr>
              <w:t>
   16.11. Заказчик оценивает производителей, работающих по контракту, включая лаборатории, с целью оценки соответствия требованиям настоящему Стандарту конкретных операций, выполняемых на участках производителя, работающего по контракту.</w:t>
            </w:r>
          </w:p>
          <w:p>
            <w:pPr>
              <w:spacing w:after="20"/>
              <w:ind w:left="20"/>
              <w:jc w:val="both"/>
            </w:pPr>
            <w:r>
              <w:rPr>
                <w:rFonts w:ascii="Times New Roman"/>
                <w:b w:val="false"/>
                <w:i w:val="false"/>
                <w:color w:val="000000"/>
                <w:sz w:val="20"/>
              </w:rPr>
              <w:t>
   16.12. Имеется утвержденный письменный контракт или официальное соглашение между заказчиком и исполнителем, в котором подробно определены обязанности в отношении соблюдения требований настоящего Стандарта, включая мероприятия каждой из сторон в отношении качества.</w:t>
            </w:r>
          </w:p>
          <w:p>
            <w:pPr>
              <w:spacing w:after="20"/>
              <w:ind w:left="20"/>
              <w:jc w:val="both"/>
            </w:pPr>
            <w:r>
              <w:rPr>
                <w:rFonts w:ascii="Times New Roman"/>
                <w:b w:val="false"/>
                <w:i w:val="false"/>
                <w:color w:val="000000"/>
                <w:sz w:val="20"/>
              </w:rPr>
              <w:t>
   16.13. Контракт позволяет заказчику проводить аудит производства исполнителя на соответствие требованиям настоящего Стандарта.</w:t>
            </w:r>
          </w:p>
          <w:p>
            <w:pPr>
              <w:spacing w:after="20"/>
              <w:ind w:left="20"/>
              <w:jc w:val="both"/>
            </w:pPr>
            <w:r>
              <w:rPr>
                <w:rFonts w:ascii="Times New Roman"/>
                <w:b w:val="false"/>
                <w:i w:val="false"/>
                <w:color w:val="000000"/>
                <w:sz w:val="20"/>
              </w:rPr>
              <w:t>
   16.14. Если разрешено выполнение работ по субподрядам, то исполнитель не передает третьей стороне какую-либо часть доверенных ему по контракту работ без предварительной оценки и утверждения соглашений заказчиком.</w:t>
            </w:r>
          </w:p>
          <w:p>
            <w:pPr>
              <w:spacing w:after="20"/>
              <w:ind w:left="20"/>
              <w:jc w:val="both"/>
            </w:pPr>
            <w:r>
              <w:rPr>
                <w:rFonts w:ascii="Times New Roman"/>
                <w:b w:val="false"/>
                <w:i w:val="false"/>
                <w:color w:val="000000"/>
                <w:sz w:val="20"/>
              </w:rPr>
              <w:t>
   16.15. Производственные и лабораторные записи хранят на участке, на котором выполнялись работы; обесечивается их доступность.</w:t>
            </w:r>
          </w:p>
          <w:p>
            <w:pPr>
              <w:spacing w:after="20"/>
              <w:ind w:left="20"/>
              <w:jc w:val="both"/>
            </w:pPr>
            <w:r>
              <w:rPr>
                <w:rFonts w:ascii="Times New Roman"/>
                <w:b w:val="false"/>
                <w:i w:val="false"/>
                <w:color w:val="000000"/>
                <w:sz w:val="20"/>
              </w:rPr>
              <w:t>
   16.16. Не допускается внесение изменений в технологический процесс, оборудование, методики испытаний, спецификации или другие требования контракта, относящиеся к предмету контракта, без уведомления заказчика и утверждения им изменений.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Поставщики или лица, действующие от их имени,  дистрибьюторы, предприятия по переупаковке и перемаркировке</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Область применения</w:t>
            </w:r>
          </w:p>
          <w:p>
            <w:pPr>
              <w:spacing w:after="20"/>
              <w:ind w:left="20"/>
              <w:jc w:val="both"/>
            </w:pPr>
            <w:r>
              <w:rPr>
                <w:rFonts w:ascii="Times New Roman"/>
                <w:b w:val="false"/>
                <w:i w:val="false"/>
                <w:color w:val="000000"/>
                <w:sz w:val="20"/>
              </w:rPr>
              <w:t>
   17.10. Данный раздел относится к лицам и организациям, не являющимся первоначальным производителем, которые продают и (или) приобретают, переупаковывают, перемаркировывают, поставляют и хранят АФС или промежуточную продукцию.</w:t>
            </w:r>
          </w:p>
          <w:p>
            <w:pPr>
              <w:spacing w:after="20"/>
              <w:ind w:left="20"/>
              <w:jc w:val="both"/>
            </w:pPr>
            <w:r>
              <w:rPr>
                <w:rFonts w:ascii="Times New Roman"/>
                <w:b w:val="false"/>
                <w:i w:val="false"/>
                <w:color w:val="000000"/>
                <w:sz w:val="20"/>
              </w:rPr>
              <w:t>
   17.11. Поставщики или лица, действующие от их имени, дистрибьюторы, предприятия по переупаковке и перемаркировке соблюдают требования настоящего Стандарта.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Прослеживаемость реализованных АФС и промежуточной продукции</w:t>
            </w:r>
          </w:p>
          <w:p>
            <w:pPr>
              <w:spacing w:after="20"/>
              <w:ind w:left="20"/>
              <w:jc w:val="both"/>
            </w:pPr>
            <w:r>
              <w:rPr>
                <w:rFonts w:ascii="Times New Roman"/>
                <w:b w:val="false"/>
                <w:i w:val="false"/>
                <w:color w:val="000000"/>
                <w:sz w:val="20"/>
              </w:rPr>
              <w:t>
   17.20. Поставщики или лица, действующие от их имени, дистрибьюторы, предприятия по переупаковке и перемаркировке обеспечивают полную прослеживаемость поставляемых ими АФС и промежуточной продукции. Для этого имеются  и хранятся следующие документы:</w:t>
            </w:r>
          </w:p>
          <w:p>
            <w:pPr>
              <w:spacing w:after="20"/>
              <w:ind w:left="20"/>
              <w:jc w:val="both"/>
            </w:pPr>
            <w:r>
              <w:rPr>
                <w:rFonts w:ascii="Times New Roman"/>
                <w:b w:val="false"/>
                <w:i w:val="false"/>
                <w:color w:val="000000"/>
                <w:sz w:val="20"/>
              </w:rPr>
              <w:t>
   название первоначального производителя;</w:t>
            </w:r>
          </w:p>
          <w:p>
            <w:pPr>
              <w:spacing w:after="20"/>
              <w:ind w:left="20"/>
              <w:jc w:val="both"/>
            </w:pPr>
            <w:r>
              <w:rPr>
                <w:rFonts w:ascii="Times New Roman"/>
                <w:b w:val="false"/>
                <w:i w:val="false"/>
                <w:color w:val="000000"/>
                <w:sz w:val="20"/>
              </w:rPr>
              <w:t>
   адрес первоначального производителя;</w:t>
            </w:r>
          </w:p>
          <w:p>
            <w:pPr>
              <w:spacing w:after="20"/>
              <w:ind w:left="20"/>
              <w:jc w:val="both"/>
            </w:pPr>
            <w:r>
              <w:rPr>
                <w:rFonts w:ascii="Times New Roman"/>
                <w:b w:val="false"/>
                <w:i w:val="false"/>
                <w:color w:val="000000"/>
                <w:sz w:val="20"/>
              </w:rPr>
              <w:t>
   заказы на поставку;</w:t>
            </w:r>
          </w:p>
          <w:p>
            <w:pPr>
              <w:spacing w:after="20"/>
              <w:ind w:left="20"/>
              <w:jc w:val="both"/>
            </w:pPr>
            <w:r>
              <w:rPr>
                <w:rFonts w:ascii="Times New Roman"/>
                <w:b w:val="false"/>
                <w:i w:val="false"/>
                <w:color w:val="000000"/>
                <w:sz w:val="20"/>
              </w:rPr>
              <w:t>
   накладные, транспортные документы;</w:t>
            </w:r>
          </w:p>
          <w:p>
            <w:pPr>
              <w:spacing w:after="20"/>
              <w:ind w:left="20"/>
              <w:jc w:val="both"/>
            </w:pPr>
            <w:r>
              <w:rPr>
                <w:rFonts w:ascii="Times New Roman"/>
                <w:b w:val="false"/>
                <w:i w:val="false"/>
                <w:color w:val="000000"/>
                <w:sz w:val="20"/>
              </w:rPr>
              <w:t>
   документация о приемке;</w:t>
            </w:r>
          </w:p>
          <w:p>
            <w:pPr>
              <w:spacing w:after="20"/>
              <w:ind w:left="20"/>
              <w:jc w:val="both"/>
            </w:pPr>
            <w:r>
              <w:rPr>
                <w:rFonts w:ascii="Times New Roman"/>
                <w:b w:val="false"/>
                <w:i w:val="false"/>
                <w:color w:val="000000"/>
                <w:sz w:val="20"/>
              </w:rPr>
              <w:t>
   название или обозначение АФС или промежуточной продукции;</w:t>
            </w:r>
          </w:p>
          <w:p>
            <w:pPr>
              <w:spacing w:after="20"/>
              <w:ind w:left="20"/>
              <w:jc w:val="both"/>
            </w:pPr>
            <w:r>
              <w:rPr>
                <w:rFonts w:ascii="Times New Roman"/>
                <w:b w:val="false"/>
                <w:i w:val="false"/>
                <w:color w:val="000000"/>
                <w:sz w:val="20"/>
              </w:rPr>
              <w:t>
   номер серии, присвоенный производителем;</w:t>
            </w:r>
          </w:p>
          <w:p>
            <w:pPr>
              <w:spacing w:after="20"/>
              <w:ind w:left="20"/>
              <w:jc w:val="both"/>
            </w:pPr>
            <w:r>
              <w:rPr>
                <w:rFonts w:ascii="Times New Roman"/>
                <w:b w:val="false"/>
                <w:i w:val="false"/>
                <w:color w:val="000000"/>
                <w:sz w:val="20"/>
              </w:rPr>
              <w:t>
   записи транспортирования и реализации;</w:t>
            </w:r>
          </w:p>
          <w:p>
            <w:pPr>
              <w:spacing w:after="20"/>
              <w:ind w:left="20"/>
              <w:jc w:val="both"/>
            </w:pPr>
            <w:r>
              <w:rPr>
                <w:rFonts w:ascii="Times New Roman"/>
                <w:b w:val="false"/>
                <w:i w:val="false"/>
                <w:color w:val="000000"/>
                <w:sz w:val="20"/>
              </w:rPr>
              <w:t>
   оригиналы сертификатов анализа, включая сертификаты, полученные после переупаковки и (или) перемаркировки, а также полученные от первоначального производителя;</w:t>
            </w:r>
          </w:p>
          <w:p>
            <w:pPr>
              <w:spacing w:after="20"/>
              <w:ind w:left="20"/>
              <w:jc w:val="both"/>
            </w:pPr>
            <w:r>
              <w:rPr>
                <w:rFonts w:ascii="Times New Roman"/>
                <w:b w:val="false"/>
                <w:i w:val="false"/>
                <w:color w:val="000000"/>
                <w:sz w:val="20"/>
              </w:rPr>
              <w:t>
   дата проведения повторных испытаний или дата истечения срока годности.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Управление качеством</w:t>
            </w:r>
          </w:p>
          <w:p>
            <w:pPr>
              <w:spacing w:after="20"/>
              <w:ind w:left="20"/>
              <w:jc w:val="both"/>
            </w:pPr>
            <w:r>
              <w:rPr>
                <w:rFonts w:ascii="Times New Roman"/>
                <w:b w:val="false"/>
                <w:i w:val="false"/>
                <w:color w:val="000000"/>
                <w:sz w:val="20"/>
              </w:rPr>
              <w:t>
   17.30. Поставщики или лица, действующие от их имени, дистрибьюторы, предприятия по переупаковке и перемаркировке создают, документируют и внедряют эффективную систему управления качеством, как указано в разделе 2 части II настоящего Стандарта, а также ведут необходимую документацию.</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Переупаковка, перемаркировка и хранение АФС и промежуточной продукции</w:t>
            </w:r>
          </w:p>
          <w:p>
            <w:pPr>
              <w:spacing w:after="20"/>
              <w:ind w:left="20"/>
              <w:jc w:val="both"/>
            </w:pPr>
            <w:r>
              <w:rPr>
                <w:rFonts w:ascii="Times New Roman"/>
                <w:b w:val="false"/>
                <w:i w:val="false"/>
                <w:color w:val="000000"/>
                <w:sz w:val="20"/>
              </w:rPr>
              <w:t>
   17.40. Переупаковка, перемаркировка и хранение АФС и промежуточной продукции осуществляется в соответствии с требованиями настоящего Стандарта, чтобы избежать перепутывания или утраты идентичности либо чистоты АФС или промежуточной продукции.</w:t>
            </w:r>
          </w:p>
          <w:p>
            <w:pPr>
              <w:spacing w:after="20"/>
              <w:ind w:left="20"/>
              <w:jc w:val="both"/>
            </w:pPr>
            <w:r>
              <w:rPr>
                <w:rFonts w:ascii="Times New Roman"/>
                <w:b w:val="false"/>
                <w:i w:val="false"/>
                <w:color w:val="000000"/>
                <w:sz w:val="20"/>
              </w:rPr>
              <w:t>
   17.41. Переупаковку осуществляют в соответствующих условиях производственной среды для предотвращения контаминации или перекрестной контаминации.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 Стабильность</w:t>
            </w:r>
          </w:p>
          <w:p>
            <w:pPr>
              <w:spacing w:after="20"/>
              <w:ind w:left="20"/>
              <w:jc w:val="both"/>
            </w:pPr>
            <w:r>
              <w:rPr>
                <w:rFonts w:ascii="Times New Roman"/>
                <w:b w:val="false"/>
                <w:i w:val="false"/>
                <w:color w:val="000000"/>
                <w:sz w:val="20"/>
              </w:rPr>
              <w:t>
   17.50. Если АФС или промежуточную продукцию переупаковывают в контейнеры, первичную упаковку, тип которых отличается от используемого производителем АФС или промежуточной продукции, то необходимо исследовать стабильность для обоснования установленных дат истечения срока годности или проведения повторных испытаний.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Передача информации</w:t>
            </w:r>
          </w:p>
          <w:p>
            <w:pPr>
              <w:spacing w:after="20"/>
              <w:ind w:left="20"/>
              <w:jc w:val="both"/>
            </w:pPr>
            <w:r>
              <w:rPr>
                <w:rFonts w:ascii="Times New Roman"/>
                <w:b w:val="false"/>
                <w:i w:val="false"/>
                <w:color w:val="000000"/>
                <w:sz w:val="20"/>
              </w:rPr>
              <w:t>
   17.60. Поставщики или лица, действующие от их имени, дистрибьюторы, предприятия по переупаковке и перемаркировке передают всю информацию о качестве и решениях уполномоченных органов, полученную от производителя АФС или промежуточной продукции, потребителю, а информацию от потребителя – производителю АФС или промежуточной продукции.</w:t>
            </w:r>
          </w:p>
          <w:p>
            <w:pPr>
              <w:spacing w:after="20"/>
              <w:ind w:left="20"/>
              <w:jc w:val="both"/>
            </w:pPr>
            <w:r>
              <w:rPr>
                <w:rFonts w:ascii="Times New Roman"/>
                <w:b w:val="false"/>
                <w:i w:val="false"/>
                <w:color w:val="000000"/>
                <w:sz w:val="20"/>
              </w:rPr>
              <w:t>
   17.61. Поставщики или лица, действующие от их имени, дистрибьюторы, предприятия по переупаковке и перемаркировке, поставляющие АФС или промежуточную продукцию потребителю, указывают название первоначального производителя АФС или промежуточной продукции и номер (номера) поставляемой серии.</w:t>
            </w:r>
          </w:p>
          <w:p>
            <w:pPr>
              <w:spacing w:after="20"/>
              <w:ind w:left="20"/>
              <w:jc w:val="both"/>
            </w:pPr>
            <w:r>
              <w:rPr>
                <w:rFonts w:ascii="Times New Roman"/>
                <w:b w:val="false"/>
                <w:i w:val="false"/>
                <w:color w:val="000000"/>
                <w:sz w:val="20"/>
              </w:rPr>
              <w:t>
   17.62. Поставщик по запросу уполномоченных органов предоставляет информацию о первоначальном производителе АФС или промежуточной продукции. Первоначальный производитель дает ответы уполномоченному органу непосредственно или через своих официальных посредников в зависимости от юридических отношений между официальными посредниками и первоначальным производителем АФС или промежуточной продукции.</w:t>
            </w:r>
          </w:p>
          <w:p>
            <w:pPr>
              <w:spacing w:after="20"/>
              <w:ind w:left="20"/>
              <w:jc w:val="both"/>
            </w:pPr>
            <w:r>
              <w:rPr>
                <w:rFonts w:ascii="Times New Roman"/>
                <w:b w:val="false"/>
                <w:i w:val="false"/>
                <w:color w:val="000000"/>
                <w:sz w:val="20"/>
              </w:rPr>
              <w:t>
   17.63. Специальные требования в отношении сертификатов анализа, описанные в пункте 11.4 части II настоящего Стандарта, подлежат соблюдению.</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 Работа с претензиями и отзывами</w:t>
            </w:r>
          </w:p>
          <w:p>
            <w:pPr>
              <w:spacing w:after="20"/>
              <w:ind w:left="20"/>
              <w:jc w:val="both"/>
            </w:pPr>
            <w:r>
              <w:rPr>
                <w:rFonts w:ascii="Times New Roman"/>
                <w:b w:val="false"/>
                <w:i w:val="false"/>
                <w:color w:val="000000"/>
                <w:sz w:val="20"/>
              </w:rPr>
              <w:t>
   17.70. Поставщики или лица, действующие от их имени, дистрибьюторы, предприятия по переупаковке и перемаркировке ведут записи рассмотрения претензий и отзывов, как указано в разделе 15 части II настоящего Стандарта, в отношении всех претензий и отзывов, которые попадают в сферу их деятельности.</w:t>
            </w:r>
          </w:p>
          <w:p>
            <w:pPr>
              <w:spacing w:after="20"/>
              <w:ind w:left="20"/>
              <w:jc w:val="both"/>
            </w:pPr>
            <w:r>
              <w:rPr>
                <w:rFonts w:ascii="Times New Roman"/>
                <w:b w:val="false"/>
                <w:i w:val="false"/>
                <w:color w:val="000000"/>
                <w:sz w:val="20"/>
              </w:rPr>
              <w:t>
   17.71. При необходимости поставщики или лица, действующие от их имени, дистрибьюторы, предприятия по переупаковке и перемаркировке рассматривают претензию вместе с первоначальным производителем АФС или промежуточной продукции, чтобы определить, следует ли предпринимать дальнейшие действия совместно с другими потребителями, которые могли получить такие же АФС или промежуточную продукцию, либо с уполномоченным органом, либо со всеми заинтересованными сторонами. Расследование причины претензии или отзыва проводится и оформляется документально соответствующей стороной.</w:t>
            </w:r>
          </w:p>
          <w:p>
            <w:pPr>
              <w:spacing w:after="20"/>
              <w:ind w:left="20"/>
              <w:jc w:val="both"/>
            </w:pPr>
            <w:r>
              <w:rPr>
                <w:rFonts w:ascii="Times New Roman"/>
                <w:b w:val="false"/>
                <w:i w:val="false"/>
                <w:color w:val="000000"/>
                <w:sz w:val="20"/>
              </w:rPr>
              <w:t>
   17.72. Если претензия касается первоначального производителя АФС или промежуточной продукции, то записи рассмотрения претензий, которые ведут поставщики или лица, действующие от их имени, дистрибьюторы, предприятия по переупаковке или перемаркировке, содержат любые ответы, полученные от первоначального производителя АФС или промежуточной продукции, включая дату и предоставленную информацию.</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 Работа с возвратами</w:t>
            </w:r>
          </w:p>
          <w:p>
            <w:pPr>
              <w:spacing w:after="20"/>
              <w:ind w:left="20"/>
              <w:jc w:val="both"/>
            </w:pPr>
            <w:r>
              <w:rPr>
                <w:rFonts w:ascii="Times New Roman"/>
                <w:b w:val="false"/>
                <w:i w:val="false"/>
                <w:color w:val="000000"/>
                <w:sz w:val="20"/>
              </w:rPr>
              <w:t xml:space="preserve">
   17.80. Работу с возвратами продукции проводят в соответствии с требованиями пункта 14.52 части II настоящего Стандарта. Поставщики или лица, действующие от их имени, дистрибьюторы, предприятия по переупаковке или перемаркировке ведут документацию по возвращенным АФС и промежуточной продукции.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Специальное руководство по АФС, производимым путем культивирования клеток или ферментации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Общие требования</w:t>
            </w:r>
          </w:p>
          <w:p>
            <w:pPr>
              <w:spacing w:after="20"/>
              <w:ind w:left="20"/>
              <w:jc w:val="both"/>
            </w:pPr>
            <w:r>
              <w:rPr>
                <w:rFonts w:ascii="Times New Roman"/>
                <w:b w:val="false"/>
                <w:i w:val="false"/>
                <w:color w:val="000000"/>
                <w:sz w:val="20"/>
              </w:rPr>
              <w:t>
   18.10. В разделе 18 части II настоящего Стандарта рассматриваются специальные требования относительно контроля АФС или промежуточной продукции, которые производят посредством культивирования клеток или ферментации с использованием природных или рекомбинантных организмов, недостаточно отраженные в предшествующих разделах. Этот раздел не следует рассматривать отдельно от других, поскольку требования, приведенные в других разделах настоящего Стандарта, также применимы к такой продукции. Следует отметить, что для "классических" процессов получения низкомолекулярных веществ и для процессов, в которых используют рекомбинантные и не рекомбинантные организмы для производства белков и (или) полипептидов, применяют одни и те же принципы ферментации, хотя степень контроля при этом будет различной. В данном разделе указаны эти различия, если они существуют на практике. Степень контроля биотехнологических процессов, используемых для производства белков и полипептидов, выше, чем для классических процессов ферментации.</w:t>
            </w:r>
          </w:p>
          <w:p>
            <w:pPr>
              <w:spacing w:after="20"/>
              <w:ind w:left="20"/>
              <w:jc w:val="both"/>
            </w:pPr>
            <w:r>
              <w:rPr>
                <w:rFonts w:ascii="Times New Roman"/>
                <w:b w:val="false"/>
                <w:i w:val="false"/>
                <w:color w:val="000000"/>
                <w:sz w:val="20"/>
              </w:rPr>
              <w:t xml:space="preserve">
   18.11. Термин "биотехнологический процесс" относится к использованию клеток или организмов, полученных или модифицированных посредством технологии рекомбинантной ДНК, гибридомной или другой технологии, с целью производства АФС. АФС, полученные с помощью биотехнологических процессов, обычно состоят из таких высокомолекулярных соединений, как белки и полипептиды, специальное руководство в отношении которых приведено в данном разделе. По технологии рекомбинантной ДНК также получают определенные АФС с низкой молекулярной массой, такие как антибиотики, аминокислоты, витамины и углеводы. Уровень контроля этих видов АФС аналогичен контролю, применяемому для классической ферментации. </w:t>
            </w:r>
          </w:p>
          <w:p>
            <w:pPr>
              <w:spacing w:after="20"/>
              <w:ind w:left="20"/>
              <w:jc w:val="both"/>
            </w:pPr>
            <w:r>
              <w:rPr>
                <w:rFonts w:ascii="Times New Roman"/>
                <w:b w:val="false"/>
                <w:i w:val="false"/>
                <w:color w:val="000000"/>
                <w:sz w:val="20"/>
              </w:rPr>
              <w:t>
   18.12. Термин "классическая ферментация" относится к процессам получения АФС, в которых используются природные микроорганизмы и (или) микроорганизмы, модифицированные общепринятыми методами, например, посредством облучения или химического мутагенеза. АФС, полученные посредством "классической ферментации", обычно являются продуктами с низкой молекулярной массой, такими как антибиотики, аминокислоты, витамины и углеводы.</w:t>
            </w:r>
          </w:p>
          <w:p>
            <w:pPr>
              <w:spacing w:after="20"/>
              <w:ind w:left="20"/>
              <w:jc w:val="both"/>
            </w:pPr>
            <w:r>
              <w:rPr>
                <w:rFonts w:ascii="Times New Roman"/>
                <w:b w:val="false"/>
                <w:i w:val="false"/>
                <w:color w:val="000000"/>
                <w:sz w:val="20"/>
              </w:rPr>
              <w:t>
   18.13. Производство АФС или промежуточной продукции из клеточных культур или методом ферментации включает в себя такие процессы, как культивирование клеток или экстрагирование и очистка материала, полученного от живых организмов. Следует отметить, что эти процессы включают дополнительные стадии, являющиеся частью производственного процесса, такие как физико-химическая модификация. Используемое сырье - среды, буферные компоненты - обеспечивает возможность роста контаминирующих микроорганизмов. В зависимости от источника, способа получения и предполагаемого применения АФС или промежуточной продукции осуществляют контроль бионагрузки, контаминации вирусами и (или) эндотоксинами во время производства и мониторинга процесса на соответствующих стадиях.</w:t>
            </w:r>
          </w:p>
          <w:p>
            <w:pPr>
              <w:spacing w:after="20"/>
              <w:ind w:left="20"/>
              <w:jc w:val="both"/>
            </w:pPr>
            <w:r>
              <w:rPr>
                <w:rFonts w:ascii="Times New Roman"/>
                <w:b w:val="false"/>
                <w:i w:val="false"/>
                <w:color w:val="000000"/>
                <w:sz w:val="20"/>
              </w:rPr>
              <w:t xml:space="preserve">
   18.14. Для обеспечения качества промежуточной продукции и (или) АФС на всех стадиях производства устанавливается надлежащий контроль. Хотя часть II настоящего Стандарта применяется, начиная со стадии культивирования клеток или ферментации, предшествующие стадии, например, создание банка клеток осуществляют при надлежащем производственном контроле. Часть II настоящего Стандарта охватывает культивирование клеток или ферментацию, начиная с того момента, когда из банка клеток извлекают флакон с культурой клеток для использования в производстве. </w:t>
            </w:r>
          </w:p>
          <w:p>
            <w:pPr>
              <w:spacing w:after="20"/>
              <w:ind w:left="20"/>
              <w:jc w:val="both"/>
            </w:pPr>
            <w:r>
              <w:rPr>
                <w:rFonts w:ascii="Times New Roman"/>
                <w:b w:val="false"/>
                <w:i w:val="false"/>
                <w:color w:val="000000"/>
                <w:sz w:val="20"/>
              </w:rPr>
              <w:t xml:space="preserve">
   18.15. Для сведения к минимуму риска контаминации используют надлежащее оборудование и проводят контроль производственной среды. Критерии приемлемости для качества производственной среды и частота контроля зависят от стадии и условий технологического процесса - открытые, закрытые или изолированные системы. </w:t>
            </w:r>
          </w:p>
          <w:p>
            <w:pPr>
              <w:spacing w:after="20"/>
              <w:ind w:left="20"/>
              <w:jc w:val="both"/>
            </w:pPr>
            <w:r>
              <w:rPr>
                <w:rFonts w:ascii="Times New Roman"/>
                <w:b w:val="false"/>
                <w:i w:val="false"/>
                <w:color w:val="000000"/>
                <w:sz w:val="20"/>
              </w:rPr>
              <w:t>
   18.16. При технологическом контроле учитывают:</w:t>
            </w:r>
          </w:p>
          <w:p>
            <w:pPr>
              <w:spacing w:after="20"/>
              <w:ind w:left="20"/>
              <w:jc w:val="both"/>
            </w:pPr>
            <w:r>
              <w:rPr>
                <w:rFonts w:ascii="Times New Roman"/>
                <w:b w:val="false"/>
                <w:i w:val="false"/>
                <w:color w:val="000000"/>
                <w:sz w:val="20"/>
              </w:rPr>
              <w:t>
   поддержание рабочего банка клеток, если он имеется;</w:t>
            </w:r>
          </w:p>
          <w:p>
            <w:pPr>
              <w:spacing w:after="20"/>
              <w:ind w:left="20"/>
              <w:jc w:val="both"/>
            </w:pPr>
            <w:r>
              <w:rPr>
                <w:rFonts w:ascii="Times New Roman"/>
                <w:b w:val="false"/>
                <w:i w:val="false"/>
                <w:color w:val="000000"/>
                <w:sz w:val="20"/>
              </w:rPr>
              <w:t>
   правильный посев и рост культуры;</w:t>
            </w:r>
          </w:p>
          <w:p>
            <w:pPr>
              <w:spacing w:after="20"/>
              <w:ind w:left="20"/>
              <w:jc w:val="both"/>
            </w:pPr>
            <w:r>
              <w:rPr>
                <w:rFonts w:ascii="Times New Roman"/>
                <w:b w:val="false"/>
                <w:i w:val="false"/>
                <w:color w:val="000000"/>
                <w:sz w:val="20"/>
              </w:rPr>
              <w:t>
   контроль критических рабочих параметров во время культивирования клеток или ферментации;</w:t>
            </w:r>
          </w:p>
          <w:p>
            <w:pPr>
              <w:spacing w:after="20"/>
              <w:ind w:left="20"/>
              <w:jc w:val="both"/>
            </w:pPr>
            <w:r>
              <w:rPr>
                <w:rFonts w:ascii="Times New Roman"/>
                <w:b w:val="false"/>
                <w:i w:val="false"/>
                <w:color w:val="000000"/>
                <w:sz w:val="20"/>
              </w:rPr>
              <w:t>
   контроль процесса роста клеток, их жизнеспособности для большинства процессов культивирования клеток и продуктивности, когда это целесообразно;</w:t>
            </w:r>
          </w:p>
          <w:p>
            <w:pPr>
              <w:spacing w:after="20"/>
              <w:ind w:left="20"/>
              <w:jc w:val="both"/>
            </w:pPr>
            <w:r>
              <w:rPr>
                <w:rFonts w:ascii="Times New Roman"/>
                <w:b w:val="false"/>
                <w:i w:val="false"/>
                <w:color w:val="000000"/>
                <w:sz w:val="20"/>
              </w:rPr>
              <w:t>
   процедуры сбора и очистки, при которых происходит удаление клеток, клеточных остатков и компонентов сред с одновременной защитой промежуточной продукции или АФС от контаминации, особенно контаминации микробиологической природы и от ухудшения качества;</w:t>
            </w:r>
          </w:p>
          <w:p>
            <w:pPr>
              <w:spacing w:after="20"/>
              <w:ind w:left="20"/>
              <w:jc w:val="both"/>
            </w:pPr>
            <w:r>
              <w:rPr>
                <w:rFonts w:ascii="Times New Roman"/>
                <w:b w:val="false"/>
                <w:i w:val="false"/>
                <w:color w:val="000000"/>
                <w:sz w:val="20"/>
              </w:rPr>
              <w:t>
   контроль бионагрузки и при необходимости уровней эндотоксинов на соответствующих стадиях технологического процесса;</w:t>
            </w:r>
          </w:p>
          <w:p>
            <w:pPr>
              <w:spacing w:after="20"/>
              <w:ind w:left="20"/>
              <w:jc w:val="both"/>
            </w:pPr>
            <w:r>
              <w:rPr>
                <w:rFonts w:ascii="Times New Roman"/>
                <w:b w:val="false"/>
                <w:i w:val="false"/>
                <w:color w:val="000000"/>
                <w:sz w:val="20"/>
              </w:rPr>
              <w:t>
   вопросы вирусной безопасности.</w:t>
            </w:r>
          </w:p>
          <w:p>
            <w:pPr>
              <w:spacing w:after="20"/>
              <w:ind w:left="20"/>
              <w:jc w:val="both"/>
            </w:pPr>
            <w:r>
              <w:rPr>
                <w:rFonts w:ascii="Times New Roman"/>
                <w:b w:val="false"/>
                <w:i w:val="false"/>
                <w:color w:val="000000"/>
                <w:sz w:val="20"/>
              </w:rPr>
              <w:t>
   18.17. Если целесообразно, то доказывают, что компоненты сред, белки клеток-хозяев, другие связанные с процессом и сопутствующие продукции примеси и контаминанты удалены.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Поддержание банка клеток и ведение записей</w:t>
            </w:r>
          </w:p>
          <w:p>
            <w:pPr>
              <w:spacing w:after="20"/>
              <w:ind w:left="20"/>
              <w:jc w:val="both"/>
            </w:pPr>
            <w:r>
              <w:rPr>
                <w:rFonts w:ascii="Times New Roman"/>
                <w:b w:val="false"/>
                <w:i w:val="false"/>
                <w:color w:val="000000"/>
                <w:sz w:val="20"/>
              </w:rPr>
              <w:t>
   18.20. Доступ к банкам клеток разрешается только лицам, имеющим на это полномочия.</w:t>
            </w:r>
          </w:p>
          <w:p>
            <w:pPr>
              <w:spacing w:after="20"/>
              <w:ind w:left="20"/>
              <w:jc w:val="both"/>
            </w:pPr>
            <w:r>
              <w:rPr>
                <w:rFonts w:ascii="Times New Roman"/>
                <w:b w:val="false"/>
                <w:i w:val="false"/>
                <w:color w:val="000000"/>
                <w:sz w:val="20"/>
              </w:rPr>
              <w:t>
   18.21. Банки клеток хранятся в условиях, специально предназначенных для обеспечения поддержания жизнеспособности клеток и предотвращения контаминации.</w:t>
            </w:r>
          </w:p>
          <w:p>
            <w:pPr>
              <w:spacing w:after="20"/>
              <w:ind w:left="20"/>
              <w:jc w:val="both"/>
            </w:pPr>
            <w:r>
              <w:rPr>
                <w:rFonts w:ascii="Times New Roman"/>
                <w:b w:val="false"/>
                <w:i w:val="false"/>
                <w:color w:val="000000"/>
                <w:sz w:val="20"/>
              </w:rPr>
              <w:t>
   18.22. Ведутся и сохраняются записи использования и условий хранения флаконов из банков клеток.</w:t>
            </w:r>
          </w:p>
          <w:p>
            <w:pPr>
              <w:spacing w:after="20"/>
              <w:ind w:left="20"/>
              <w:jc w:val="both"/>
            </w:pPr>
            <w:r>
              <w:rPr>
                <w:rFonts w:ascii="Times New Roman"/>
                <w:b w:val="false"/>
                <w:i w:val="false"/>
                <w:color w:val="000000"/>
                <w:sz w:val="20"/>
              </w:rPr>
              <w:t>
   18.23. В случае необходимости банки клеток периодически проверяются с целью определения их пригодности для использования.</w:t>
            </w:r>
          </w:p>
          <w:p>
            <w:pPr>
              <w:spacing w:after="20"/>
              <w:ind w:left="20"/>
              <w:jc w:val="both"/>
            </w:pPr>
            <w:r>
              <w:rPr>
                <w:rFonts w:ascii="Times New Roman"/>
                <w:b w:val="false"/>
                <w:i w:val="false"/>
                <w:color w:val="000000"/>
                <w:sz w:val="20"/>
              </w:rPr>
              <w:t>
   18.24. Более подробная информация по поддержанию банков клеток изложена в соответствующих нормативных правовых актах.</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 Культивирование клеток или ферментация</w:t>
            </w:r>
          </w:p>
          <w:p>
            <w:pPr>
              <w:spacing w:after="20"/>
              <w:ind w:left="20"/>
              <w:jc w:val="both"/>
            </w:pPr>
            <w:r>
              <w:rPr>
                <w:rFonts w:ascii="Times New Roman"/>
                <w:b w:val="false"/>
                <w:i w:val="false"/>
                <w:color w:val="000000"/>
                <w:sz w:val="20"/>
              </w:rPr>
              <w:t xml:space="preserve">
   18.30. Если клеточные субстраты, среды, буферы и газы необходимо добавлять в асептических условиях, то по возможности используют закрытые или изолированные системы. Если посев в первоначальной емкости или последующие переносы или добавления сред, буферов выполняют в открытых емкостях, то осуществляют контроль и соответствующие процедуры для сведения к минимуму риска контаминации. </w:t>
            </w:r>
          </w:p>
          <w:p>
            <w:pPr>
              <w:spacing w:after="20"/>
              <w:ind w:left="20"/>
              <w:jc w:val="both"/>
            </w:pPr>
            <w:r>
              <w:rPr>
                <w:rFonts w:ascii="Times New Roman"/>
                <w:b w:val="false"/>
                <w:i w:val="false"/>
                <w:color w:val="000000"/>
                <w:sz w:val="20"/>
              </w:rPr>
              <w:t>
   18.31. Если микробная контаминация влияет на качество АФС, то операции с использованием открытых емкостей проводят в боксе, обеспечивающем биологическую безопасность, или в производственной среде, контролируемой таким же образом.</w:t>
            </w:r>
          </w:p>
          <w:p>
            <w:pPr>
              <w:spacing w:after="20"/>
              <w:ind w:left="20"/>
              <w:jc w:val="both"/>
            </w:pPr>
            <w:r>
              <w:rPr>
                <w:rFonts w:ascii="Times New Roman"/>
                <w:b w:val="false"/>
                <w:i w:val="false"/>
                <w:color w:val="000000"/>
                <w:sz w:val="20"/>
              </w:rPr>
              <w:t>
   18.32. При работе с культурами клеток персонал одевается в специальную одежду и соблюдает специальные меры предосторожности.</w:t>
            </w:r>
          </w:p>
          <w:p>
            <w:pPr>
              <w:spacing w:after="20"/>
              <w:ind w:left="20"/>
              <w:jc w:val="both"/>
            </w:pPr>
            <w:r>
              <w:rPr>
                <w:rFonts w:ascii="Times New Roman"/>
                <w:b w:val="false"/>
                <w:i w:val="false"/>
                <w:color w:val="000000"/>
                <w:sz w:val="20"/>
              </w:rPr>
              <w:t>
   18.33. Для обеспечения постоянства установленного процесса контролируют критические рабочие параметры, например, температуру, рН, скорость перемешивания, добавление газов, давление. Также контролируют рост, жизнеспособность для большинства процессов культивирования клеток и, когда это целесообразно, продуктивность клеток. Критические параметры будут различными от процесса к процессу, и для классической ферментации может не потребоваться контроль определенных параметров.</w:t>
            </w:r>
          </w:p>
          <w:p>
            <w:pPr>
              <w:spacing w:after="20"/>
              <w:ind w:left="20"/>
              <w:jc w:val="both"/>
            </w:pPr>
            <w:r>
              <w:rPr>
                <w:rFonts w:ascii="Times New Roman"/>
                <w:b w:val="false"/>
                <w:i w:val="false"/>
                <w:color w:val="000000"/>
                <w:sz w:val="20"/>
              </w:rPr>
              <w:t>
   18.34. Оборудование, используемое для культивирования клеток, после использования очищается и стерилизуется. При необходимости, оборудование для проведения ферментации также очищается, дезинфицируется  или стерилизуется.</w:t>
            </w:r>
          </w:p>
          <w:p>
            <w:pPr>
              <w:spacing w:after="20"/>
              <w:ind w:left="20"/>
              <w:jc w:val="both"/>
            </w:pPr>
            <w:r>
              <w:rPr>
                <w:rFonts w:ascii="Times New Roman"/>
                <w:b w:val="false"/>
                <w:i w:val="false"/>
                <w:color w:val="000000"/>
                <w:sz w:val="20"/>
              </w:rPr>
              <w:t>
   18.35. Питательные среды перед их использованием стерилизуют, если это целесообразно для предотвращения неблагоприятного влияния на качество АФС.</w:t>
            </w:r>
          </w:p>
          <w:p>
            <w:pPr>
              <w:spacing w:after="20"/>
              <w:ind w:left="20"/>
              <w:jc w:val="both"/>
            </w:pPr>
            <w:r>
              <w:rPr>
                <w:rFonts w:ascii="Times New Roman"/>
                <w:b w:val="false"/>
                <w:i w:val="false"/>
                <w:color w:val="000000"/>
                <w:sz w:val="20"/>
              </w:rPr>
              <w:t>
   18.36. В наличии имеются соответствующие процедуры для выявления контаминации и определения действий, которые необходимо осуществить. К ним относятся процедуры определения влияния контаминации на продукцию и процедуры деконтаминации оборудования и возвращения его к состоянию, позволяющему использовать это оборудование для производства последующих серий. Посторонние организмы, обнаруженные в ходе процессов ферментации, при необходимости идентифицируют и оценивают влияние их присутствия на качество продукции. Результаты таких оценок принимают во внимание при решении вопроса о возможности использования полученного материала.</w:t>
            </w:r>
          </w:p>
          <w:p>
            <w:pPr>
              <w:spacing w:after="20"/>
              <w:ind w:left="20"/>
              <w:jc w:val="both"/>
            </w:pPr>
            <w:r>
              <w:rPr>
                <w:rFonts w:ascii="Times New Roman"/>
                <w:b w:val="false"/>
                <w:i w:val="false"/>
                <w:color w:val="000000"/>
                <w:sz w:val="20"/>
              </w:rPr>
              <w:t>
   18.37. Записи случаев выявления контаминации сохраняются.</w:t>
            </w:r>
          </w:p>
          <w:p>
            <w:pPr>
              <w:spacing w:after="20"/>
              <w:ind w:left="20"/>
              <w:jc w:val="both"/>
            </w:pPr>
            <w:r>
              <w:rPr>
                <w:rFonts w:ascii="Times New Roman"/>
                <w:b w:val="false"/>
                <w:i w:val="false"/>
                <w:color w:val="000000"/>
                <w:sz w:val="20"/>
              </w:rPr>
              <w:t>
   18.38. После очистки универсального оборудования, предназначенного для производства многих видов продукции, между циклами по производству разной продукции требуется проведение дополнительных испытаний с целью сведения к минимуму риска перекрестной контаминации.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 Сбор, выделение и очистка</w:t>
            </w:r>
          </w:p>
          <w:p>
            <w:pPr>
              <w:spacing w:after="20"/>
              <w:ind w:left="20"/>
              <w:jc w:val="both"/>
            </w:pPr>
            <w:r>
              <w:rPr>
                <w:rFonts w:ascii="Times New Roman"/>
                <w:b w:val="false"/>
                <w:i w:val="false"/>
                <w:color w:val="000000"/>
                <w:sz w:val="20"/>
              </w:rPr>
              <w:t>
   18.40. Стадии сбора, как для удаления клеток или клеточных компонентов, так и для сбора клеточных компонентов после разрушения, осуществляют с помощью оборудования и в зонах, предназначенных для сведения к минимуму риска контаминации.</w:t>
            </w:r>
          </w:p>
          <w:p>
            <w:pPr>
              <w:spacing w:after="20"/>
              <w:ind w:left="20"/>
              <w:jc w:val="both"/>
            </w:pPr>
            <w:r>
              <w:rPr>
                <w:rFonts w:ascii="Times New Roman"/>
                <w:b w:val="false"/>
                <w:i w:val="false"/>
                <w:color w:val="000000"/>
                <w:sz w:val="20"/>
              </w:rPr>
              <w:t xml:space="preserve">
   18.41. Процедуры сбора и очистки, позволяющие удалять или инактивировать микроорганизм-продуцент, клеточные остатки и компоненты сред при сведении к минимуму разрушения, контаминации и снижения качества, обеспечивают получение промежуточной продукции или АФС постоянного качества. </w:t>
            </w:r>
          </w:p>
          <w:p>
            <w:pPr>
              <w:spacing w:after="20"/>
              <w:ind w:left="20"/>
              <w:jc w:val="both"/>
            </w:pPr>
            <w:r>
              <w:rPr>
                <w:rFonts w:ascii="Times New Roman"/>
                <w:b w:val="false"/>
                <w:i w:val="false"/>
                <w:color w:val="000000"/>
                <w:sz w:val="20"/>
              </w:rPr>
              <w:t>
   18.42. После использования все оборудование очищается и подвергается санитарной обработке в установленном порядке. Производство нескольких последовательных серий промежуточной продукции и АФС без очистки оборудования допускается только в том случае, если это не оказывает влияния на их качество.</w:t>
            </w:r>
          </w:p>
          <w:p>
            <w:pPr>
              <w:spacing w:after="20"/>
              <w:ind w:left="20"/>
              <w:jc w:val="both"/>
            </w:pPr>
            <w:r>
              <w:rPr>
                <w:rFonts w:ascii="Times New Roman"/>
                <w:b w:val="false"/>
                <w:i w:val="false"/>
                <w:color w:val="000000"/>
                <w:sz w:val="20"/>
              </w:rPr>
              <w:t>
   18.43. При использовании открытых систем очистка проводится в контролируемых условиях производственной среды, обеспечивающих сохранение качества продукции.</w:t>
            </w:r>
          </w:p>
          <w:p>
            <w:pPr>
              <w:spacing w:after="20"/>
              <w:ind w:left="20"/>
              <w:jc w:val="both"/>
            </w:pPr>
            <w:r>
              <w:rPr>
                <w:rFonts w:ascii="Times New Roman"/>
                <w:b w:val="false"/>
                <w:i w:val="false"/>
                <w:color w:val="000000"/>
                <w:sz w:val="20"/>
              </w:rPr>
              <w:t>
   18.44. Если оборудование используется для производства различных видов продукции, то применяются дополнительные виды контроля, такие как использование специальных хроматографических смол или проведение дополнительных испытаний.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Стадии удаления или инактивации вирусов</w:t>
            </w:r>
          </w:p>
          <w:p>
            <w:pPr>
              <w:spacing w:after="20"/>
              <w:ind w:left="20"/>
              <w:jc w:val="both"/>
            </w:pPr>
            <w:r>
              <w:rPr>
                <w:rFonts w:ascii="Times New Roman"/>
                <w:b w:val="false"/>
                <w:i w:val="false"/>
                <w:color w:val="000000"/>
                <w:sz w:val="20"/>
              </w:rPr>
              <w:t>
   18.50. Для получения более конкретной информации пользуются соответствующими нормативными правовыми актами.</w:t>
            </w:r>
          </w:p>
          <w:p>
            <w:pPr>
              <w:spacing w:after="20"/>
              <w:ind w:left="20"/>
              <w:jc w:val="both"/>
            </w:pPr>
            <w:r>
              <w:rPr>
                <w:rFonts w:ascii="Times New Roman"/>
                <w:b w:val="false"/>
                <w:i w:val="false"/>
                <w:color w:val="000000"/>
                <w:sz w:val="20"/>
              </w:rPr>
              <w:t>
   18.51. Стадии удаления и инактивации вирусов являются критическими стадиями обработки для некоторых процессов, и их осуществляют в пределах параметров, прошедших валидацию.</w:t>
            </w:r>
          </w:p>
          <w:p>
            <w:pPr>
              <w:spacing w:after="20"/>
              <w:ind w:left="20"/>
              <w:jc w:val="both"/>
            </w:pPr>
            <w:r>
              <w:rPr>
                <w:rFonts w:ascii="Times New Roman"/>
                <w:b w:val="false"/>
                <w:i w:val="false"/>
                <w:color w:val="000000"/>
                <w:sz w:val="20"/>
              </w:rPr>
              <w:t>
   18.52. Принимаются надлежащие меры предосторожности для предотвращения потенциальной контаминации вирусами продукции, прошедшей стадии удаления или инактивации вирусов, от продукции, которая эти стадии не прошла. Поэтому обработку в открытых системах осуществляют в зонах, отделенных от других этапов технологического процесса и имеющих отдельные системы обработки воздуха.</w:t>
            </w:r>
          </w:p>
          <w:p>
            <w:pPr>
              <w:spacing w:after="20"/>
              <w:ind w:left="20"/>
              <w:jc w:val="both"/>
            </w:pPr>
            <w:r>
              <w:rPr>
                <w:rFonts w:ascii="Times New Roman"/>
                <w:b w:val="false"/>
                <w:i w:val="false"/>
                <w:color w:val="000000"/>
                <w:sz w:val="20"/>
              </w:rPr>
              <w:t>
   18.53. Одно и то же оборудование не используют на различных стадиях очистки. Однако если необходимо использовать одно и то же оборудование, перед повторным использованием его надлежащим образом очищают и подвергают санитарной обработке. Для предотвращения возможного переноса вирусов через оборудование или производственную среду с предыдущих стадий  предпринимают надлежащие меры предосторожности.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АФС, предназначенные для клинических исследований или испытаний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Общие требования</w:t>
            </w:r>
          </w:p>
          <w:p>
            <w:pPr>
              <w:spacing w:after="20"/>
              <w:ind w:left="20"/>
              <w:jc w:val="both"/>
            </w:pPr>
            <w:r>
              <w:rPr>
                <w:rFonts w:ascii="Times New Roman"/>
                <w:b w:val="false"/>
                <w:i w:val="false"/>
                <w:color w:val="000000"/>
                <w:sz w:val="20"/>
              </w:rPr>
              <w:t>
   19.10. Не все виды контроля, описанные в предыдущих разделах части II настоящего Стандарта, применимы при производстве оригинальной АФС, предназначенной для проведения исследований во время ее разработки. В настоящем разделе приведены специальные требования к этим АФС.</w:t>
            </w:r>
          </w:p>
          <w:p>
            <w:pPr>
              <w:spacing w:after="20"/>
              <w:ind w:left="20"/>
              <w:jc w:val="both"/>
            </w:pPr>
            <w:r>
              <w:rPr>
                <w:rFonts w:ascii="Times New Roman"/>
                <w:b w:val="false"/>
                <w:i w:val="false"/>
                <w:color w:val="000000"/>
                <w:sz w:val="20"/>
              </w:rPr>
              <w:t xml:space="preserve">
   19.11. Контроль, осуществляемый при производстве АФС, предназначенных для клинических исследований, соответствует фазе разработки лекарственного препарата, в состав которого входит АФС. Процесс и методики исследований гибкие для обеспечения возможности внесения изменений по мере накопления знаний о процессе и продвижения исследований лекарственного препарата от доклинических исследований к клиническим исследованиям. Когда разработка лекарственного препарата достигает стадии, на которой АФС получают для применения в лекарственном препарате, предназначенном для клинических исследований, производители гарантируют, что АФС производятся с помощью подходящих технических средств с использованием соответствующих процедур производства и контроля, необходимых для обеспечения качества АФС.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Качество</w:t>
            </w:r>
          </w:p>
          <w:p>
            <w:pPr>
              <w:spacing w:after="20"/>
              <w:ind w:left="20"/>
              <w:jc w:val="both"/>
            </w:pPr>
            <w:r>
              <w:rPr>
                <w:rFonts w:ascii="Times New Roman"/>
                <w:b w:val="false"/>
                <w:i w:val="false"/>
                <w:color w:val="000000"/>
                <w:sz w:val="20"/>
              </w:rPr>
              <w:t>
   19.20. При производстве АФС, предназначенных для клинических исследований, применяют соответствующие требования настоящего Стандарта и надлежащую процедуру одобрения каждой серии.</w:t>
            </w:r>
          </w:p>
          <w:p>
            <w:pPr>
              <w:spacing w:after="20"/>
              <w:ind w:left="20"/>
              <w:jc w:val="both"/>
            </w:pPr>
            <w:r>
              <w:rPr>
                <w:rFonts w:ascii="Times New Roman"/>
                <w:b w:val="false"/>
                <w:i w:val="false"/>
                <w:color w:val="000000"/>
                <w:sz w:val="20"/>
              </w:rPr>
              <w:t>
   19.21. Организуется независимый от производства отдел (отделы) качества для одобрения или отклонения каждой серии АФС, предназначенной для клинических исследований.</w:t>
            </w:r>
          </w:p>
          <w:p>
            <w:pPr>
              <w:spacing w:after="20"/>
              <w:ind w:left="20"/>
              <w:jc w:val="both"/>
            </w:pPr>
            <w:r>
              <w:rPr>
                <w:rFonts w:ascii="Times New Roman"/>
                <w:b w:val="false"/>
                <w:i w:val="false"/>
                <w:color w:val="000000"/>
                <w:sz w:val="20"/>
              </w:rPr>
              <w:t>
   19.22. Некоторые из функций по проведению испытаний, выполняемых обычно отделом (отделами) качества, осуществляют в других подразделениях.</w:t>
            </w:r>
          </w:p>
          <w:p>
            <w:pPr>
              <w:spacing w:after="20"/>
              <w:ind w:left="20"/>
              <w:jc w:val="both"/>
            </w:pPr>
            <w:r>
              <w:rPr>
                <w:rFonts w:ascii="Times New Roman"/>
                <w:b w:val="false"/>
                <w:i w:val="false"/>
                <w:color w:val="000000"/>
                <w:sz w:val="20"/>
              </w:rPr>
              <w:t xml:space="preserve">
   19.23. Мероприятия в отношении качества включают систему испытаний исходного сырья, упаковочных материалов, промежуточной продукции и АФС. </w:t>
            </w:r>
          </w:p>
          <w:p>
            <w:pPr>
              <w:spacing w:after="20"/>
              <w:ind w:left="20"/>
              <w:jc w:val="both"/>
            </w:pPr>
            <w:r>
              <w:rPr>
                <w:rFonts w:ascii="Times New Roman"/>
                <w:b w:val="false"/>
                <w:i w:val="false"/>
                <w:color w:val="000000"/>
                <w:sz w:val="20"/>
              </w:rPr>
              <w:t xml:space="preserve">
   19.24. Проблемы, связанные с производством и качеством, анализируются. </w:t>
            </w:r>
          </w:p>
          <w:p>
            <w:pPr>
              <w:spacing w:after="20"/>
              <w:ind w:left="20"/>
              <w:jc w:val="both"/>
            </w:pPr>
            <w:r>
              <w:rPr>
                <w:rFonts w:ascii="Times New Roman"/>
                <w:b w:val="false"/>
                <w:i w:val="false"/>
                <w:color w:val="000000"/>
                <w:sz w:val="20"/>
              </w:rPr>
              <w:t xml:space="preserve">
   19.25. Текст маркировки АФС, предназначенных для клинических исследований, надлежащим образом контролируется, в нем указывается, что вещество предназначено для исследовательских целей.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 Помещения и оборудование</w:t>
            </w:r>
          </w:p>
          <w:p>
            <w:pPr>
              <w:spacing w:after="20"/>
              <w:ind w:left="20"/>
              <w:jc w:val="both"/>
            </w:pPr>
            <w:r>
              <w:rPr>
                <w:rFonts w:ascii="Times New Roman"/>
                <w:b w:val="false"/>
                <w:i w:val="false"/>
                <w:color w:val="000000"/>
                <w:sz w:val="20"/>
              </w:rPr>
              <w:t>
   19.30. Во время всех фаз клинического исследования, включая использование опытных участков или лабораторий для производства серий АФС, предназначенных для клинических исследований, предусматриваются процедуры, гарантирующие, что оборудование прокалибровано, очищено и соответствует своему назначению.</w:t>
            </w:r>
          </w:p>
          <w:p>
            <w:pPr>
              <w:spacing w:after="20"/>
              <w:ind w:left="20"/>
              <w:jc w:val="both"/>
            </w:pPr>
            <w:r>
              <w:rPr>
                <w:rFonts w:ascii="Times New Roman"/>
                <w:b w:val="false"/>
                <w:i w:val="false"/>
                <w:color w:val="000000"/>
                <w:sz w:val="20"/>
              </w:rPr>
              <w:t>
   19.31. Порядок эксплуатации оборудования гарантирует проведение работ с исходным сырьем таким образом, чтобы свести к минимуму риск контаминации и перекрестной контаминации.</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Контроль исходного сырья</w:t>
            </w:r>
          </w:p>
          <w:p>
            <w:pPr>
              <w:spacing w:after="20"/>
              <w:ind w:left="20"/>
              <w:jc w:val="both"/>
            </w:pPr>
            <w:r>
              <w:rPr>
                <w:rFonts w:ascii="Times New Roman"/>
                <w:b w:val="false"/>
                <w:i w:val="false"/>
                <w:color w:val="000000"/>
                <w:sz w:val="20"/>
              </w:rPr>
              <w:t>
   19.40. Исходное сырье, используемое при производстве АФС, предназначенных для клинических исследований, оценивают посредством проведения испытаний или получают вместе с результатами анализа, проведенного поставщиком, и проводят испытание на подлинность. Для опасных веществ достаточно анализа, проведенного поставщиком.</w:t>
            </w:r>
          </w:p>
          <w:p>
            <w:pPr>
              <w:spacing w:after="20"/>
              <w:ind w:left="20"/>
              <w:jc w:val="both"/>
            </w:pPr>
            <w:r>
              <w:rPr>
                <w:rFonts w:ascii="Times New Roman"/>
                <w:b w:val="false"/>
                <w:i w:val="false"/>
                <w:color w:val="000000"/>
                <w:sz w:val="20"/>
              </w:rPr>
              <w:t>
   19.41. В некоторых случаях пригодность исходного сырья определяют  перед использованием на основании его пригодности при проведении реакции небольшого масштаба, то есть, испытания функциональной пригодности, что предпочтительнее, чем только одни аналитические испытания.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Производство</w:t>
            </w:r>
          </w:p>
          <w:p>
            <w:pPr>
              <w:spacing w:after="20"/>
              <w:ind w:left="20"/>
              <w:jc w:val="both"/>
            </w:pPr>
            <w:r>
              <w:rPr>
                <w:rFonts w:ascii="Times New Roman"/>
                <w:b w:val="false"/>
                <w:i w:val="false"/>
                <w:color w:val="000000"/>
                <w:sz w:val="20"/>
              </w:rPr>
              <w:t>
   19.50. Производство АФС, предназначенных для клинических исследований, фиксируют в лабораторных журналах, в записях на серию или с помощью других подходящих средств. Эти документы включают информацию об использовании производственного сырья, об оборудовании, технологическом процессе, а также научные наблюдения.</w:t>
            </w:r>
          </w:p>
          <w:p>
            <w:pPr>
              <w:spacing w:after="20"/>
              <w:ind w:left="20"/>
              <w:jc w:val="both"/>
            </w:pPr>
            <w:r>
              <w:rPr>
                <w:rFonts w:ascii="Times New Roman"/>
                <w:b w:val="false"/>
                <w:i w:val="false"/>
                <w:color w:val="000000"/>
                <w:sz w:val="20"/>
              </w:rPr>
              <w:t>
   19.51. Ожидаемые выходы продукции могут различаться более значительно и быть менее определенными, чем ожидаемые выходы продукции в процессах, выполняемых в промышленном масштабе. Расследование причин отклонений от величины ожидаемого выхода не требуется.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Валидация</w:t>
            </w:r>
          </w:p>
          <w:p>
            <w:pPr>
              <w:spacing w:after="20"/>
              <w:ind w:left="20"/>
              <w:jc w:val="both"/>
            </w:pPr>
            <w:r>
              <w:rPr>
                <w:rFonts w:ascii="Times New Roman"/>
                <w:b w:val="false"/>
                <w:i w:val="false"/>
                <w:color w:val="000000"/>
                <w:sz w:val="20"/>
              </w:rPr>
              <w:t>
   19.60. Если произведена одна серия АФС или изменен процесс во время разработки АФС и воспроизводство серий затруднительно или неточно, то валидация процесса производства АФС, предназначенной для клинических исследований, обычно нецелесообразна. На этой стадии разработки качество АФС обеспечивается сочетанием контроля, калибровки и при необходимости квалификации оборудования.</w:t>
            </w:r>
          </w:p>
          <w:p>
            <w:pPr>
              <w:spacing w:after="20"/>
              <w:ind w:left="20"/>
              <w:jc w:val="both"/>
            </w:pPr>
            <w:r>
              <w:rPr>
                <w:rFonts w:ascii="Times New Roman"/>
                <w:b w:val="false"/>
                <w:i w:val="false"/>
                <w:color w:val="000000"/>
                <w:sz w:val="20"/>
              </w:rPr>
              <w:t>
   19.61. Если серии производят для коммерческого использования, даже при условии, что такие серии производят в опытном или опытно-промышленном масштабе, валидацию процесса проводят в соответствии с разделом 12 части II настоящего Стандарта.</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Изменения</w:t>
            </w:r>
          </w:p>
          <w:p>
            <w:pPr>
              <w:spacing w:after="20"/>
              <w:ind w:left="20"/>
              <w:jc w:val="both"/>
            </w:pPr>
            <w:r>
              <w:rPr>
                <w:rFonts w:ascii="Times New Roman"/>
                <w:b w:val="false"/>
                <w:i w:val="false"/>
                <w:color w:val="000000"/>
                <w:sz w:val="20"/>
              </w:rPr>
              <w:t>
   19.70. Изменения вносят во время разработки по мере приобретения новых знаний и роста масштаба производства. Каждое изменение в технологическом процессе, спецификациях или методиках испытаний надлежащим образом регистрируется.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 Лабораторный контроль</w:t>
            </w:r>
          </w:p>
          <w:p>
            <w:pPr>
              <w:spacing w:after="20"/>
              <w:ind w:left="20"/>
              <w:jc w:val="both"/>
            </w:pPr>
            <w:r>
              <w:rPr>
                <w:rFonts w:ascii="Times New Roman"/>
                <w:b w:val="false"/>
                <w:i w:val="false"/>
                <w:color w:val="000000"/>
                <w:sz w:val="20"/>
              </w:rPr>
              <w:t>
   19.80. Несмотря на то, что аналитические методики, используемые для оценки серии АФС, предназначенной для клинических исследований, могут еще не пройти валидацию, научная обоснованность их обязательна.</w:t>
            </w:r>
          </w:p>
          <w:p>
            <w:pPr>
              <w:spacing w:after="20"/>
              <w:ind w:left="20"/>
              <w:jc w:val="both"/>
            </w:pPr>
            <w:r>
              <w:rPr>
                <w:rFonts w:ascii="Times New Roman"/>
                <w:b w:val="false"/>
                <w:i w:val="false"/>
                <w:color w:val="000000"/>
                <w:sz w:val="20"/>
              </w:rPr>
              <w:t>
   19.81. Для хранения архивных образцов всех серий организовывается система. Эта система обеспечивает сохранение достаточного количества каждого архивного образца в течение определенного периода времени после одобрения, завершения или отзыва заявки на регистрацию.</w:t>
            </w:r>
          </w:p>
          <w:p>
            <w:pPr>
              <w:spacing w:after="20"/>
              <w:ind w:left="20"/>
              <w:jc w:val="both"/>
            </w:pPr>
            <w:r>
              <w:rPr>
                <w:rFonts w:ascii="Times New Roman"/>
                <w:b w:val="false"/>
                <w:i w:val="false"/>
                <w:color w:val="000000"/>
                <w:sz w:val="20"/>
              </w:rPr>
              <w:t>
   19.82. Определение даты истечения срока годности и проведения повторных испытаний, как указано в подразделе 11.6 части II настоящего Стандарта, применимо по отношению к существующим АФС, предназначенным для клинических исследований. Для новых АФС, находящихся на ранних стадиях клинических исследований, требования, указанные в подразделе 11.6 части II настоящего Стандарта, обычно не применяются.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 Документация</w:t>
            </w:r>
          </w:p>
          <w:p>
            <w:pPr>
              <w:spacing w:after="20"/>
              <w:ind w:left="20"/>
              <w:jc w:val="both"/>
            </w:pPr>
            <w:r>
              <w:rPr>
                <w:rFonts w:ascii="Times New Roman"/>
                <w:b w:val="false"/>
                <w:i w:val="false"/>
                <w:color w:val="000000"/>
                <w:sz w:val="20"/>
              </w:rPr>
              <w:t>
   19.90. Система документации гарантирует, что информация, полученная в ходе разработки и производства АФС, предназначенных для клинических исследований, будет оформлена документально должным образом и доступна для использования.</w:t>
            </w:r>
          </w:p>
          <w:p>
            <w:pPr>
              <w:spacing w:after="20"/>
              <w:ind w:left="20"/>
              <w:jc w:val="both"/>
            </w:pPr>
            <w:r>
              <w:rPr>
                <w:rFonts w:ascii="Times New Roman"/>
                <w:b w:val="false"/>
                <w:i w:val="false"/>
                <w:color w:val="000000"/>
                <w:sz w:val="20"/>
              </w:rPr>
              <w:t>
   19.91. Разработка и применение аналитических методик, используемых для подтверждения выпуска серии АФС, предназначенной для клинических исследований, оформляют документально.</w:t>
            </w:r>
          </w:p>
          <w:p>
            <w:pPr>
              <w:spacing w:after="20"/>
              <w:ind w:left="20"/>
              <w:jc w:val="both"/>
            </w:pPr>
            <w:r>
              <w:rPr>
                <w:rFonts w:ascii="Times New Roman"/>
                <w:b w:val="false"/>
                <w:i w:val="false"/>
                <w:color w:val="000000"/>
                <w:sz w:val="20"/>
              </w:rPr>
              <w:t>
   19.92. Разрабатывается и внедряется система хранения записей по производству и контролю и соответствующей документации. Эта система обеспечивает хранение записей и документов в течение установленного периода времени после одобрения, завершения или отзыва заявки на регистрацию.</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Термины и определения</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 АФС - вещество  или смесь веществ, которое предназначено для использования в производстве  лекарственного препарата и при таком использовании становится его активным ингредиентом или действующим веществом. Такие вещества обладают фармакологическим или другим непосредственным действием; предназначенные для лечения, диагностики или профилактики заболеваний, для ухода, обработки и облегчения симптомов, оказывающие влияние на структуры или физиологические функции организма.</w:t>
            </w:r>
          </w:p>
          <w:p>
            <w:pPr>
              <w:spacing w:after="20"/>
              <w:ind w:left="20"/>
              <w:jc w:val="both"/>
            </w:pPr>
            <w:r>
              <w:rPr>
                <w:rFonts w:ascii="Times New Roman"/>
                <w:b w:val="false"/>
                <w:i w:val="false"/>
                <w:color w:val="000000"/>
                <w:sz w:val="20"/>
              </w:rPr>
              <w:t>
   Бионагрузка - уровень и вид микроорганизмов, которые могут присутствовать в исходном сырье, исходном сырье для производства АФС, промежуточной продукции или в АФС. Бионагрузку не следует считать контаминацией, если ее уровни не превышают установленные предельные значения или не обнаружены микроорганизмы, определяемые как недопустимые.</w:t>
            </w:r>
          </w:p>
          <w:p>
            <w:pPr>
              <w:spacing w:after="20"/>
              <w:ind w:left="20"/>
              <w:jc w:val="both"/>
            </w:pPr>
            <w:r>
              <w:rPr>
                <w:rFonts w:ascii="Times New Roman"/>
                <w:b w:val="false"/>
                <w:i w:val="false"/>
                <w:color w:val="000000"/>
                <w:sz w:val="20"/>
              </w:rPr>
              <w:t>
   Валидация  - документально оформленные действия, дающие высокую степень уверенности в том, что конкретный процесс, методика или система будут постоянно приводить к результатам, соответствующим заранее установленным критериям приемлемости.</w:t>
            </w:r>
          </w:p>
          <w:p>
            <w:pPr>
              <w:spacing w:after="20"/>
              <w:ind w:left="20"/>
              <w:jc w:val="both"/>
            </w:pPr>
            <w:r>
              <w:rPr>
                <w:rFonts w:ascii="Times New Roman"/>
                <w:b w:val="false"/>
                <w:i w:val="false"/>
                <w:color w:val="000000"/>
                <w:sz w:val="20"/>
              </w:rPr>
              <w:t>
   Вспомогательные материалы - материалы, за исключением растворителей, которые являются вспомогательными при производстве промежуточной продукции или АФС и сами по себе не участвуют в химической или биологической реакции.</w:t>
            </w:r>
          </w:p>
          <w:p>
            <w:pPr>
              <w:spacing w:after="20"/>
              <w:ind w:left="20"/>
              <w:jc w:val="both"/>
            </w:pPr>
            <w:r>
              <w:rPr>
                <w:rFonts w:ascii="Times New Roman"/>
                <w:b w:val="false"/>
                <w:i w:val="false"/>
                <w:color w:val="000000"/>
                <w:sz w:val="20"/>
              </w:rPr>
              <w:t>
   Выход ожидаемый - количество материала или процент от теоретического выхода, ожидаемые на любой соответствующей стадии технологического процесса, основанные на данных, предварительно полученных при производстве этого материала в лабораторных, опытных или промышленных условиях.</w:t>
            </w:r>
          </w:p>
          <w:p>
            <w:pPr>
              <w:spacing w:after="20"/>
              <w:ind w:left="20"/>
              <w:jc w:val="both"/>
            </w:pPr>
            <w:r>
              <w:rPr>
                <w:rFonts w:ascii="Times New Roman"/>
                <w:b w:val="false"/>
                <w:i w:val="false"/>
                <w:color w:val="000000"/>
                <w:sz w:val="20"/>
              </w:rPr>
              <w:t>
   Выход теоретический - количество, которое определено на основании количества используемого материала и произведено на любой соответствующей стадии технологического процесса при условии отсутствия каких-либо потерь или отклонений в условиях реального технологического процесса.</w:t>
            </w:r>
          </w:p>
          <w:p>
            <w:pPr>
              <w:spacing w:after="20"/>
              <w:ind w:left="20"/>
              <w:jc w:val="both"/>
            </w:pPr>
            <w:r>
              <w:rPr>
                <w:rFonts w:ascii="Times New Roman"/>
                <w:b w:val="false"/>
                <w:i w:val="false"/>
                <w:color w:val="000000"/>
                <w:sz w:val="20"/>
              </w:rPr>
              <w:t>
   Дата истечения срока годности - дата, указанная на упаковке или этикетках АФС и обозначающая период времени, в течение которого при хранении в установленных условиях характеристики АФС остаются в пределах спецификаций, и по истечении которого АФС нельзя использовать.</w:t>
            </w:r>
          </w:p>
          <w:p>
            <w:pPr>
              <w:spacing w:after="20"/>
              <w:ind w:left="20"/>
              <w:jc w:val="both"/>
            </w:pPr>
            <w:r>
              <w:rPr>
                <w:rFonts w:ascii="Times New Roman"/>
                <w:b w:val="false"/>
                <w:i w:val="false"/>
                <w:color w:val="000000"/>
                <w:sz w:val="20"/>
              </w:rPr>
              <w:t>
   Дата повторного испытания - дата проведения повторного контроля материала для подтверждения его пригодности для дальнейшего использования.</w:t>
            </w:r>
          </w:p>
          <w:p>
            <w:pPr>
              <w:spacing w:after="20"/>
              <w:ind w:left="20"/>
              <w:jc w:val="both"/>
            </w:pPr>
            <w:r>
              <w:rPr>
                <w:rFonts w:ascii="Times New Roman"/>
                <w:b w:val="false"/>
                <w:i w:val="false"/>
                <w:color w:val="000000"/>
                <w:sz w:val="20"/>
              </w:rPr>
              <w:t>
   Исходное сырье - общее понятие, используемое для обозначения исходных материалов, реактивов и растворителей, предназначенных для производства промежуточной продукции или АФС.</w:t>
            </w:r>
          </w:p>
          <w:p>
            <w:pPr>
              <w:spacing w:after="20"/>
              <w:ind w:left="20"/>
              <w:jc w:val="both"/>
            </w:pPr>
            <w:r>
              <w:rPr>
                <w:rFonts w:ascii="Times New Roman"/>
                <w:b w:val="false"/>
                <w:i w:val="false"/>
                <w:color w:val="000000"/>
                <w:sz w:val="20"/>
              </w:rPr>
              <w:t xml:space="preserve">
   Исходное сырье для производства АФС - сырье, промежуточная продукция или другие АФС, которые используются для производства АФС и входят в структуру АФС в качестве важного структурного фрагмента. Исходное сырье для производства АФС может быть товаром – веществом, закупленным по контракту либо торговому соглашению у одного или нескольких поставщиков, либо может производиться самостоятельно. Исходное сырье для производства АФС имеет установленные химические свойства и структуру. </w:t>
            </w:r>
          </w:p>
          <w:p>
            <w:pPr>
              <w:spacing w:after="20"/>
              <w:ind w:left="20"/>
              <w:jc w:val="both"/>
            </w:pPr>
            <w:r>
              <w:rPr>
                <w:rFonts w:ascii="Times New Roman"/>
                <w:b w:val="false"/>
                <w:i w:val="false"/>
                <w:color w:val="000000"/>
                <w:sz w:val="20"/>
              </w:rPr>
              <w:t>
   Калибровка - демонстрация того, что конкретный прибор или устройство дает результаты в установленных пределах по сравнению с результатами, получаемыми при использовании стандартного образца или сопоставимого со стандартом образца во всем соответствующем диапазоне измерений.</w:t>
            </w:r>
          </w:p>
          <w:p>
            <w:pPr>
              <w:spacing w:after="20"/>
              <w:ind w:left="20"/>
              <w:jc w:val="both"/>
            </w:pPr>
            <w:r>
              <w:rPr>
                <w:rFonts w:ascii="Times New Roman"/>
                <w:b w:val="false"/>
                <w:i w:val="false"/>
                <w:color w:val="000000"/>
                <w:sz w:val="20"/>
              </w:rPr>
              <w:t>
   Карантин - статус веществ и материалов, изолированных физически или другими эффективными способами, до принятия решения об их последующем одобрении или отклонении.</w:t>
            </w:r>
          </w:p>
          <w:p>
            <w:pPr>
              <w:spacing w:after="20"/>
              <w:ind w:left="20"/>
              <w:jc w:val="both"/>
            </w:pPr>
            <w:r>
              <w:rPr>
                <w:rFonts w:ascii="Times New Roman"/>
                <w:b w:val="false"/>
                <w:i w:val="false"/>
                <w:color w:val="000000"/>
                <w:sz w:val="20"/>
              </w:rPr>
              <w:t>
   Квалификация - действия, удостоверяющие и подтверждающие документально тот факт, что оборудование или вспомогательные системы смонтированы должным образом, правильно функционируют и действительно приводят к ожидаемым результатам. Квалификация является частью валидации, но отдельные этапы квалификации сами по себе не являются элементами валидации процесса.</w:t>
            </w:r>
          </w:p>
          <w:p>
            <w:pPr>
              <w:spacing w:after="20"/>
              <w:ind w:left="20"/>
              <w:jc w:val="both"/>
            </w:pPr>
            <w:r>
              <w:rPr>
                <w:rFonts w:ascii="Times New Roman"/>
                <w:b w:val="false"/>
                <w:i w:val="false"/>
                <w:color w:val="000000"/>
                <w:sz w:val="20"/>
              </w:rPr>
              <w:t>
   Компьютеризированная система - процесс или операция, объединенная в одно целое с компьютерной системой.</w:t>
            </w:r>
          </w:p>
          <w:p>
            <w:pPr>
              <w:spacing w:after="20"/>
              <w:ind w:left="20"/>
              <w:jc w:val="both"/>
            </w:pPr>
            <w:r>
              <w:rPr>
                <w:rFonts w:ascii="Times New Roman"/>
                <w:b w:val="false"/>
                <w:i w:val="false"/>
                <w:color w:val="000000"/>
                <w:sz w:val="20"/>
              </w:rPr>
              <w:t>
   Компьютерная система - группа компонентов аппаратного обеспечения и соответствующего программного обеспечения, спроектированная и смонтированная таким образом, чтобы выполнять определенную функцию или набор функций.</w:t>
            </w:r>
          </w:p>
          <w:p>
            <w:pPr>
              <w:spacing w:after="20"/>
              <w:ind w:left="20"/>
              <w:jc w:val="both"/>
            </w:pPr>
            <w:r>
              <w:rPr>
                <w:rFonts w:ascii="Times New Roman"/>
                <w:b w:val="false"/>
                <w:i w:val="false"/>
                <w:color w:val="000000"/>
                <w:sz w:val="20"/>
              </w:rPr>
              <w:t>
   Контаминация - нежелательное внесение примесей химической или микробиологической природы или инородных веществ в исходное сырье, промежуточную продукцию или АФС во время технологического процесса, отбора проб, упаковки или переупаковки, хранения или транспортирования.</w:t>
            </w:r>
          </w:p>
          <w:p>
            <w:pPr>
              <w:spacing w:after="20"/>
              <w:ind w:left="20"/>
              <w:jc w:val="both"/>
            </w:pPr>
            <w:r>
              <w:rPr>
                <w:rFonts w:ascii="Times New Roman"/>
                <w:b w:val="false"/>
                <w:i w:val="false"/>
                <w:color w:val="000000"/>
                <w:sz w:val="20"/>
              </w:rPr>
              <w:t>
   Контроль в процессе производства или внутрипроизводственный контроль, межоперационный контроль - проверки, осуществляемые в ходе технологического процесса с целью надзора или мониторинга и при необходимости регулирования процесса и (или) для подтверждения того, что промежуточная продукция или АФС соответствуют спецификациям.</w:t>
            </w:r>
          </w:p>
          <w:p>
            <w:pPr>
              <w:spacing w:after="20"/>
              <w:ind w:left="20"/>
              <w:jc w:val="both"/>
            </w:pPr>
            <w:r>
              <w:rPr>
                <w:rFonts w:ascii="Times New Roman"/>
                <w:b w:val="false"/>
                <w:i w:val="false"/>
                <w:color w:val="000000"/>
                <w:sz w:val="20"/>
              </w:rPr>
              <w:t>
   Контроль качества - проверка или испытание на соответствие спецификациям.</w:t>
            </w:r>
          </w:p>
          <w:p>
            <w:pPr>
              <w:spacing w:after="20"/>
              <w:ind w:left="20"/>
              <w:jc w:val="both"/>
            </w:pPr>
            <w:r>
              <w:rPr>
                <w:rFonts w:ascii="Times New Roman"/>
                <w:b w:val="false"/>
                <w:i w:val="false"/>
                <w:color w:val="000000"/>
                <w:sz w:val="20"/>
              </w:rPr>
              <w:t>
   Критерии приемлемости или допустимые нормы - числовые пределы, интервалы или другие подходящие критерии приемлемости результатов испытаний.</w:t>
            </w:r>
          </w:p>
          <w:p>
            <w:pPr>
              <w:spacing w:after="20"/>
              <w:ind w:left="20"/>
              <w:jc w:val="both"/>
            </w:pPr>
            <w:r>
              <w:rPr>
                <w:rFonts w:ascii="Times New Roman"/>
                <w:b w:val="false"/>
                <w:i w:val="false"/>
                <w:color w:val="000000"/>
                <w:sz w:val="20"/>
              </w:rPr>
              <w:t>
   Критический - термин, относящийся к производственной стадии, условию технологического процесса, требованию испытаний или любому другому существенному параметру или предмету, которые поддерживаются в рамках предварительно установленных критериев для обеспечения соответствия АФС своей спецификации.</w:t>
            </w:r>
          </w:p>
          <w:p>
            <w:pPr>
              <w:spacing w:after="20"/>
              <w:ind w:left="20"/>
              <w:jc w:val="both"/>
            </w:pPr>
            <w:r>
              <w:rPr>
                <w:rFonts w:ascii="Times New Roman"/>
                <w:b w:val="false"/>
                <w:i w:val="false"/>
                <w:color w:val="000000"/>
                <w:sz w:val="20"/>
              </w:rPr>
              <w:t>
   Лекарственный препарат - лекарственное средство в виде лекарственной формы;</w:t>
            </w:r>
          </w:p>
          <w:p>
            <w:pPr>
              <w:spacing w:after="20"/>
              <w:ind w:left="20"/>
              <w:jc w:val="both"/>
            </w:pPr>
            <w:r>
              <w:rPr>
                <w:rFonts w:ascii="Times New Roman"/>
                <w:b w:val="false"/>
                <w:i w:val="false"/>
                <w:color w:val="000000"/>
                <w:sz w:val="20"/>
              </w:rPr>
              <w:t>
   Материал - общее понятие, обозначающее сырье, исходное сырье, реактивы, растворители, вспомогательные материалы, промежуточную продукцию, АФС и материалы для упаковки и маркировки.</w:t>
            </w:r>
          </w:p>
          <w:p>
            <w:pPr>
              <w:spacing w:after="20"/>
              <w:ind w:left="20"/>
              <w:jc w:val="both"/>
            </w:pPr>
            <w:r>
              <w:rPr>
                <w:rFonts w:ascii="Times New Roman"/>
                <w:b w:val="false"/>
                <w:i w:val="false"/>
                <w:color w:val="000000"/>
                <w:sz w:val="20"/>
              </w:rPr>
              <w:t>
   Маточная жидкость - остаточная жидкость после процессов кристаллизации или выделения. Маточная жидкость может содержать непрореагировавшие вещества, промежуточную продукцию, некоторые количества АФС и (или) примесей. Она может быть использована для дальнейшей обработки.</w:t>
            </w:r>
          </w:p>
          <w:p>
            <w:pPr>
              <w:spacing w:after="20"/>
              <w:ind w:left="20"/>
              <w:jc w:val="both"/>
            </w:pPr>
            <w:r>
              <w:rPr>
                <w:rFonts w:ascii="Times New Roman"/>
                <w:b w:val="false"/>
                <w:i w:val="false"/>
                <w:color w:val="000000"/>
                <w:sz w:val="20"/>
              </w:rPr>
              <w:t>
   Номер партии - тождественно определению термина "номер серии".</w:t>
            </w:r>
          </w:p>
          <w:p>
            <w:pPr>
              <w:spacing w:after="20"/>
              <w:ind w:left="20"/>
              <w:jc w:val="both"/>
            </w:pPr>
            <w:r>
              <w:rPr>
                <w:rFonts w:ascii="Times New Roman"/>
                <w:b w:val="false"/>
                <w:i w:val="false"/>
                <w:color w:val="000000"/>
                <w:sz w:val="20"/>
              </w:rPr>
              <w:t>
   Номер серии или номер партии - уникальная комбинация цифр, букв и (или) символов, которые идентифицируют серию или партию и на основании которых определяется история ее производства и реализации.</w:t>
            </w:r>
          </w:p>
          <w:p>
            <w:pPr>
              <w:spacing w:after="20"/>
              <w:ind w:left="20"/>
              <w:jc w:val="both"/>
            </w:pPr>
            <w:r>
              <w:rPr>
                <w:rFonts w:ascii="Times New Roman"/>
                <w:b w:val="false"/>
                <w:i w:val="false"/>
                <w:color w:val="000000"/>
                <w:sz w:val="20"/>
              </w:rPr>
              <w:t>
   Обеспечение качества - совокупность всех организационных мероприятий, направленных на обеспечение того, чтобы все АФС имели качество, необходимое для их предполагаемого применения, а все системы качества поддерживались в рабочем состоянии.</w:t>
            </w:r>
          </w:p>
          <w:p>
            <w:pPr>
              <w:spacing w:after="20"/>
              <w:ind w:left="20"/>
              <w:jc w:val="both"/>
            </w:pPr>
            <w:r>
              <w:rPr>
                <w:rFonts w:ascii="Times New Roman"/>
                <w:b w:val="false"/>
                <w:i w:val="false"/>
                <w:color w:val="000000"/>
                <w:sz w:val="20"/>
              </w:rPr>
              <w:t>
   Отдел или отделы качества – подразделение или подразделения, которые независимы от производства и выполняют обязанности как по обеспечению качества, так и по контролю качества. Это могут быть либо отдельные службы обеспечения качества и контроля качества, либо одно лицо или группа лиц в зависимости от масштаба и структуры организации.</w:t>
            </w:r>
          </w:p>
          <w:p>
            <w:pPr>
              <w:spacing w:after="20"/>
              <w:ind w:left="20"/>
              <w:jc w:val="both"/>
            </w:pPr>
            <w:r>
              <w:rPr>
                <w:rFonts w:ascii="Times New Roman"/>
                <w:b w:val="false"/>
                <w:i w:val="false"/>
                <w:color w:val="000000"/>
                <w:sz w:val="20"/>
              </w:rPr>
              <w:t>
   Отклонение - отступление от утвержденной инструкции или установленного стандарта.</w:t>
            </w:r>
          </w:p>
          <w:p>
            <w:pPr>
              <w:spacing w:after="20"/>
              <w:ind w:left="20"/>
              <w:jc w:val="both"/>
            </w:pPr>
            <w:r>
              <w:rPr>
                <w:rFonts w:ascii="Times New Roman"/>
                <w:b w:val="false"/>
                <w:i w:val="false"/>
                <w:color w:val="000000"/>
                <w:sz w:val="20"/>
              </w:rPr>
              <w:t>
   Партия - тождественно определению термина "серия".</w:t>
            </w:r>
          </w:p>
          <w:p>
            <w:pPr>
              <w:spacing w:after="20"/>
              <w:ind w:left="20"/>
              <w:jc w:val="both"/>
            </w:pPr>
            <w:r>
              <w:rPr>
                <w:rFonts w:ascii="Times New Roman"/>
                <w:b w:val="false"/>
                <w:i w:val="false"/>
                <w:color w:val="000000"/>
                <w:sz w:val="20"/>
              </w:rPr>
              <w:t>
   Перекрестная контаминация - загрязнение материала или продукции другим материалом или продукцией.</w:t>
            </w:r>
          </w:p>
          <w:p>
            <w:pPr>
              <w:spacing w:after="20"/>
              <w:ind w:left="20"/>
              <w:jc w:val="both"/>
            </w:pPr>
            <w:r>
              <w:rPr>
                <w:rFonts w:ascii="Times New Roman"/>
                <w:b w:val="false"/>
                <w:i w:val="false"/>
                <w:color w:val="000000"/>
                <w:sz w:val="20"/>
              </w:rPr>
              <w:t>
   Переработка - проведение одной или нескольких стадий, отличающихся от установленного производственного процесса, с целью обработки такой промежуточной продукции или АФС, которая не соответствует стандартам или спецификациям, для получения промежуточной продукции или АФС приемлемого качества.</w:t>
            </w:r>
          </w:p>
          <w:p>
            <w:pPr>
              <w:spacing w:after="20"/>
              <w:ind w:left="20"/>
              <w:jc w:val="both"/>
            </w:pPr>
            <w:r>
              <w:rPr>
                <w:rFonts w:ascii="Times New Roman"/>
                <w:b w:val="false"/>
                <w:i w:val="false"/>
                <w:color w:val="000000"/>
                <w:sz w:val="20"/>
              </w:rPr>
              <w:t>
   Повторная обработка - возвращение в процесс промежуточной продукции или АФС, включая продукцию, не соответствующую стандартам или спецификациям, и повторное проведение стадии кристаллизации или других соответствующих химических или физических стадий обработки, например, дистилляция, фильтрация, хроматографирование, измельчение, являющихся частью утвержденного производственного процесса. Продолжение осуществления стадии технологического процесса после того, как контроль в процессе производства показал, что стадия не завершена, считается частью обычного процесса, а не повторной обработкой.</w:t>
            </w:r>
          </w:p>
          <w:p>
            <w:pPr>
              <w:spacing w:after="20"/>
              <w:ind w:left="20"/>
              <w:jc w:val="both"/>
            </w:pPr>
            <w:r>
              <w:rPr>
                <w:rFonts w:ascii="Times New Roman"/>
                <w:b w:val="false"/>
                <w:i w:val="false"/>
                <w:color w:val="000000"/>
                <w:sz w:val="20"/>
              </w:rPr>
              <w:t>
   Подписано или подпись - подпись лица, которое выполняло определенное действие или осуществляло проверку. Эта подпись может быть в виде инициалов, полного рукописного варианта имени и фамилии, рукописной подписи, личной печати или аутентичной и защищенной электронной подписи.</w:t>
            </w:r>
          </w:p>
          <w:p>
            <w:pPr>
              <w:spacing w:after="20"/>
              <w:ind w:left="20"/>
              <w:jc w:val="both"/>
            </w:pPr>
            <w:r>
              <w:rPr>
                <w:rFonts w:ascii="Times New Roman"/>
                <w:b w:val="false"/>
                <w:i w:val="false"/>
                <w:color w:val="000000"/>
                <w:sz w:val="20"/>
              </w:rPr>
              <w:t>
   Подпись или подписано – тождественно определению термина "подписано или подпись".</w:t>
            </w:r>
          </w:p>
          <w:p>
            <w:pPr>
              <w:spacing w:after="20"/>
              <w:ind w:left="20"/>
              <w:jc w:val="both"/>
            </w:pPr>
            <w:r>
              <w:rPr>
                <w:rFonts w:ascii="Times New Roman"/>
                <w:b w:val="false"/>
                <w:i w:val="false"/>
                <w:color w:val="000000"/>
                <w:sz w:val="20"/>
              </w:rPr>
              <w:t>
   Примесь - любой компонент, присутствующий в промежуточной продукции или АФС, наличие которого нежелательно.</w:t>
            </w:r>
          </w:p>
          <w:p>
            <w:pPr>
              <w:spacing w:after="20"/>
              <w:ind w:left="20"/>
              <w:jc w:val="both"/>
            </w:pPr>
            <w:r>
              <w:rPr>
                <w:rFonts w:ascii="Times New Roman"/>
                <w:b w:val="false"/>
                <w:i w:val="false"/>
                <w:color w:val="000000"/>
                <w:sz w:val="20"/>
              </w:rPr>
              <w:t>
   Производитель, работающий по контракту - производитель, выполняющий определенный вид производственной деятельности по поручению первоначального производителя.</w:t>
            </w:r>
          </w:p>
          <w:p>
            <w:pPr>
              <w:spacing w:after="20"/>
              <w:ind w:left="20"/>
              <w:jc w:val="both"/>
            </w:pPr>
            <w:r>
              <w:rPr>
                <w:rFonts w:ascii="Times New Roman"/>
                <w:b w:val="false"/>
                <w:i w:val="false"/>
                <w:color w:val="000000"/>
                <w:sz w:val="20"/>
              </w:rPr>
              <w:t>
   Производство - операции и виды контроля, связанные с приемкой материалов, технологическим процессом, упаковкой, переупаковкой, маркировкой, перемаркировкой, выпуском, хранением и отгрузкой АФС.</w:t>
            </w:r>
          </w:p>
          <w:p>
            <w:pPr>
              <w:spacing w:after="20"/>
              <w:ind w:left="20"/>
              <w:jc w:val="both"/>
            </w:pPr>
            <w:r>
              <w:rPr>
                <w:rFonts w:ascii="Times New Roman"/>
                <w:b w:val="false"/>
                <w:i w:val="false"/>
                <w:color w:val="000000"/>
                <w:sz w:val="20"/>
              </w:rPr>
              <w:t xml:space="preserve">
   Промежуточная продукция - материал, который получают в ходе стадий технологического процесса производства АФС, и который претерпевает дальнейшие молекулярные превращения или подвергается очистке прежде, чем он станет АФС. Промежуточная продукция в ходе технологического процесса может подвергаться или не подвергаться выделению. </w:t>
            </w:r>
          </w:p>
          <w:p>
            <w:pPr>
              <w:spacing w:after="20"/>
              <w:ind w:left="20"/>
              <w:jc w:val="both"/>
            </w:pPr>
            <w:r>
              <w:rPr>
                <w:rFonts w:ascii="Times New Roman"/>
                <w:b w:val="false"/>
                <w:i w:val="false"/>
                <w:color w:val="000000"/>
                <w:sz w:val="20"/>
              </w:rPr>
              <w:t>
   Протокол валидации - документально оформленный план, указывающий процедуру валидации и определяющий критерии приемлемости, включающий описание производственного процесса с указанием технологического оборудования, критических параметров процесса и его рабочих режимов, характеристик продукции, отбора проб, данных испытаний, которые необходимо собрать, количеств валидационных циклов и приемлемых результатов испытаний.</w:t>
            </w:r>
          </w:p>
          <w:p>
            <w:pPr>
              <w:spacing w:after="20"/>
              <w:ind w:left="20"/>
              <w:jc w:val="both"/>
            </w:pPr>
            <w:r>
              <w:rPr>
                <w:rFonts w:ascii="Times New Roman"/>
                <w:b w:val="false"/>
                <w:i w:val="false"/>
                <w:color w:val="000000"/>
                <w:sz w:val="20"/>
              </w:rPr>
              <w:t>
   Профиль примесей - описание идентифицированных и не идентифицированных примесей, присутствующих в АФС.</w:t>
            </w:r>
          </w:p>
          <w:p>
            <w:pPr>
              <w:spacing w:after="20"/>
              <w:ind w:left="20"/>
              <w:jc w:val="both"/>
            </w:pPr>
            <w:r>
              <w:rPr>
                <w:rFonts w:ascii="Times New Roman"/>
                <w:b w:val="false"/>
                <w:i w:val="false"/>
                <w:color w:val="000000"/>
                <w:sz w:val="20"/>
              </w:rPr>
              <w:t>
   Процедура - документально оформленное описание операций, подлежащих выполнению, мер предосторожности и мероприятий, прямо или косвенно относящихся к производству промежуточной продукции или АФС.</w:t>
            </w:r>
          </w:p>
          <w:p>
            <w:pPr>
              <w:spacing w:after="20"/>
              <w:ind w:left="20"/>
              <w:jc w:val="both"/>
            </w:pPr>
            <w:r>
              <w:rPr>
                <w:rFonts w:ascii="Times New Roman"/>
                <w:b w:val="false"/>
                <w:i w:val="false"/>
                <w:color w:val="000000"/>
                <w:sz w:val="20"/>
              </w:rPr>
              <w:t>
   Растворитель - неорганическая или органическая жидкость, используемая в качестве среды для приготовления растворов или суспензий при производстве промежуточной продукции или АФС.</w:t>
            </w:r>
          </w:p>
          <w:p>
            <w:pPr>
              <w:spacing w:after="20"/>
              <w:ind w:left="20"/>
              <w:jc w:val="both"/>
            </w:pPr>
            <w:r>
              <w:rPr>
                <w:rFonts w:ascii="Times New Roman"/>
                <w:b w:val="false"/>
                <w:i w:val="false"/>
                <w:color w:val="000000"/>
                <w:sz w:val="20"/>
              </w:rPr>
              <w:t>
   Серия или партия – конкретное количество материала, полученного в результате технологического процесса или серии процессов таким образом, что рассчитывают на его однородность в установленных пределах. В случае непрерывного производства серия может соответствовать определенной части продукции. Размер серии в этом случае определяется либо фиксированным количеством, либо количеством, произведенным за определенный промежуток времени.</w:t>
            </w:r>
          </w:p>
          <w:p>
            <w:pPr>
              <w:spacing w:after="20"/>
              <w:ind w:left="20"/>
              <w:jc w:val="both"/>
            </w:pPr>
            <w:r>
              <w:rPr>
                <w:rFonts w:ascii="Times New Roman"/>
                <w:b w:val="false"/>
                <w:i w:val="false"/>
                <w:color w:val="000000"/>
                <w:sz w:val="20"/>
              </w:rPr>
              <w:t>
   Спецификация - перечень испытаний, ссылок на аналитические методики и критериев приемлемости, представляющих собой числовые границы, интервалы или другие критерии для соответствующих испытаний. Спецификация устанавливает набор критериев, которым соответствует материал, чтобы считаться приемлемым для его предполагаемого применения. "Соответствие спецификации" означает, что материал, прошедший испытания согласно перечисленным аналитическим методикам, соответствует приведенным критериям приемлемости.</w:t>
            </w:r>
          </w:p>
          <w:p>
            <w:pPr>
              <w:spacing w:after="20"/>
              <w:ind w:left="20"/>
              <w:jc w:val="both"/>
            </w:pPr>
            <w:r>
              <w:rPr>
                <w:rFonts w:ascii="Times New Roman"/>
                <w:b w:val="false"/>
                <w:i w:val="false"/>
                <w:color w:val="000000"/>
                <w:sz w:val="20"/>
              </w:rPr>
              <w:t>
   Стандартный образец, вторичный - субстанция установленного качества и чистоты, что доказано посредством сравнения с первичным стандартным образцом, используемое в качестве стандартного образца для текущих лабораторных анализов.</w:t>
            </w:r>
          </w:p>
          <w:p>
            <w:pPr>
              <w:spacing w:after="20"/>
              <w:ind w:left="20"/>
              <w:jc w:val="both"/>
            </w:pPr>
            <w:r>
              <w:rPr>
                <w:rFonts w:ascii="Times New Roman"/>
                <w:b w:val="false"/>
                <w:i w:val="false"/>
                <w:color w:val="000000"/>
                <w:sz w:val="20"/>
              </w:rPr>
              <w:t xml:space="preserve">
   Стандартный образец, первичный - субстанция, которая является подлинным веществом, что было доказано с помощью расширенных аналитических испытаний и которая обладает высокой степенью чистоты. Этот стандартный образец получают одним из нижеперечисленных способов: </w:t>
            </w:r>
          </w:p>
          <w:p>
            <w:pPr>
              <w:spacing w:after="20"/>
              <w:ind w:left="20"/>
              <w:jc w:val="both"/>
            </w:pPr>
            <w:r>
              <w:rPr>
                <w:rFonts w:ascii="Times New Roman"/>
                <w:b w:val="false"/>
                <w:i w:val="false"/>
                <w:color w:val="000000"/>
                <w:sz w:val="20"/>
              </w:rPr>
              <w:t>
   1) из официально признанного источника;</w:t>
            </w:r>
          </w:p>
          <w:p>
            <w:pPr>
              <w:spacing w:after="20"/>
              <w:ind w:left="20"/>
              <w:jc w:val="both"/>
            </w:pPr>
            <w:r>
              <w:rPr>
                <w:rFonts w:ascii="Times New Roman"/>
                <w:b w:val="false"/>
                <w:i w:val="false"/>
                <w:color w:val="000000"/>
                <w:sz w:val="20"/>
              </w:rPr>
              <w:t>
   2) посредством независимого синтеза;</w:t>
            </w:r>
          </w:p>
          <w:p>
            <w:pPr>
              <w:spacing w:after="20"/>
              <w:ind w:left="20"/>
              <w:jc w:val="both"/>
            </w:pPr>
            <w:r>
              <w:rPr>
                <w:rFonts w:ascii="Times New Roman"/>
                <w:b w:val="false"/>
                <w:i w:val="false"/>
                <w:color w:val="000000"/>
                <w:sz w:val="20"/>
              </w:rPr>
              <w:t>
   3) из используемого в производстве вещества с высокой степенью чистоты;</w:t>
            </w:r>
          </w:p>
          <w:p>
            <w:pPr>
              <w:spacing w:after="20"/>
              <w:ind w:left="20"/>
              <w:jc w:val="both"/>
            </w:pPr>
            <w:r>
              <w:rPr>
                <w:rFonts w:ascii="Times New Roman"/>
                <w:b w:val="false"/>
                <w:i w:val="false"/>
                <w:color w:val="000000"/>
                <w:sz w:val="20"/>
              </w:rPr>
              <w:t>
   4) посредством последующей очистки вещества, используемого в производстве.</w:t>
            </w:r>
          </w:p>
          <w:p>
            <w:pPr>
              <w:spacing w:after="20"/>
              <w:ind w:left="20"/>
              <w:jc w:val="both"/>
            </w:pPr>
            <w:r>
              <w:rPr>
                <w:rFonts w:ascii="Times New Roman"/>
                <w:b w:val="false"/>
                <w:i w:val="false"/>
                <w:color w:val="000000"/>
                <w:sz w:val="20"/>
              </w:rPr>
              <w:t>
   Технологический процесс - все операции по производству АФС, включая приемку материалов, обработку и упаковку АФС.</w:t>
            </w:r>
          </w:p>
          <w:p>
            <w:pPr>
              <w:spacing w:after="20"/>
              <w:ind w:left="20"/>
              <w:jc w:val="both"/>
            </w:pPr>
            <w:r>
              <w:rPr>
                <w:rFonts w:ascii="Times New Roman"/>
                <w:b w:val="false"/>
                <w:i w:val="false"/>
                <w:color w:val="000000"/>
                <w:sz w:val="20"/>
              </w:rPr>
              <w:t>
   Упаковочный материал - любой материал, предназначенный для защиты промежуточной продукции или АФС при хранении и транспортировании.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910"/>
        <w:gridCol w:w="11066"/>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III</w:t>
            </w:r>
          </w:p>
          <w:p>
            <w:pPr>
              <w:spacing w:after="20"/>
              <w:ind w:left="20"/>
              <w:jc w:val="both"/>
            </w:pPr>
            <w:r>
              <w:rPr>
                <w:rFonts w:ascii="Times New Roman"/>
                <w:b w:val="false"/>
                <w:i w:val="false"/>
                <w:color w:val="000000"/>
                <w:sz w:val="20"/>
              </w:rPr>
              <w:t>
Документы, связанные с надлежащей производственной практикой</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Пояснения по составлению досье производственной площадки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Введение</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Досье производственной площадки (далее – досье) представляет собой документ, который составляется производителем лекарственных средств и содержит специальную информацию о политике в области качества и деятельности производственной площадки, о технологическом процессе и/или контроле качества при проведении операций по производству лекарственных средств, проводимых на данной площадке, а также о каких-либо тесно взаимосвязанных работах в примыкающих и соседних зданиях. Если на данной площадке осуществляется только часть операций по производству, то в досье производственной площадки описываются только эти операции, например, анализ, упаковка.</w:t>
            </w:r>
          </w:p>
          <w:p>
            <w:pPr>
              <w:spacing w:after="20"/>
              <w:ind w:left="20"/>
              <w:jc w:val="both"/>
            </w:pPr>
            <w:r>
              <w:rPr>
                <w:rFonts w:ascii="Times New Roman"/>
                <w:b w:val="false"/>
                <w:i w:val="false"/>
                <w:color w:val="000000"/>
                <w:sz w:val="20"/>
              </w:rPr>
              <w:t>
   1.2. При подаче в уполномоченный орган досье, в нем представляется информация о деятельности производителя, которая связана с требованиями настоящего Стандарта, необходимая при общем надзоре, а также для эффективного планирования и проведения инспектирования на соответствие требованиям настоящего Стандарта.</w:t>
            </w:r>
          </w:p>
          <w:p>
            <w:pPr>
              <w:spacing w:after="20"/>
              <w:ind w:left="20"/>
              <w:jc w:val="both"/>
            </w:pPr>
            <w:r>
              <w:rPr>
                <w:rFonts w:ascii="Times New Roman"/>
                <w:b w:val="false"/>
                <w:i w:val="false"/>
                <w:color w:val="000000"/>
                <w:sz w:val="20"/>
              </w:rPr>
              <w:t>
   1.3. Досье содержит достаточную информацию, однако, насколько это возможно, его объем не превышает 25-30 страниц, не включая приложений. Простые планы, рисунки и схемы считаются более предпочтительными, чем описательное изложение. Досье удобочитаемо при печати на листах формата А4</w:t>
            </w:r>
          </w:p>
          <w:p>
            <w:pPr>
              <w:spacing w:after="20"/>
              <w:ind w:left="20"/>
              <w:jc w:val="both"/>
            </w:pPr>
            <w:r>
              <w:rPr>
                <w:rFonts w:ascii="Times New Roman"/>
                <w:b w:val="false"/>
                <w:i w:val="false"/>
                <w:color w:val="000000"/>
                <w:sz w:val="20"/>
              </w:rPr>
              <w:t>
   1.4. Досье составляет часть документации, которая относится к системе управления качеством производителя; его поддерживают в актуальном состоянии. В досье указывают номер версии и дату введения в действие, а также дату следующего пересмотра. Досье регулярно пересматиривается с целью обеспечения актуальности и отражения текущей деятельности. Каждое приложение имеет отдельную дату введения в действие, что позволяет осуществлять его независимый пересмотр.</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настоящего документа – дать рекомендации производителям лекарственных средств по созданию досье, при планировании и проведении инспектирования на соответствие требованиям настоящего Стандарта.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применения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подготовке и формировании содержания досье ко всем видам производственной деятельности, таким как собственно производство, упаковка и маркировка, проведение испытаний, перемаркировка и переупаковка всех видов лекарственных препаратов. Основные принципы используются при подготовке досье или соответствующего документа производителями лекарственных препаратов из донорской крови или тканей, а также производителями активных фармацевтических субстанций.</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Другая производственная деятельность, осуществляемая на предприятии</w:t>
            </w:r>
          </w:p>
          <w:p>
            <w:pPr>
              <w:spacing w:after="20"/>
              <w:ind w:left="20"/>
              <w:jc w:val="both"/>
            </w:pPr>
            <w:r>
              <w:rPr>
                <w:rFonts w:ascii="Times New Roman"/>
                <w:b w:val="false"/>
                <w:i w:val="false"/>
                <w:color w:val="000000"/>
                <w:sz w:val="20"/>
              </w:rPr>
              <w:t>
   Описание производственной деятельности на предприятии (производственной площадке), не связанной с фармацевтической деятельностью, если таковая проводится.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досье производственной площадки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Используемый формат досье производственной площадки имеет следующее содержание:</w:t>
            </w:r>
          </w:p>
          <w:p>
            <w:pPr>
              <w:spacing w:after="20"/>
              <w:ind w:left="20"/>
              <w:jc w:val="both"/>
            </w:pPr>
            <w:r>
              <w:rPr>
                <w:rFonts w:ascii="Times New Roman"/>
                <w:b w:val="false"/>
                <w:i w:val="false"/>
                <w:color w:val="000000"/>
                <w:sz w:val="20"/>
              </w:rPr>
              <w:t>
</w:t>
            </w:r>
            <w:r>
              <w:rPr>
                <w:rFonts w:ascii="Times New Roman"/>
                <w:b/>
                <w:i w:val="false"/>
                <w:color w:val="000000"/>
                <w:sz w:val="20"/>
              </w:rPr>
              <w:t>1. Общая информация о производителе</w:t>
            </w:r>
          </w:p>
          <w:p>
            <w:pPr>
              <w:spacing w:after="20"/>
              <w:ind w:left="20"/>
              <w:jc w:val="both"/>
            </w:pPr>
            <w:r>
              <w:rPr>
                <w:rFonts w:ascii="Times New Roman"/>
                <w:b w:val="false"/>
                <w:i w:val="false"/>
                <w:color w:val="000000"/>
                <w:sz w:val="20"/>
              </w:rPr>
              <w:t>
   </w:t>
            </w:r>
            <w:r>
              <w:rPr>
                <w:rFonts w:ascii="Times New Roman"/>
                <w:b/>
                <w:i w:val="false"/>
                <w:color w:val="000000"/>
                <w:sz w:val="20"/>
              </w:rPr>
              <w:t>1.1. Контактная информация:</w:t>
            </w:r>
          </w:p>
          <w:p>
            <w:pPr>
              <w:spacing w:after="20"/>
              <w:ind w:left="20"/>
              <w:jc w:val="both"/>
            </w:pPr>
            <w:r>
              <w:rPr>
                <w:rFonts w:ascii="Times New Roman"/>
                <w:b w:val="false"/>
                <w:i w:val="false"/>
                <w:color w:val="000000"/>
                <w:sz w:val="20"/>
              </w:rPr>
              <w:t>
   название и юридический адрес;</w:t>
            </w:r>
          </w:p>
          <w:p>
            <w:pPr>
              <w:spacing w:after="20"/>
              <w:ind w:left="20"/>
              <w:jc w:val="both"/>
            </w:pPr>
            <w:r>
              <w:rPr>
                <w:rFonts w:ascii="Times New Roman"/>
                <w:b w:val="false"/>
                <w:i w:val="false"/>
                <w:color w:val="000000"/>
                <w:sz w:val="20"/>
              </w:rPr>
              <w:t>
   название(я) и фактический(ие) адрес(а) производственной(ых) площадки(ок), зданий и производственных участков, расположенных на этих(ой) площадках(е);</w:t>
            </w:r>
          </w:p>
          <w:p>
            <w:pPr>
              <w:spacing w:after="20"/>
              <w:ind w:left="20"/>
              <w:jc w:val="both"/>
            </w:pPr>
            <w:r>
              <w:rPr>
                <w:rFonts w:ascii="Times New Roman"/>
                <w:b w:val="false"/>
                <w:i w:val="false"/>
                <w:color w:val="000000"/>
                <w:sz w:val="20"/>
              </w:rPr>
              <w:t xml:space="preserve">
   контактная информация, включая номера телефонов персонала, работающего круглосуточно, с которым контактируют в случае дефекта и(или) отзыва продукции; </w:t>
            </w:r>
          </w:p>
          <w:p>
            <w:pPr>
              <w:spacing w:after="20"/>
              <w:ind w:left="20"/>
              <w:jc w:val="both"/>
            </w:pPr>
            <w:r>
              <w:rPr>
                <w:rFonts w:ascii="Times New Roman"/>
                <w:b w:val="false"/>
                <w:i w:val="false"/>
                <w:color w:val="000000"/>
                <w:sz w:val="20"/>
              </w:rPr>
              <w:t>
   идентификационный номер производственной площадки.</w:t>
            </w:r>
          </w:p>
          <w:p>
            <w:pPr>
              <w:spacing w:after="20"/>
              <w:ind w:left="20"/>
              <w:jc w:val="both"/>
            </w:pPr>
            <w:r>
              <w:rPr>
                <w:rFonts w:ascii="Times New Roman"/>
                <w:b w:val="false"/>
                <w:i w:val="false"/>
                <w:color w:val="000000"/>
                <w:sz w:val="20"/>
              </w:rPr>
              <w:t>
   </w:t>
            </w:r>
            <w:r>
              <w:rPr>
                <w:rFonts w:ascii="Times New Roman"/>
                <w:b/>
                <w:i w:val="false"/>
                <w:color w:val="000000"/>
                <w:sz w:val="20"/>
              </w:rPr>
              <w:t>1.2. Информация о лицензированной производственной деятельности на предприятии</w:t>
            </w:r>
          </w:p>
          <w:p>
            <w:pPr>
              <w:spacing w:after="20"/>
              <w:ind w:left="20"/>
              <w:jc w:val="both"/>
            </w:pPr>
            <w:r>
              <w:rPr>
                <w:rFonts w:ascii="Times New Roman"/>
                <w:b w:val="false"/>
                <w:i w:val="false"/>
                <w:color w:val="000000"/>
                <w:sz w:val="20"/>
              </w:rPr>
              <w:t xml:space="preserve">
   копия лицензии на производство лекарственных средств; </w:t>
            </w:r>
          </w:p>
          <w:p>
            <w:pPr>
              <w:spacing w:after="20"/>
              <w:ind w:left="20"/>
              <w:jc w:val="both"/>
            </w:pPr>
            <w:r>
              <w:rPr>
                <w:rFonts w:ascii="Times New Roman"/>
                <w:b w:val="false"/>
                <w:i w:val="false"/>
                <w:color w:val="000000"/>
                <w:sz w:val="20"/>
              </w:rPr>
              <w:t>
   краткое описание деятельности по производству, импорту, экспорту, оптовой реализации;</w:t>
            </w:r>
          </w:p>
          <w:p>
            <w:pPr>
              <w:spacing w:after="20"/>
              <w:ind w:left="20"/>
              <w:jc w:val="both"/>
            </w:pPr>
            <w:r>
              <w:rPr>
                <w:rFonts w:ascii="Times New Roman"/>
                <w:b w:val="false"/>
                <w:i w:val="false"/>
                <w:color w:val="000000"/>
                <w:sz w:val="20"/>
              </w:rPr>
              <w:t xml:space="preserve">
   виды продукции, производимой на площадке; </w:t>
            </w:r>
          </w:p>
          <w:p>
            <w:pPr>
              <w:spacing w:after="20"/>
              <w:ind w:left="20"/>
              <w:jc w:val="both"/>
            </w:pPr>
            <w:r>
              <w:rPr>
                <w:rFonts w:ascii="Times New Roman"/>
                <w:b w:val="false"/>
                <w:i w:val="false"/>
                <w:color w:val="000000"/>
                <w:sz w:val="20"/>
              </w:rPr>
              <w:t xml:space="preserve">
   перечень инспекций производственной площадки на соответствие требованиям GMP за последние 5 лет, с указанием дат и названий/стран уполномоченных органов, проводивших инспектирование. При наличии, копия действующего сертификата соответствия требованиям GMP.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 Система управления качеством производителя</w:t>
            </w:r>
          </w:p>
          <w:p>
            <w:pPr>
              <w:spacing w:after="20"/>
              <w:ind w:left="20"/>
              <w:jc w:val="both"/>
            </w:pPr>
            <w:r>
              <w:rPr>
                <w:rFonts w:ascii="Times New Roman"/>
                <w:b w:val="false"/>
                <w:i w:val="false"/>
                <w:color w:val="000000"/>
                <w:sz w:val="20"/>
              </w:rPr>
              <w:t>
   </w:t>
            </w:r>
            <w:r>
              <w:rPr>
                <w:rFonts w:ascii="Times New Roman"/>
                <w:b/>
                <w:i w:val="false"/>
                <w:color w:val="000000"/>
                <w:sz w:val="20"/>
              </w:rPr>
              <w:t>2.1. Система управления качеством производителя:</w:t>
            </w:r>
          </w:p>
          <w:p>
            <w:pPr>
              <w:spacing w:after="20"/>
              <w:ind w:left="20"/>
              <w:jc w:val="both"/>
            </w:pPr>
            <w:r>
              <w:rPr>
                <w:rFonts w:ascii="Times New Roman"/>
                <w:b w:val="false"/>
                <w:i w:val="false"/>
                <w:color w:val="000000"/>
                <w:sz w:val="20"/>
              </w:rPr>
              <w:t>
   краткое описание системы управления качеством предприятия и ссылки на применяемые стандарты;</w:t>
            </w:r>
          </w:p>
          <w:p>
            <w:pPr>
              <w:spacing w:after="20"/>
              <w:ind w:left="20"/>
              <w:jc w:val="both"/>
            </w:pPr>
            <w:r>
              <w:rPr>
                <w:rFonts w:ascii="Times New Roman"/>
                <w:b w:val="false"/>
                <w:i w:val="false"/>
                <w:color w:val="000000"/>
                <w:sz w:val="20"/>
              </w:rPr>
              <w:t>
   ответственность по поддержанию системы качества, включая высшее руководство;</w:t>
            </w:r>
          </w:p>
          <w:p>
            <w:pPr>
              <w:spacing w:after="20"/>
              <w:ind w:left="20"/>
              <w:jc w:val="both"/>
            </w:pPr>
            <w:r>
              <w:rPr>
                <w:rFonts w:ascii="Times New Roman"/>
                <w:b w:val="false"/>
                <w:i w:val="false"/>
                <w:color w:val="000000"/>
                <w:sz w:val="20"/>
              </w:rPr>
              <w:t>
   информация о деятельности, в отношении которой предприятие аккредитовано и сертифицировано, включая даты и содержание документов по аккредитации (сертификации), названия органов по аккредитации (сертификации).</w:t>
            </w:r>
          </w:p>
          <w:p>
            <w:pPr>
              <w:spacing w:after="20"/>
              <w:ind w:left="20"/>
              <w:jc w:val="both"/>
            </w:pPr>
            <w:r>
              <w:rPr>
                <w:rFonts w:ascii="Times New Roman"/>
                <w:b w:val="false"/>
                <w:i w:val="false"/>
                <w:color w:val="000000"/>
                <w:sz w:val="20"/>
              </w:rPr>
              <w:t>
   </w:t>
            </w:r>
            <w:r>
              <w:rPr>
                <w:rFonts w:ascii="Times New Roman"/>
                <w:b/>
                <w:i w:val="false"/>
                <w:color w:val="000000"/>
                <w:sz w:val="20"/>
              </w:rPr>
              <w:t>2.2. Процедуры выдачи разрешения на выпуск готовой продукции:</w:t>
            </w:r>
          </w:p>
          <w:p>
            <w:pPr>
              <w:spacing w:after="20"/>
              <w:ind w:left="20"/>
              <w:jc w:val="both"/>
            </w:pPr>
            <w:r>
              <w:rPr>
                <w:rFonts w:ascii="Times New Roman"/>
                <w:b w:val="false"/>
                <w:i w:val="false"/>
                <w:color w:val="000000"/>
                <w:sz w:val="20"/>
              </w:rPr>
              <w:t>
   детальное описание квалификационных требований - образование и опыт работы - к Уполномоченному(ым) лицу(ам), удостоверяющему соответствие серии установленным требованиям для выдачи разрешения на выпуск;</w:t>
            </w:r>
          </w:p>
          <w:p>
            <w:pPr>
              <w:spacing w:after="20"/>
              <w:ind w:left="20"/>
              <w:jc w:val="both"/>
            </w:pPr>
            <w:r>
              <w:rPr>
                <w:rFonts w:ascii="Times New Roman"/>
                <w:b w:val="false"/>
                <w:i w:val="false"/>
                <w:color w:val="000000"/>
                <w:sz w:val="20"/>
              </w:rPr>
              <w:t>
   общее описание процедуры подтверждения соответствия серии установленным требованиям и выдачи разрешения на выпуск;</w:t>
            </w:r>
          </w:p>
          <w:p>
            <w:pPr>
              <w:spacing w:after="20"/>
              <w:ind w:left="20"/>
              <w:jc w:val="both"/>
            </w:pPr>
            <w:r>
              <w:rPr>
                <w:rFonts w:ascii="Times New Roman"/>
                <w:b w:val="false"/>
                <w:i w:val="false"/>
                <w:color w:val="000000"/>
                <w:sz w:val="20"/>
              </w:rPr>
              <w:t>
   роль Уполномоченного лица в выдаче разрешения на выпуск готовой продукции, в том числе снятие с карантина, а также в подтверждении соответствия требованиям регистрационного досье;</w:t>
            </w:r>
          </w:p>
          <w:p>
            <w:pPr>
              <w:spacing w:after="20"/>
              <w:ind w:left="20"/>
              <w:jc w:val="both"/>
            </w:pPr>
            <w:r>
              <w:rPr>
                <w:rFonts w:ascii="Times New Roman"/>
                <w:b w:val="false"/>
                <w:i w:val="false"/>
                <w:color w:val="000000"/>
                <w:sz w:val="20"/>
              </w:rPr>
              <w:t>
   соглашения между уполномоченными лицами, если взаимодействуют несколько уполномоченных лиц;</w:t>
            </w:r>
          </w:p>
          <w:p>
            <w:pPr>
              <w:spacing w:after="20"/>
              <w:ind w:left="20"/>
              <w:jc w:val="both"/>
            </w:pPr>
            <w:r>
              <w:rPr>
                <w:rFonts w:ascii="Times New Roman"/>
                <w:b w:val="false"/>
                <w:i w:val="false"/>
                <w:color w:val="000000"/>
                <w:sz w:val="20"/>
              </w:rPr>
              <w:t>
   указание на то, что в стратегии контроля используют процессно-аналитическую технологию (далее - ПАТ) и (или) выпуск в реальном времени, или выпуск по параметрам, если таковые используются.</w:t>
            </w:r>
          </w:p>
          <w:p>
            <w:pPr>
              <w:spacing w:after="20"/>
              <w:ind w:left="20"/>
              <w:jc w:val="both"/>
            </w:pPr>
            <w:r>
              <w:rPr>
                <w:rFonts w:ascii="Times New Roman"/>
                <w:b w:val="false"/>
                <w:i w:val="false"/>
                <w:color w:val="000000"/>
                <w:sz w:val="20"/>
              </w:rPr>
              <w:t>
   </w:t>
            </w:r>
            <w:r>
              <w:rPr>
                <w:rFonts w:ascii="Times New Roman"/>
                <w:b/>
                <w:i w:val="false"/>
                <w:color w:val="000000"/>
                <w:sz w:val="20"/>
              </w:rPr>
              <w:t>2.3. Управление поставщиками и подрядчиками</w:t>
            </w:r>
          </w:p>
          <w:p>
            <w:pPr>
              <w:spacing w:after="20"/>
              <w:ind w:left="20"/>
              <w:jc w:val="both"/>
            </w:pPr>
            <w:r>
              <w:rPr>
                <w:rFonts w:ascii="Times New Roman"/>
                <w:b w:val="false"/>
                <w:i w:val="false"/>
                <w:color w:val="000000"/>
                <w:sz w:val="20"/>
              </w:rPr>
              <w:t>
   краткое резюме, содержащее информацию о цепях поставок, а также о программах внешнего аудита;</w:t>
            </w:r>
          </w:p>
          <w:p>
            <w:pPr>
              <w:spacing w:after="20"/>
              <w:ind w:left="20"/>
              <w:jc w:val="both"/>
            </w:pPr>
            <w:r>
              <w:rPr>
                <w:rFonts w:ascii="Times New Roman"/>
                <w:b w:val="false"/>
                <w:i w:val="false"/>
                <w:color w:val="000000"/>
                <w:sz w:val="20"/>
              </w:rPr>
              <w:t>
   краткое описание системы квалификации подрядчиков, производителей активных фармацевтических субстанций и других поставщиков критических материалов;</w:t>
            </w:r>
          </w:p>
          <w:p>
            <w:pPr>
              <w:spacing w:after="20"/>
              <w:ind w:left="20"/>
              <w:jc w:val="both"/>
            </w:pPr>
            <w:r>
              <w:rPr>
                <w:rFonts w:ascii="Times New Roman"/>
                <w:b w:val="false"/>
                <w:i w:val="false"/>
                <w:color w:val="000000"/>
                <w:sz w:val="20"/>
              </w:rPr>
              <w:t>
   мероприятия по обеспечению соответствия продукции требованиям руководств в отношении губчатой энцефалопатии;</w:t>
            </w:r>
          </w:p>
          <w:p>
            <w:pPr>
              <w:spacing w:after="20"/>
              <w:ind w:left="20"/>
              <w:jc w:val="both"/>
            </w:pPr>
            <w:r>
              <w:rPr>
                <w:rFonts w:ascii="Times New Roman"/>
                <w:b w:val="false"/>
                <w:i w:val="false"/>
                <w:color w:val="000000"/>
                <w:sz w:val="20"/>
              </w:rPr>
              <w:t>
   меры, предпринимаемые при подозрении или выявлении контрафактной, фальсифицированной продукции, в том числе нерасфасованной продукции, активных фармацевтических субстанций или вспомогательных веществ;</w:t>
            </w:r>
          </w:p>
          <w:p>
            <w:pPr>
              <w:spacing w:after="20"/>
              <w:ind w:left="20"/>
              <w:jc w:val="both"/>
            </w:pPr>
            <w:r>
              <w:rPr>
                <w:rFonts w:ascii="Times New Roman"/>
                <w:b w:val="false"/>
                <w:i w:val="false"/>
                <w:color w:val="000000"/>
                <w:sz w:val="20"/>
              </w:rPr>
              <w:t>
   использование внешней научной, аналитической или другой технической помощи, касающейся производства и анализа;</w:t>
            </w:r>
          </w:p>
          <w:p>
            <w:pPr>
              <w:spacing w:after="20"/>
              <w:ind w:left="20"/>
              <w:jc w:val="both"/>
            </w:pPr>
            <w:r>
              <w:rPr>
                <w:rFonts w:ascii="Times New Roman"/>
                <w:b w:val="false"/>
                <w:i w:val="false"/>
                <w:color w:val="000000"/>
                <w:sz w:val="20"/>
              </w:rPr>
              <w:t>
   перечень контрактных производителей и лабораторий, включая адреса и контактную информацию, а также схемы цепей поставок для контрактной деятельности по производству и контролю качества; например, стерилизация первичного упаковочного материала для процессов в асептических условиях, испытания исходного сырья;</w:t>
            </w:r>
          </w:p>
          <w:p>
            <w:pPr>
              <w:spacing w:after="20"/>
              <w:ind w:left="20"/>
              <w:jc w:val="both"/>
            </w:pPr>
            <w:r>
              <w:rPr>
                <w:rFonts w:ascii="Times New Roman"/>
                <w:b w:val="false"/>
                <w:i w:val="false"/>
                <w:color w:val="000000"/>
                <w:sz w:val="20"/>
              </w:rPr>
              <w:t>
   краткий обзор распределения ответственности между заказчиком и исполнителем в отношении требований регистрационного досье.</w:t>
            </w:r>
          </w:p>
          <w:p>
            <w:pPr>
              <w:spacing w:after="20"/>
              <w:ind w:left="20"/>
              <w:jc w:val="both"/>
            </w:pPr>
            <w:r>
              <w:rPr>
                <w:rFonts w:ascii="Times New Roman"/>
                <w:b w:val="false"/>
                <w:i w:val="false"/>
                <w:color w:val="000000"/>
                <w:sz w:val="20"/>
              </w:rPr>
              <w:t>
   </w:t>
            </w:r>
            <w:r>
              <w:rPr>
                <w:rFonts w:ascii="Times New Roman"/>
                <w:b/>
                <w:i w:val="false"/>
                <w:color w:val="000000"/>
                <w:sz w:val="20"/>
              </w:rPr>
              <w:t>2.4. Управление рисками для качества</w:t>
            </w:r>
          </w:p>
          <w:p>
            <w:pPr>
              <w:spacing w:after="20"/>
              <w:ind w:left="20"/>
              <w:jc w:val="both"/>
            </w:pPr>
            <w:r>
              <w:rPr>
                <w:rFonts w:ascii="Times New Roman"/>
                <w:b w:val="false"/>
                <w:i w:val="false"/>
                <w:color w:val="000000"/>
                <w:sz w:val="20"/>
              </w:rPr>
              <w:t>
   краткое описание используемой производителем методологии управления рисками для качества;</w:t>
            </w:r>
          </w:p>
          <w:p>
            <w:pPr>
              <w:spacing w:after="20"/>
              <w:ind w:left="20"/>
              <w:jc w:val="both"/>
            </w:pPr>
            <w:r>
              <w:rPr>
                <w:rFonts w:ascii="Times New Roman"/>
                <w:b w:val="false"/>
                <w:i w:val="false"/>
                <w:color w:val="000000"/>
                <w:sz w:val="20"/>
              </w:rPr>
              <w:t>
   сфера действия и направленность управления рисками для качества, включая краткое описание любой деятельности, осуществляемой на корпоративном уровне, а также локальной деятельности. Указывается любое применение системы управления рисками для качества для оценки непрерывности поставок.</w:t>
            </w:r>
          </w:p>
          <w:p>
            <w:pPr>
              <w:spacing w:after="20"/>
              <w:ind w:left="20"/>
              <w:jc w:val="both"/>
            </w:pPr>
            <w:r>
              <w:rPr>
                <w:rFonts w:ascii="Times New Roman"/>
                <w:b w:val="false"/>
                <w:i w:val="false"/>
                <w:color w:val="000000"/>
                <w:sz w:val="20"/>
              </w:rPr>
              <w:t>
   </w:t>
            </w:r>
            <w:r>
              <w:rPr>
                <w:rFonts w:ascii="Times New Roman"/>
                <w:b/>
                <w:i w:val="false"/>
                <w:color w:val="000000"/>
                <w:sz w:val="20"/>
              </w:rPr>
              <w:t>2.5. Обзоры качества продукции</w:t>
            </w:r>
          </w:p>
          <w:p>
            <w:pPr>
              <w:spacing w:after="20"/>
              <w:ind w:left="20"/>
              <w:jc w:val="both"/>
            </w:pPr>
            <w:r>
              <w:rPr>
                <w:rFonts w:ascii="Times New Roman"/>
                <w:b w:val="false"/>
                <w:i w:val="false"/>
                <w:color w:val="000000"/>
                <w:sz w:val="20"/>
              </w:rPr>
              <w:t>
   краткое описание примененной методологии. </w:t>
            </w:r>
          </w:p>
          <w:p>
            <w:pPr>
              <w:spacing w:after="20"/>
              <w:ind w:left="20"/>
              <w:jc w:val="both"/>
            </w:pPr>
            <w:r>
              <w:rPr>
                <w:rFonts w:ascii="Times New Roman"/>
                <w:b w:val="false"/>
                <w:i w:val="false"/>
                <w:color w:val="000000"/>
                <w:sz w:val="20"/>
              </w:rPr>
              <w:t>
</w:t>
            </w:r>
            <w:r>
              <w:rPr>
                <w:rFonts w:ascii="Times New Roman"/>
                <w:b/>
                <w:i w:val="false"/>
                <w:color w:val="000000"/>
                <w:sz w:val="20"/>
              </w:rPr>
              <w:t>3. Персонал</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схема организационной структуры с указанием должностей или позиций в управлении качеством, производстве и контроле качества, включая высшее руководство и уполномоченное(ые) лицо(а); </w:t>
            </w:r>
          </w:p>
          <w:p>
            <w:pPr>
              <w:spacing w:after="20"/>
              <w:ind w:left="20"/>
              <w:jc w:val="both"/>
            </w:pPr>
            <w:r>
              <w:rPr>
                <w:rFonts w:ascii="Times New Roman"/>
                <w:b w:val="false"/>
                <w:i w:val="false"/>
                <w:color w:val="000000"/>
                <w:sz w:val="20"/>
              </w:rPr>
              <w:t>
   количество персонала, занятого в управлении качеством, производстве, контроле качества, хранении и реализации. </w:t>
            </w:r>
          </w:p>
          <w:p>
            <w:pPr>
              <w:spacing w:after="20"/>
              <w:ind w:left="20"/>
              <w:jc w:val="both"/>
            </w:pPr>
            <w:r>
              <w:rPr>
                <w:rFonts w:ascii="Times New Roman"/>
                <w:b w:val="false"/>
                <w:i w:val="false"/>
                <w:color w:val="000000"/>
                <w:sz w:val="20"/>
              </w:rPr>
              <w:t>
</w:t>
            </w:r>
            <w:r>
              <w:rPr>
                <w:rFonts w:ascii="Times New Roman"/>
                <w:b/>
                <w:i w:val="false"/>
                <w:color w:val="000000"/>
                <w:sz w:val="20"/>
              </w:rPr>
              <w:t>4. Помещения и оборудование</w:t>
            </w:r>
          </w:p>
          <w:p>
            <w:pPr>
              <w:spacing w:after="20"/>
              <w:ind w:left="20"/>
              <w:jc w:val="both"/>
            </w:pPr>
            <w:r>
              <w:rPr>
                <w:rFonts w:ascii="Times New Roman"/>
                <w:b w:val="false"/>
                <w:i w:val="false"/>
                <w:color w:val="000000"/>
                <w:sz w:val="20"/>
              </w:rPr>
              <w:t>
   </w:t>
            </w:r>
            <w:r>
              <w:rPr>
                <w:rFonts w:ascii="Times New Roman"/>
                <w:b/>
                <w:i w:val="false"/>
                <w:color w:val="000000"/>
                <w:sz w:val="20"/>
              </w:rPr>
              <w:t>4.1. Помещения:</w:t>
            </w:r>
          </w:p>
          <w:p>
            <w:pPr>
              <w:spacing w:after="20"/>
              <w:ind w:left="20"/>
              <w:jc w:val="both"/>
            </w:pPr>
            <w:r>
              <w:rPr>
                <w:rFonts w:ascii="Times New Roman"/>
                <w:b w:val="false"/>
                <w:i w:val="false"/>
                <w:color w:val="000000"/>
                <w:sz w:val="20"/>
              </w:rPr>
              <w:t>
   краткое описание предприятия, размер производственной площадки и перечень зданий и сооружений. Если производство для различных рынков осуществляется в различных зданиях производственной площадки, приводят перечень этих зданий и сооружений с указанием рынков, для которых предназначена производимая продукция;</w:t>
            </w:r>
          </w:p>
          <w:p>
            <w:pPr>
              <w:spacing w:after="20"/>
              <w:ind w:left="20"/>
              <w:jc w:val="both"/>
            </w:pPr>
            <w:r>
              <w:rPr>
                <w:rFonts w:ascii="Times New Roman"/>
                <w:b w:val="false"/>
                <w:i w:val="false"/>
                <w:color w:val="000000"/>
                <w:sz w:val="20"/>
              </w:rPr>
              <w:t>
   простой план или описание производственных участков или площадок с указанием масштаба, архитектурные и инженерные чертежи не приводятся;</w:t>
            </w:r>
          </w:p>
          <w:p>
            <w:pPr>
              <w:spacing w:after="20"/>
              <w:ind w:left="20"/>
              <w:jc w:val="both"/>
            </w:pPr>
            <w:r>
              <w:rPr>
                <w:rFonts w:ascii="Times New Roman"/>
                <w:b w:val="false"/>
                <w:i w:val="false"/>
                <w:color w:val="000000"/>
                <w:sz w:val="20"/>
              </w:rPr>
              <w:t>
   планы и схемы производственных зон с указанием класса чистоты помещений и перепадов давления между прилегающими зонами, а также технологические операции, проводимые в помещениях;</w:t>
            </w:r>
          </w:p>
          <w:p>
            <w:pPr>
              <w:spacing w:after="20"/>
              <w:ind w:left="20"/>
              <w:jc w:val="both"/>
            </w:pPr>
            <w:r>
              <w:rPr>
                <w:rFonts w:ascii="Times New Roman"/>
                <w:b w:val="false"/>
                <w:i w:val="false"/>
                <w:color w:val="000000"/>
                <w:sz w:val="20"/>
              </w:rPr>
              <w:t>
   планы складских помещений и зон хранения с обозначением специальных зон для хранения и обработки особо токсичных, опасных и сенсибилизирующих веществ, при их наличии;</w:t>
            </w:r>
          </w:p>
          <w:p>
            <w:pPr>
              <w:spacing w:after="20"/>
              <w:ind w:left="20"/>
              <w:jc w:val="both"/>
            </w:pPr>
            <w:r>
              <w:rPr>
                <w:rFonts w:ascii="Times New Roman"/>
                <w:b w:val="false"/>
                <w:i w:val="false"/>
                <w:color w:val="000000"/>
                <w:sz w:val="20"/>
              </w:rPr>
              <w:t xml:space="preserve">
   краткое описание не отмеченных в планах специальных условий хранения, при необходимости. </w:t>
            </w:r>
          </w:p>
          <w:p>
            <w:pPr>
              <w:spacing w:after="20"/>
              <w:ind w:left="20"/>
              <w:jc w:val="both"/>
            </w:pPr>
            <w:r>
              <w:rPr>
                <w:rFonts w:ascii="Times New Roman"/>
                <w:b w:val="false"/>
                <w:i w:val="false"/>
                <w:color w:val="000000"/>
                <w:sz w:val="20"/>
              </w:rPr>
              <w:t>
   4.1.1. краткое описание систем нагрева, вентиляции и кондиционирования воздуха:</w:t>
            </w:r>
          </w:p>
          <w:p>
            <w:pPr>
              <w:spacing w:after="20"/>
              <w:ind w:left="20"/>
              <w:jc w:val="both"/>
            </w:pPr>
            <w:r>
              <w:rPr>
                <w:rFonts w:ascii="Times New Roman"/>
                <w:b w:val="false"/>
                <w:i w:val="false"/>
                <w:color w:val="000000"/>
                <w:sz w:val="20"/>
              </w:rPr>
              <w:t>
   принципы определения подачи воздуха, температуры, влажности, перепада давления и кратности обмена воздуха, уровень рециркуляции воздуха в процентах.</w:t>
            </w:r>
          </w:p>
          <w:p>
            <w:pPr>
              <w:spacing w:after="20"/>
              <w:ind w:left="20"/>
              <w:jc w:val="both"/>
            </w:pPr>
            <w:r>
              <w:rPr>
                <w:rFonts w:ascii="Times New Roman"/>
                <w:b w:val="false"/>
                <w:i w:val="false"/>
                <w:color w:val="000000"/>
                <w:sz w:val="20"/>
              </w:rPr>
              <w:t>
   4.1.2. краткое описание систем водоподготовки:</w:t>
            </w:r>
          </w:p>
          <w:p>
            <w:pPr>
              <w:spacing w:after="20"/>
              <w:ind w:left="20"/>
              <w:jc w:val="both"/>
            </w:pPr>
            <w:r>
              <w:rPr>
                <w:rFonts w:ascii="Times New Roman"/>
                <w:b w:val="false"/>
                <w:i w:val="false"/>
                <w:color w:val="000000"/>
                <w:sz w:val="20"/>
              </w:rPr>
              <w:t>
   указание качества производимой воды.</w:t>
            </w:r>
          </w:p>
          <w:p>
            <w:pPr>
              <w:spacing w:after="20"/>
              <w:ind w:left="20"/>
              <w:jc w:val="both"/>
            </w:pPr>
            <w:r>
              <w:rPr>
                <w:rFonts w:ascii="Times New Roman"/>
                <w:b w:val="false"/>
                <w:i w:val="false"/>
                <w:color w:val="000000"/>
                <w:sz w:val="20"/>
              </w:rPr>
              <w:t>
   схематические чертежи систем.</w:t>
            </w:r>
          </w:p>
          <w:p>
            <w:pPr>
              <w:spacing w:after="20"/>
              <w:ind w:left="20"/>
              <w:jc w:val="both"/>
            </w:pPr>
            <w:r>
              <w:rPr>
                <w:rFonts w:ascii="Times New Roman"/>
                <w:b w:val="false"/>
                <w:i w:val="false"/>
                <w:color w:val="000000"/>
                <w:sz w:val="20"/>
              </w:rPr>
              <w:t>
   4.1.3. краткое описание других систем обеспечения, таких как системы подачи пара, сжатого воздуха, азота и других веществ и соединений.</w:t>
            </w:r>
          </w:p>
          <w:p>
            <w:pPr>
              <w:spacing w:after="20"/>
              <w:ind w:left="20"/>
              <w:jc w:val="both"/>
            </w:pPr>
            <w:r>
              <w:rPr>
                <w:rFonts w:ascii="Times New Roman"/>
                <w:b w:val="false"/>
                <w:i w:val="false"/>
                <w:color w:val="000000"/>
                <w:sz w:val="20"/>
              </w:rPr>
              <w:t>
   </w:t>
            </w:r>
            <w:r>
              <w:rPr>
                <w:rFonts w:ascii="Times New Roman"/>
                <w:b/>
                <w:i w:val="false"/>
                <w:color w:val="000000"/>
                <w:sz w:val="20"/>
              </w:rPr>
              <w:t>4.2. Оборудование</w:t>
            </w:r>
          </w:p>
          <w:p>
            <w:pPr>
              <w:spacing w:after="20"/>
              <w:ind w:left="20"/>
              <w:jc w:val="both"/>
            </w:pPr>
            <w:r>
              <w:rPr>
                <w:rFonts w:ascii="Times New Roman"/>
                <w:b w:val="false"/>
                <w:i w:val="false"/>
                <w:color w:val="000000"/>
                <w:sz w:val="20"/>
              </w:rPr>
              <w:t>
   4.2.1. перечень основного технологического оборудования и контрольного лабораторного оборудования с обозначением критических единиц.</w:t>
            </w:r>
          </w:p>
          <w:p>
            <w:pPr>
              <w:spacing w:after="20"/>
              <w:ind w:left="20"/>
              <w:jc w:val="both"/>
            </w:pPr>
            <w:r>
              <w:rPr>
                <w:rFonts w:ascii="Times New Roman"/>
                <w:b w:val="false"/>
                <w:i w:val="false"/>
                <w:color w:val="000000"/>
                <w:sz w:val="20"/>
              </w:rPr>
              <w:t>
   4.2.2. очистка и дезинфекция:</w:t>
            </w:r>
          </w:p>
          <w:p>
            <w:pPr>
              <w:spacing w:after="20"/>
              <w:ind w:left="20"/>
              <w:jc w:val="both"/>
            </w:pPr>
            <w:r>
              <w:rPr>
                <w:rFonts w:ascii="Times New Roman"/>
                <w:b w:val="false"/>
                <w:i w:val="false"/>
                <w:color w:val="000000"/>
                <w:sz w:val="20"/>
              </w:rPr>
              <w:t>
   краткое описание методов очистки и дезинфекции контактирующих с продукцией поверхностей, например, ручная очистка, автоматическая система "очистка на месте".</w:t>
            </w:r>
          </w:p>
          <w:p>
            <w:pPr>
              <w:spacing w:after="20"/>
              <w:ind w:left="20"/>
              <w:jc w:val="both"/>
            </w:pPr>
            <w:r>
              <w:rPr>
                <w:rFonts w:ascii="Times New Roman"/>
                <w:b w:val="false"/>
                <w:i w:val="false"/>
                <w:color w:val="000000"/>
                <w:sz w:val="20"/>
              </w:rPr>
              <w:t>
   4.2.3. компьютеризированные системы, критические с точки зрения требований настоящего Стандарта:</w:t>
            </w:r>
          </w:p>
          <w:p>
            <w:pPr>
              <w:spacing w:after="20"/>
              <w:ind w:left="20"/>
              <w:jc w:val="both"/>
            </w:pPr>
            <w:r>
              <w:rPr>
                <w:rFonts w:ascii="Times New Roman"/>
                <w:b w:val="false"/>
                <w:i w:val="false"/>
                <w:color w:val="000000"/>
                <w:sz w:val="20"/>
              </w:rPr>
              <w:t>
   описание компьютеризированных систем, критических с точки зрения требований настоящего Стандарта, за исключением оборудования со специальными программируемыми логическими контрoллерами. </w:t>
            </w:r>
          </w:p>
          <w:p>
            <w:pPr>
              <w:spacing w:after="20"/>
              <w:ind w:left="20"/>
              <w:jc w:val="both"/>
            </w:pPr>
            <w:r>
              <w:rPr>
                <w:rFonts w:ascii="Times New Roman"/>
                <w:b w:val="false"/>
                <w:i w:val="false"/>
                <w:color w:val="000000"/>
                <w:sz w:val="20"/>
              </w:rPr>
              <w:t>
</w:t>
            </w:r>
            <w:r>
              <w:rPr>
                <w:rFonts w:ascii="Times New Roman"/>
                <w:b/>
                <w:i w:val="false"/>
                <w:color w:val="000000"/>
                <w:sz w:val="20"/>
              </w:rPr>
              <w:t>5. Документация</w:t>
            </w:r>
            <w:r>
              <w:rPr>
                <w:rFonts w:ascii="Times New Roman"/>
                <w:b w:val="false"/>
                <w:i w:val="false"/>
                <w:color w:val="000000"/>
                <w:sz w:val="20"/>
              </w:rPr>
              <w:t> </w:t>
            </w:r>
          </w:p>
          <w:p>
            <w:pPr>
              <w:spacing w:after="20"/>
              <w:ind w:left="20"/>
              <w:jc w:val="both"/>
            </w:pPr>
            <w:r>
              <w:rPr>
                <w:rFonts w:ascii="Times New Roman"/>
                <w:b w:val="false"/>
                <w:i w:val="false"/>
                <w:color w:val="000000"/>
                <w:sz w:val="20"/>
              </w:rPr>
              <w:t>
   Описание системы документации: электронной и (или) ручной.</w:t>
            </w:r>
          </w:p>
          <w:p>
            <w:pPr>
              <w:spacing w:after="20"/>
              <w:ind w:left="20"/>
              <w:jc w:val="both"/>
            </w:pPr>
            <w:r>
              <w:rPr>
                <w:rFonts w:ascii="Times New Roman"/>
                <w:b w:val="false"/>
                <w:i w:val="false"/>
                <w:color w:val="000000"/>
                <w:sz w:val="20"/>
              </w:rPr>
              <w:t>
   Если документы и записи хранят или архивируют за пределами производственной площадки, включая данные по мониторингу безопасности лекарственных препаратов, при наличии: перечень видов документов или записей; название и адрес иной площадки, где хранят документацию, а также приблизительное время, необходимое для получения документов из архива, находящегося за пределами площадки. </w:t>
            </w:r>
          </w:p>
          <w:p>
            <w:pPr>
              <w:spacing w:after="20"/>
              <w:ind w:left="20"/>
              <w:jc w:val="both"/>
            </w:pPr>
            <w:r>
              <w:rPr>
                <w:rFonts w:ascii="Times New Roman"/>
                <w:b w:val="false"/>
                <w:i w:val="false"/>
                <w:color w:val="000000"/>
                <w:sz w:val="20"/>
              </w:rPr>
              <w:t>
</w:t>
            </w:r>
            <w:r>
              <w:rPr>
                <w:rFonts w:ascii="Times New Roman"/>
                <w:b/>
                <w:i w:val="false"/>
                <w:color w:val="000000"/>
                <w:sz w:val="20"/>
              </w:rPr>
              <w:t>6. Технологический процесс</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6.1. Виды продукции</w:t>
            </w:r>
          </w:p>
          <w:p>
            <w:pPr>
              <w:spacing w:after="20"/>
              <w:ind w:left="20"/>
              <w:jc w:val="both"/>
            </w:pPr>
            <w:r>
              <w:rPr>
                <w:rFonts w:ascii="Times New Roman"/>
                <w:b w:val="false"/>
                <w:i w:val="false"/>
                <w:color w:val="000000"/>
                <w:sz w:val="20"/>
              </w:rPr>
              <w:t>
   Виды производимой продукции, включая:</w:t>
            </w:r>
          </w:p>
          <w:p>
            <w:pPr>
              <w:spacing w:after="20"/>
              <w:ind w:left="20"/>
              <w:jc w:val="both"/>
            </w:pPr>
            <w:r>
              <w:rPr>
                <w:rFonts w:ascii="Times New Roman"/>
                <w:b w:val="false"/>
                <w:i w:val="false"/>
                <w:color w:val="000000"/>
                <w:sz w:val="20"/>
              </w:rPr>
              <w:t>
   перечень лекарственных форм как лекарственных препаратов для медицинского применения, производимых на площадке;</w:t>
            </w:r>
          </w:p>
          <w:p>
            <w:pPr>
              <w:spacing w:after="20"/>
              <w:ind w:left="20"/>
              <w:jc w:val="both"/>
            </w:pPr>
            <w:r>
              <w:rPr>
                <w:rFonts w:ascii="Times New Roman"/>
                <w:b w:val="false"/>
                <w:i w:val="false"/>
                <w:color w:val="000000"/>
                <w:sz w:val="20"/>
              </w:rPr>
              <w:t>
   перечень лекарственных форм лекарственных препаратов, производимых на площадке для любых клинических исследований; следует предоставить информацию о производственных зонах и персонале, если они отличны от тех, что используются при серийном производстве;</w:t>
            </w:r>
          </w:p>
          <w:p>
            <w:pPr>
              <w:spacing w:after="20"/>
              <w:ind w:left="20"/>
              <w:jc w:val="both"/>
            </w:pPr>
            <w:r>
              <w:rPr>
                <w:rFonts w:ascii="Times New Roman"/>
                <w:b w:val="false"/>
                <w:i w:val="false"/>
                <w:color w:val="000000"/>
                <w:sz w:val="20"/>
              </w:rPr>
              <w:t>
   токсичные или опасные вещества, например, вещества с высокой фармакологической активностью и (или) сенсибилизирующими свойствами;</w:t>
            </w:r>
          </w:p>
          <w:p>
            <w:pPr>
              <w:spacing w:after="20"/>
              <w:ind w:left="20"/>
              <w:jc w:val="both"/>
            </w:pPr>
            <w:r>
              <w:rPr>
                <w:rFonts w:ascii="Times New Roman"/>
                <w:b w:val="false"/>
                <w:i w:val="false"/>
                <w:color w:val="000000"/>
                <w:sz w:val="20"/>
              </w:rPr>
              <w:t>
   виды продукции, производимой в специально предназначенных помещениях или на основе принципа кампаний, циклов производства, при наличии;</w:t>
            </w:r>
          </w:p>
          <w:p>
            <w:pPr>
              <w:spacing w:after="20"/>
              <w:ind w:left="20"/>
              <w:jc w:val="both"/>
            </w:pPr>
            <w:r>
              <w:rPr>
                <w:rFonts w:ascii="Times New Roman"/>
                <w:b w:val="false"/>
                <w:i w:val="false"/>
                <w:color w:val="000000"/>
                <w:sz w:val="20"/>
              </w:rPr>
              <w:t>
   использование ПАТ, при наличии: общее описание соответствующей технологии и связанных с ней компьютеризированных систем.</w:t>
            </w:r>
          </w:p>
          <w:p>
            <w:pPr>
              <w:spacing w:after="20"/>
              <w:ind w:left="20"/>
              <w:jc w:val="both"/>
            </w:pPr>
            <w:r>
              <w:rPr>
                <w:rFonts w:ascii="Times New Roman"/>
                <w:b w:val="false"/>
                <w:i w:val="false"/>
                <w:color w:val="000000"/>
                <w:sz w:val="20"/>
              </w:rPr>
              <w:t>
   </w:t>
            </w:r>
            <w:r>
              <w:rPr>
                <w:rFonts w:ascii="Times New Roman"/>
                <w:b/>
                <w:i w:val="false"/>
                <w:color w:val="000000"/>
                <w:sz w:val="20"/>
              </w:rPr>
              <w:t>6.2. Валидация процессов</w:t>
            </w:r>
          </w:p>
          <w:p>
            <w:pPr>
              <w:spacing w:after="20"/>
              <w:ind w:left="20"/>
              <w:jc w:val="both"/>
            </w:pPr>
            <w:r>
              <w:rPr>
                <w:rFonts w:ascii="Times New Roman"/>
                <w:b w:val="false"/>
                <w:i w:val="false"/>
                <w:color w:val="000000"/>
                <w:sz w:val="20"/>
              </w:rPr>
              <w:t>
   краткое описание общей политики в отношении валидации процессов;</w:t>
            </w:r>
          </w:p>
          <w:p>
            <w:pPr>
              <w:spacing w:after="20"/>
              <w:ind w:left="20"/>
              <w:jc w:val="both"/>
            </w:pPr>
            <w:r>
              <w:rPr>
                <w:rFonts w:ascii="Times New Roman"/>
                <w:b w:val="false"/>
                <w:i w:val="false"/>
                <w:color w:val="000000"/>
                <w:sz w:val="20"/>
              </w:rPr>
              <w:t>
   политика в отношении повторной обработки и переработки.</w:t>
            </w:r>
          </w:p>
          <w:p>
            <w:pPr>
              <w:spacing w:after="20"/>
              <w:ind w:left="20"/>
              <w:jc w:val="both"/>
            </w:pPr>
            <w:r>
              <w:rPr>
                <w:rFonts w:ascii="Times New Roman"/>
                <w:b w:val="false"/>
                <w:i w:val="false"/>
                <w:color w:val="000000"/>
                <w:sz w:val="20"/>
              </w:rPr>
              <w:t>
   </w:t>
            </w:r>
            <w:r>
              <w:rPr>
                <w:rFonts w:ascii="Times New Roman"/>
                <w:b/>
                <w:i w:val="false"/>
                <w:color w:val="000000"/>
                <w:sz w:val="20"/>
              </w:rPr>
              <w:t>6.3. Управление материалами и складское хранение</w:t>
            </w:r>
          </w:p>
          <w:p>
            <w:pPr>
              <w:spacing w:after="20"/>
              <w:ind w:left="20"/>
              <w:jc w:val="both"/>
            </w:pPr>
            <w:r>
              <w:rPr>
                <w:rFonts w:ascii="Times New Roman"/>
                <w:b w:val="false"/>
                <w:i w:val="false"/>
                <w:color w:val="000000"/>
                <w:sz w:val="20"/>
              </w:rPr>
              <w:t>
   мероприятия по обращению с исходным сырьем, упаковочными материалами, нерасфасованной и готовой продукцией, включая отбор проб, карантин, выдачу разрешения на выпуск и хранение;</w:t>
            </w:r>
          </w:p>
          <w:p>
            <w:pPr>
              <w:spacing w:after="20"/>
              <w:ind w:left="20"/>
              <w:jc w:val="both"/>
            </w:pPr>
            <w:r>
              <w:rPr>
                <w:rFonts w:ascii="Times New Roman"/>
                <w:b w:val="false"/>
                <w:i w:val="false"/>
                <w:color w:val="000000"/>
                <w:sz w:val="20"/>
              </w:rPr>
              <w:t>
   мероприятия по обращению с отклоненными материалами и продукцией.</w:t>
            </w:r>
          </w:p>
          <w:p>
            <w:pPr>
              <w:spacing w:after="20"/>
              <w:ind w:left="20"/>
              <w:jc w:val="both"/>
            </w:pPr>
            <w:r>
              <w:rPr>
                <w:rFonts w:ascii="Times New Roman"/>
                <w:b w:val="false"/>
                <w:i w:val="false"/>
                <w:color w:val="000000"/>
                <w:sz w:val="20"/>
              </w:rPr>
              <w:t>
</w:t>
            </w:r>
            <w:r>
              <w:rPr>
                <w:rFonts w:ascii="Times New Roman"/>
                <w:b/>
                <w:i w:val="false"/>
                <w:color w:val="000000"/>
                <w:sz w:val="20"/>
              </w:rPr>
              <w:t>7. Контроль качества</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Описание деятельности по контролю качества, осуществляемой на производственной площадке в отношении физических, химических, микробиологических и биологических испытаний. </w:t>
            </w:r>
          </w:p>
          <w:p>
            <w:pPr>
              <w:spacing w:after="20"/>
              <w:ind w:left="20"/>
              <w:jc w:val="both"/>
            </w:pPr>
            <w:r>
              <w:rPr>
                <w:rFonts w:ascii="Times New Roman"/>
                <w:b w:val="false"/>
                <w:i w:val="false"/>
                <w:color w:val="000000"/>
                <w:sz w:val="20"/>
              </w:rPr>
              <w:t>
</w:t>
            </w:r>
            <w:r>
              <w:rPr>
                <w:rFonts w:ascii="Times New Roman"/>
                <w:b/>
                <w:i w:val="false"/>
                <w:color w:val="000000"/>
                <w:sz w:val="20"/>
              </w:rPr>
              <w:t>8. Дистрибьюция, претензии, дефекты продукции и отзывы</w:t>
            </w:r>
          </w:p>
          <w:p>
            <w:pPr>
              <w:spacing w:after="20"/>
              <w:ind w:left="20"/>
              <w:jc w:val="both"/>
            </w:pPr>
            <w:r>
              <w:rPr>
                <w:rFonts w:ascii="Times New Roman"/>
                <w:b w:val="false"/>
                <w:i w:val="false"/>
                <w:color w:val="000000"/>
                <w:sz w:val="20"/>
              </w:rPr>
              <w:t>
   </w:t>
            </w:r>
            <w:r>
              <w:rPr>
                <w:rFonts w:ascii="Times New Roman"/>
                <w:b/>
                <w:i w:val="false"/>
                <w:color w:val="000000"/>
                <w:sz w:val="20"/>
              </w:rPr>
              <w:t>8.1. Дистрибьюция: в части ответственности производителя</w:t>
            </w:r>
          </w:p>
          <w:p>
            <w:pPr>
              <w:spacing w:after="20"/>
              <w:ind w:left="20"/>
              <w:jc w:val="both"/>
            </w:pPr>
            <w:r>
              <w:rPr>
                <w:rFonts w:ascii="Times New Roman"/>
                <w:b w:val="false"/>
                <w:i w:val="false"/>
                <w:color w:val="000000"/>
                <w:sz w:val="20"/>
              </w:rPr>
              <w:t>
   типы организаций: лицензиаты-производители или лицензиаты-дистрибьюторы, которым поставляется продукция производственной площадки, и их местонахождение;</w:t>
            </w:r>
          </w:p>
          <w:p>
            <w:pPr>
              <w:spacing w:after="20"/>
              <w:ind w:left="20"/>
              <w:jc w:val="both"/>
            </w:pPr>
            <w:r>
              <w:rPr>
                <w:rFonts w:ascii="Times New Roman"/>
                <w:b w:val="false"/>
                <w:i w:val="false"/>
                <w:color w:val="000000"/>
                <w:sz w:val="20"/>
              </w:rPr>
              <w:t>
   описание системы, применяемой для подтверждения того, что каждый потребитель или получатель имеет юридическое право получать от производителя лекарственные средства;</w:t>
            </w:r>
          </w:p>
          <w:p>
            <w:pPr>
              <w:spacing w:after="20"/>
              <w:ind w:left="20"/>
              <w:jc w:val="both"/>
            </w:pPr>
            <w:r>
              <w:rPr>
                <w:rFonts w:ascii="Times New Roman"/>
                <w:b w:val="false"/>
                <w:i w:val="false"/>
                <w:color w:val="000000"/>
                <w:sz w:val="20"/>
              </w:rPr>
              <w:t>
   краткое описание системы обеспечения соответствующих условий во время перевозок, например, мониторинг или контроль температуры;</w:t>
            </w:r>
          </w:p>
          <w:p>
            <w:pPr>
              <w:spacing w:after="20"/>
              <w:ind w:left="20"/>
              <w:jc w:val="both"/>
            </w:pPr>
            <w:r>
              <w:rPr>
                <w:rFonts w:ascii="Times New Roman"/>
                <w:b w:val="false"/>
                <w:i w:val="false"/>
                <w:color w:val="000000"/>
                <w:sz w:val="20"/>
              </w:rPr>
              <w:t>
   организация дистрибьюции и методы, которыми обеспечивается прослеживаемость продукции;</w:t>
            </w:r>
          </w:p>
          <w:p>
            <w:pPr>
              <w:spacing w:after="20"/>
              <w:ind w:left="20"/>
              <w:jc w:val="both"/>
            </w:pPr>
            <w:r>
              <w:rPr>
                <w:rFonts w:ascii="Times New Roman"/>
                <w:b w:val="false"/>
                <w:i w:val="false"/>
                <w:color w:val="000000"/>
                <w:sz w:val="20"/>
              </w:rPr>
              <w:t>
   меры по предупреждению попадания продукции производителя в незаконную цепь поставок. </w:t>
            </w:r>
          </w:p>
          <w:p>
            <w:pPr>
              <w:spacing w:after="20"/>
              <w:ind w:left="20"/>
              <w:jc w:val="both"/>
            </w:pPr>
            <w:r>
              <w:rPr>
                <w:rFonts w:ascii="Times New Roman"/>
                <w:b w:val="false"/>
                <w:i w:val="false"/>
                <w:color w:val="000000"/>
                <w:sz w:val="20"/>
              </w:rPr>
              <w:t>
   </w:t>
            </w:r>
            <w:r>
              <w:rPr>
                <w:rFonts w:ascii="Times New Roman"/>
                <w:b/>
                <w:i w:val="false"/>
                <w:color w:val="000000"/>
                <w:sz w:val="20"/>
              </w:rPr>
              <w:t>8.2. Претензии, дефекты продукции и отзывы</w:t>
            </w:r>
            <w:r>
              <w:rPr>
                <w:rFonts w:ascii="Times New Roman"/>
                <w:b w:val="false"/>
                <w:i w:val="false"/>
                <w:color w:val="000000"/>
                <w:sz w:val="20"/>
              </w:rPr>
              <w:t> </w:t>
            </w:r>
          </w:p>
          <w:p>
            <w:pPr>
              <w:spacing w:after="20"/>
              <w:ind w:left="20"/>
              <w:jc w:val="both"/>
            </w:pPr>
            <w:r>
              <w:rPr>
                <w:rFonts w:ascii="Times New Roman"/>
                <w:b w:val="false"/>
                <w:i w:val="false"/>
                <w:color w:val="000000"/>
                <w:sz w:val="20"/>
              </w:rPr>
              <w:t>
   Краткое описание системы работы с претензиями, дефектами продукции и по отзывам.</w:t>
            </w:r>
          </w:p>
          <w:p>
            <w:pPr>
              <w:spacing w:after="20"/>
              <w:ind w:left="20"/>
              <w:jc w:val="both"/>
            </w:pPr>
            <w:r>
              <w:rPr>
                <w:rFonts w:ascii="Times New Roman"/>
                <w:b w:val="false"/>
                <w:i w:val="false"/>
                <w:color w:val="000000"/>
                <w:sz w:val="20"/>
              </w:rPr>
              <w:t>
</w:t>
            </w:r>
            <w:r>
              <w:rPr>
                <w:rFonts w:ascii="Times New Roman"/>
                <w:b/>
                <w:i w:val="false"/>
                <w:color w:val="000000"/>
                <w:sz w:val="20"/>
              </w:rPr>
              <w:t>9. Самоинспекция</w:t>
            </w:r>
            <w:r>
              <w:rPr>
                <w:rFonts w:ascii="Times New Roman"/>
                <w:b w:val="false"/>
                <w:i w:val="false"/>
                <w:color w:val="000000"/>
                <w:sz w:val="20"/>
              </w:rPr>
              <w:t> </w:t>
            </w:r>
          </w:p>
          <w:p>
            <w:pPr>
              <w:spacing w:after="20"/>
              <w:ind w:left="20"/>
              <w:jc w:val="both"/>
            </w:pPr>
            <w:r>
              <w:rPr>
                <w:rFonts w:ascii="Times New Roman"/>
                <w:b w:val="false"/>
                <w:i w:val="false"/>
                <w:color w:val="000000"/>
                <w:sz w:val="20"/>
              </w:rPr>
              <w:t>
   Краткое описание системы самоинспекций с особым вниманием к критериям выбора планово инспектируемых зон, практические мероприятия и дальнейшие действия.</w:t>
            </w:r>
          </w:p>
          <w:p>
            <w:pPr>
              <w:spacing w:after="20"/>
              <w:ind w:left="20"/>
              <w:jc w:val="both"/>
            </w:pPr>
            <w:r>
              <w:rPr>
                <w:rFonts w:ascii="Times New Roman"/>
                <w:b w:val="false"/>
                <w:i w:val="false"/>
                <w:color w:val="000000"/>
                <w:sz w:val="20"/>
              </w:rPr>
              <w:t>
   </w:t>
            </w:r>
            <w:r>
              <w:rPr>
                <w:rFonts w:ascii="Times New Roman"/>
                <w:b/>
                <w:i w:val="false"/>
                <w:color w:val="000000"/>
                <w:sz w:val="20"/>
              </w:rPr>
              <w:t>Перечень необходимых приложений к досье производственной площадки</w:t>
            </w:r>
          </w:p>
          <w:p>
            <w:pPr>
              <w:spacing w:after="20"/>
              <w:ind w:left="20"/>
              <w:jc w:val="both"/>
            </w:pPr>
            <w:r>
              <w:rPr>
                <w:rFonts w:ascii="Times New Roman"/>
                <w:b w:val="false"/>
                <w:i w:val="false"/>
                <w:color w:val="000000"/>
                <w:sz w:val="20"/>
              </w:rPr>
              <w:t>
   1. Копия действующей лицензии на производство;</w:t>
            </w:r>
          </w:p>
          <w:p>
            <w:pPr>
              <w:spacing w:after="20"/>
              <w:ind w:left="20"/>
              <w:jc w:val="both"/>
            </w:pPr>
            <w:r>
              <w:rPr>
                <w:rFonts w:ascii="Times New Roman"/>
                <w:b w:val="false"/>
                <w:i w:val="false"/>
                <w:color w:val="000000"/>
                <w:sz w:val="20"/>
              </w:rPr>
              <w:t>
   2. Перечень производимых лекарственных форм с указанием международных непатентованных названий или общепринятых названий используемых активных фармацевтических субстанций;</w:t>
            </w:r>
          </w:p>
          <w:p>
            <w:pPr>
              <w:spacing w:after="20"/>
              <w:ind w:left="20"/>
              <w:jc w:val="both"/>
            </w:pPr>
            <w:r>
              <w:rPr>
                <w:rFonts w:ascii="Times New Roman"/>
                <w:b w:val="false"/>
                <w:i w:val="false"/>
                <w:color w:val="000000"/>
                <w:sz w:val="20"/>
              </w:rPr>
              <w:t>
   3. Копия действующего Сертификата соответствия требованиям надлежащей производственной практики;</w:t>
            </w:r>
          </w:p>
          <w:p>
            <w:pPr>
              <w:spacing w:after="20"/>
              <w:ind w:left="20"/>
              <w:jc w:val="both"/>
            </w:pPr>
            <w:r>
              <w:rPr>
                <w:rFonts w:ascii="Times New Roman"/>
                <w:b w:val="false"/>
                <w:i w:val="false"/>
                <w:color w:val="000000"/>
                <w:sz w:val="20"/>
              </w:rPr>
              <w:t>
   4. Перечень контрактных производителей и лабораторий, включая адреса и контактную информацию, а также схемы цепей осуществления этой контрактной деятельности;</w:t>
            </w:r>
          </w:p>
          <w:p>
            <w:pPr>
              <w:spacing w:after="20"/>
              <w:ind w:left="20"/>
              <w:jc w:val="both"/>
            </w:pPr>
            <w:r>
              <w:rPr>
                <w:rFonts w:ascii="Times New Roman"/>
                <w:b w:val="false"/>
                <w:i w:val="false"/>
                <w:color w:val="000000"/>
                <w:sz w:val="20"/>
              </w:rPr>
              <w:t>
   5. Организационные схемы;</w:t>
            </w:r>
          </w:p>
          <w:p>
            <w:pPr>
              <w:spacing w:after="20"/>
              <w:ind w:left="20"/>
              <w:jc w:val="both"/>
            </w:pPr>
            <w:r>
              <w:rPr>
                <w:rFonts w:ascii="Times New Roman"/>
                <w:b w:val="false"/>
                <w:i w:val="false"/>
                <w:color w:val="000000"/>
                <w:sz w:val="20"/>
              </w:rPr>
              <w:t>
   6. Планы производственных зон с указанием потоков исходного сырья и персонала, общая схема производственных процессов для каждого вида продукции (лекарственных форм);</w:t>
            </w:r>
          </w:p>
          <w:p>
            <w:pPr>
              <w:spacing w:after="20"/>
              <w:ind w:left="20"/>
              <w:jc w:val="both"/>
            </w:pPr>
            <w:r>
              <w:rPr>
                <w:rFonts w:ascii="Times New Roman"/>
                <w:b w:val="false"/>
                <w:i w:val="false"/>
                <w:color w:val="000000"/>
                <w:sz w:val="20"/>
              </w:rPr>
              <w:t>
   7. Схематические чертежи систем водоподготовки;</w:t>
            </w:r>
          </w:p>
          <w:p>
            <w:pPr>
              <w:spacing w:after="20"/>
              <w:ind w:left="20"/>
              <w:jc w:val="both"/>
            </w:pPr>
            <w:r>
              <w:rPr>
                <w:rFonts w:ascii="Times New Roman"/>
                <w:b w:val="false"/>
                <w:i w:val="false"/>
                <w:color w:val="000000"/>
                <w:sz w:val="20"/>
              </w:rPr>
              <w:t>
   8. Перечень основного технологического и лабораторного оборудования.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рисками для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Предисловие</w:t>
            </w:r>
          </w:p>
          <w:p>
            <w:pPr>
              <w:spacing w:after="20"/>
              <w:ind w:left="20"/>
              <w:jc w:val="both"/>
            </w:pPr>
            <w:r>
              <w:rPr>
                <w:rFonts w:ascii="Times New Roman"/>
                <w:b w:val="false"/>
                <w:i w:val="false"/>
                <w:color w:val="000000"/>
                <w:sz w:val="20"/>
              </w:rPr>
              <w:t>
   Управление рисками для качества применяется не только в производстве, но и по отношению к фармацевтической разработке, а также при составлении части регистрационного досье, касающейся качества. Документ используется уполномоченными органами при фармацевтической оценке части регистрационного досье, связанной с качеством, а также при проведении инспектирования на соответствие требованиям настоящего Стандарта и при расследованиях, связанных с предполагаемым дефектом.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Введение</w:t>
            </w:r>
          </w:p>
          <w:p>
            <w:pPr>
              <w:spacing w:after="20"/>
              <w:ind w:left="20"/>
              <w:jc w:val="both"/>
            </w:pPr>
            <w:r>
              <w:rPr>
                <w:rFonts w:ascii="Times New Roman"/>
                <w:b w:val="false"/>
                <w:i w:val="false"/>
                <w:color w:val="000000"/>
                <w:sz w:val="20"/>
              </w:rPr>
              <w:t>
   В фармацевтической промышленности признана важность систем качества и управление рисками для качества является важным компонентом эффективной системы качества.</w:t>
            </w:r>
          </w:p>
          <w:p>
            <w:pPr>
              <w:spacing w:after="20"/>
              <w:ind w:left="20"/>
              <w:jc w:val="both"/>
            </w:pPr>
            <w:r>
              <w:rPr>
                <w:rFonts w:ascii="Times New Roman"/>
                <w:b w:val="false"/>
                <w:i w:val="false"/>
                <w:color w:val="000000"/>
                <w:sz w:val="20"/>
              </w:rPr>
              <w:t>
   Риск определяется как комбинация вероятности причинения вреда и тяжести такого вреда. Заинтересованные стороны понимают возможный вред по-разному, вероятность возникновения вреда и характеристики его тяжести для каждого участника будут разными. При производстве лекарственных средств существуют различные заинтересованные стороны, в том числе пациенты, медицинские работники, государственные органы и промышленность, значение применения управления рисками для качества имеет защита пациента.</w:t>
            </w:r>
          </w:p>
          <w:p>
            <w:pPr>
              <w:spacing w:after="20"/>
              <w:ind w:left="20"/>
              <w:jc w:val="both"/>
            </w:pPr>
            <w:r>
              <w:rPr>
                <w:rFonts w:ascii="Times New Roman"/>
                <w:b w:val="false"/>
                <w:i w:val="false"/>
                <w:color w:val="000000"/>
                <w:sz w:val="20"/>
              </w:rPr>
              <w:t>
   При производстве и применении лекарственного препарата, включая его компоненты, в определенной степени обязательно присутствуют риски. Риски для качества являются только одной составляющей общего риска. Качество продукции поддерживают в течение жизненного цикла продукции таким образом, чтобы характеристики, имеющие значение для качества лекарственного препарата, оставались такими же, как у лекарственных препаратов, использовавшихся при клинических исследованиях. Эффективный подход к управлению рисками для качества в дальнейшем гарантирует пациенту качество лекарственного препарата с помощью установления в ходе разработки и производства предупреждающих методов идентификации и контроля возможных проблем, связанных с качеством. Применение управления рисками для качества усовершенствует процедуру принятия решений в случае возникновения проблем с качеством, предложит системный подход к управлению рисками для качества.</w:t>
            </w:r>
          </w:p>
          <w:p>
            <w:pPr>
              <w:spacing w:after="20"/>
              <w:ind w:left="20"/>
              <w:jc w:val="both"/>
            </w:pPr>
            <w:r>
              <w:rPr>
                <w:rFonts w:ascii="Times New Roman"/>
                <w:b w:val="false"/>
                <w:i w:val="false"/>
                <w:color w:val="000000"/>
                <w:sz w:val="20"/>
              </w:rPr>
              <w:t xml:space="preserve">
   Цель данного документа – предложить системный подход к управлению рисками для качества. Управление рисками дополняет требования к качеству и предоставляет специальные указания в отношении принципов для достижения качества лекарственных средств, что способствует принятию более эффективных и последовательных решений касательно рисков со стороны сотрудников как уполномоченных органов, так и предприятий в отношении качества активных фармацевтических субстанций и лекарственных препаратов в течение жизненного цикла продукции. </w:t>
            </w:r>
          </w:p>
          <w:p>
            <w:pPr>
              <w:spacing w:after="20"/>
              <w:ind w:left="20"/>
              <w:jc w:val="both"/>
            </w:pPr>
            <w:r>
              <w:rPr>
                <w:rFonts w:ascii="Times New Roman"/>
                <w:b w:val="false"/>
                <w:i w:val="false"/>
                <w:color w:val="000000"/>
                <w:sz w:val="20"/>
              </w:rPr>
              <w:t>
   Надлежащее применение управления рисками для качества облегчает выполнение обязанностей производителей (однако не отменяет их) в отношении соблюдения установленных требований, а также не заменяет соответствующий обмен информацией между представителями предприятий-производителей и уполномоченными органами.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положения</w:t>
            </w:r>
          </w:p>
          <w:p>
            <w:pPr>
              <w:spacing w:after="20"/>
              <w:ind w:left="20"/>
              <w:jc w:val="both"/>
            </w:pPr>
            <w:r>
              <w:rPr>
                <w:rFonts w:ascii="Times New Roman"/>
                <w:b w:val="false"/>
                <w:i w:val="false"/>
                <w:color w:val="000000"/>
                <w:sz w:val="20"/>
              </w:rPr>
              <w:t>
   Принципы и примеры инструментов управления рисками для качества, которые могут быть применены к различным аспектам фармацевтического качества включают разработку, производство, оптовую реализацию, а также инспектирование и процессы представления заявок/обзоров на протяжении жизненного цикла активных фармацевтических субстанций, лекарственных препаратов, биологических и биотехнологических лекарственных препаратов, включая использование исходного сырья, растворителей, вспомогательных веществ, упаковочных и маркировочных материалов для лекарственных препаратов, биологических и биотехнологических лекарственных препаратов.</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Принципы управления рисками для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Существуют два основополагающих принципа управления рисками для качества:</w:t>
            </w:r>
          </w:p>
          <w:p>
            <w:pPr>
              <w:spacing w:after="20"/>
              <w:ind w:left="20"/>
              <w:jc w:val="both"/>
            </w:pPr>
            <w:r>
              <w:rPr>
                <w:rFonts w:ascii="Times New Roman"/>
                <w:b w:val="false"/>
                <w:i w:val="false"/>
                <w:color w:val="000000"/>
                <w:sz w:val="20"/>
              </w:rPr>
              <w:t>
   оценка рисков для качества базируется на научных данных и непосредственно связана с защитой пациента;</w:t>
            </w:r>
          </w:p>
          <w:p>
            <w:pPr>
              <w:spacing w:after="20"/>
              <w:ind w:left="20"/>
              <w:jc w:val="both"/>
            </w:pPr>
            <w:r>
              <w:rPr>
                <w:rFonts w:ascii="Times New Roman"/>
                <w:b w:val="false"/>
                <w:i w:val="false"/>
                <w:color w:val="000000"/>
                <w:sz w:val="20"/>
              </w:rPr>
              <w:t>
   уровень усилий, формализации и документального оформления процесса управления рисками для качества соответствует уровню рисков.</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процесс управления рисками для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Управлением рисками для качества является систематический процесс для общей оценки, контроля, информирования и обзора рисков для качества лекарственного препарата на протяжении его жизненного цикла. для качества представлена на рисунке 1 настоящего документа. Могут применяться модели управления рисками приемлемые для производства и утврежденные производителем.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Обязанности</w:t>
            </w:r>
          </w:p>
          <w:p>
            <w:pPr>
              <w:spacing w:after="20"/>
              <w:ind w:left="20"/>
              <w:jc w:val="both"/>
            </w:pPr>
            <w:r>
              <w:rPr>
                <w:rFonts w:ascii="Times New Roman"/>
                <w:b w:val="false"/>
                <w:i w:val="false"/>
                <w:color w:val="000000"/>
                <w:sz w:val="20"/>
              </w:rPr>
              <w:t>
   Деятельность по управлению рисками для качества осуществляется группами, включающими специалистов разных областей знаний. При формировании групп в них включают экспертов в соответствующих областях (например, отдела качества, развития бизнеса, инжиниринга, регуляторной деятельности, технологии, продаж и маркетинга, юридической службы, статистики и клиники) в дополнение к лицам, владеющими знаниями относительно процесса управления рисками для качества.</w:t>
            </w:r>
          </w:p>
          <w:p>
            <w:pPr>
              <w:spacing w:after="20"/>
              <w:ind w:left="20"/>
              <w:jc w:val="both"/>
            </w:pPr>
            <w:r>
              <w:rPr>
                <w:rFonts w:ascii="Times New Roman"/>
                <w:b w:val="false"/>
                <w:i w:val="false"/>
                <w:color w:val="000000"/>
                <w:sz w:val="20"/>
              </w:rPr>
              <w:t>
   Лица, ответственные за принятие решений:</w:t>
            </w:r>
          </w:p>
          <w:p>
            <w:pPr>
              <w:spacing w:after="20"/>
              <w:ind w:left="20"/>
              <w:jc w:val="both"/>
            </w:pPr>
            <w:r>
              <w:rPr>
                <w:rFonts w:ascii="Times New Roman"/>
                <w:b w:val="false"/>
                <w:i w:val="false"/>
                <w:color w:val="000000"/>
                <w:sz w:val="20"/>
              </w:rPr>
              <w:t>
   несут ответственность за координацию управления рисками для качества между разными видами деятельности и разными подразделениями в организации;</w:t>
            </w:r>
          </w:p>
          <w:p>
            <w:pPr>
              <w:spacing w:after="20"/>
              <w:ind w:left="20"/>
              <w:jc w:val="both"/>
            </w:pPr>
            <w:r>
              <w:rPr>
                <w:rFonts w:ascii="Times New Roman"/>
                <w:b w:val="false"/>
                <w:i w:val="false"/>
                <w:color w:val="000000"/>
                <w:sz w:val="20"/>
              </w:rPr>
              <w:t>
   гарантируют, что процесс управления рисками для качества определен, находится в действии и проверяется, а также, что имеются достаточные ресурсы.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Начало процесса управления рисками для качества</w:t>
            </w:r>
          </w:p>
          <w:p>
            <w:pPr>
              <w:spacing w:after="20"/>
              <w:ind w:left="20"/>
              <w:jc w:val="both"/>
            </w:pPr>
            <w:r>
              <w:rPr>
                <w:rFonts w:ascii="Times New Roman"/>
                <w:b w:val="false"/>
                <w:i w:val="false"/>
                <w:color w:val="000000"/>
                <w:sz w:val="20"/>
              </w:rPr>
              <w:t>
   Управление рисками для качества включает систематические процессы, предназначенные для координации, облегчения и совершенствования принятия научно-обоснованных решений в отношении рисков. Возможные этапы, применяемые для начала и планирования процесса управления рисками для качества, включают следующее:</w:t>
            </w:r>
          </w:p>
          <w:p>
            <w:pPr>
              <w:spacing w:after="20"/>
              <w:ind w:left="20"/>
              <w:jc w:val="both"/>
            </w:pPr>
            <w:r>
              <w:rPr>
                <w:rFonts w:ascii="Times New Roman"/>
                <w:b w:val="false"/>
                <w:i w:val="false"/>
                <w:color w:val="000000"/>
                <w:sz w:val="20"/>
              </w:rPr>
              <w:t>
   определение проблемного и (или) представляющего риск вопроса, включая соответствующие предположения, устанавливающие возможность риска;</w:t>
            </w:r>
          </w:p>
          <w:p>
            <w:pPr>
              <w:spacing w:after="20"/>
              <w:ind w:left="20"/>
              <w:jc w:val="both"/>
            </w:pPr>
            <w:r>
              <w:rPr>
                <w:rFonts w:ascii="Times New Roman"/>
                <w:b w:val="false"/>
                <w:i w:val="false"/>
                <w:color w:val="000000"/>
                <w:sz w:val="20"/>
              </w:rPr>
              <w:t>
   сбор исходной информации и (или) данных о потенциальной опасности, вреде или влиянии на здоровье человека, имеющих отношение к общей оценке рисков;</w:t>
            </w:r>
          </w:p>
          <w:p>
            <w:pPr>
              <w:spacing w:after="20"/>
              <w:ind w:left="20"/>
              <w:jc w:val="both"/>
            </w:pPr>
            <w:r>
              <w:rPr>
                <w:rFonts w:ascii="Times New Roman"/>
                <w:b w:val="false"/>
                <w:i w:val="false"/>
                <w:color w:val="000000"/>
                <w:sz w:val="20"/>
              </w:rPr>
              <w:t>
   определение руководителя и необходимых ресурсов;</w:t>
            </w:r>
          </w:p>
          <w:p>
            <w:pPr>
              <w:spacing w:after="20"/>
              <w:ind w:left="20"/>
              <w:jc w:val="both"/>
            </w:pPr>
            <w:r>
              <w:rPr>
                <w:rFonts w:ascii="Times New Roman"/>
                <w:b w:val="false"/>
                <w:i w:val="false"/>
                <w:color w:val="000000"/>
                <w:sz w:val="20"/>
              </w:rPr>
              <w:t>
   создание графика, связывающего уровень принятия решения с возможностью осуществления процесса управления рисками.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Общая оценка рисков</w:t>
            </w:r>
          </w:p>
          <w:p>
            <w:pPr>
              <w:spacing w:after="20"/>
              <w:ind w:left="20"/>
              <w:jc w:val="both"/>
            </w:pPr>
            <w:r>
              <w:rPr>
                <w:rFonts w:ascii="Times New Roman"/>
                <w:b w:val="false"/>
                <w:i w:val="false"/>
                <w:color w:val="000000"/>
                <w:sz w:val="20"/>
              </w:rPr>
              <w:t>
   Информация по идентификации риска включает предшествующие данные, теоретический анализ, мотивированные заключения, а также вопросы заинтересованных сторон. Идентификация риска связана с тем, что может происходить неверно и с установлением возможных последствий. Это предоставляет основу для последующих этапов процесса управления рисками для качества.</w:t>
            </w:r>
          </w:p>
          <w:p>
            <w:pPr>
              <w:spacing w:after="20"/>
              <w:ind w:left="20"/>
              <w:jc w:val="both"/>
            </w:pPr>
            <w:r>
              <w:rPr>
                <w:rFonts w:ascii="Times New Roman"/>
                <w:b w:val="false"/>
                <w:i w:val="false"/>
                <w:color w:val="000000"/>
                <w:sz w:val="20"/>
              </w:rPr>
              <w:t>
   Анализ риска устанавливает качественную и количественную связь между вероятностью происшествия и тяжестью вреда. Для некоторых инструментов управления рисками возможность определить опасность (способность к выявлению) также является фактором оценки риска.</w:t>
            </w:r>
          </w:p>
          <w:p>
            <w:pPr>
              <w:spacing w:after="20"/>
              <w:ind w:left="20"/>
              <w:jc w:val="both"/>
            </w:pPr>
            <w:r>
              <w:rPr>
                <w:rFonts w:ascii="Times New Roman"/>
                <w:b w:val="false"/>
                <w:i w:val="false"/>
                <w:color w:val="000000"/>
                <w:sz w:val="20"/>
              </w:rPr>
              <w:t xml:space="preserve">
   Общая оценка рисков состоит из идентификации опасностей, а также анализа и оценки рисков, связанных с воздействием этих опасностей. Общую оценку рисков для качества начинают с описания проблемы или аспекта риска. Если рассматриваемый риск определен, устанавливается соответствующий инструмент управления риском, а также виды информации относительно аспекта риска. Для определения рисков в целях общей оценки рисков полезны три основополагающих вопроса, позволяющие определить что может происходить неверно, какова вероятность (возможность) того, что это будет происходить неверно, каковы последствия (их тяжесть)? </w:t>
            </w:r>
          </w:p>
          <w:p>
            <w:pPr>
              <w:spacing w:after="20"/>
              <w:ind w:left="20"/>
              <w:jc w:val="both"/>
            </w:pPr>
            <w:r>
              <w:rPr>
                <w:rFonts w:ascii="Times New Roman"/>
                <w:b w:val="false"/>
                <w:i w:val="false"/>
                <w:color w:val="000000"/>
                <w:sz w:val="20"/>
              </w:rPr>
              <w:t xml:space="preserve">
   При оценке риска сравнивают идентифицированный и проанализированный риск с установленными критериями приемлемости риска. </w:t>
            </w:r>
          </w:p>
          <w:p>
            <w:pPr>
              <w:spacing w:after="20"/>
              <w:ind w:left="20"/>
              <w:jc w:val="both"/>
            </w:pPr>
            <w:r>
              <w:rPr>
                <w:rFonts w:ascii="Times New Roman"/>
                <w:b w:val="false"/>
                <w:i w:val="false"/>
                <w:color w:val="000000"/>
                <w:sz w:val="20"/>
              </w:rPr>
              <w:t xml:space="preserve">
   При общей оценке рисков важна обоснованность набора данных, поскольку это определяет качество результата. Выявление допущений и возможных причин неопределенности повышает правильность результата и (или) определение ограничения. Неопределенность является следствием неполных знаний о процессе, его ожидаемой или неожидаемой вариабельности. Обычными причинами неопределенности являются недостаток знаний в фармацевтической области и недостаточное понимание процесса, причины вреда (например, неправильные режимы процесса, причины вариабельности), недостаточная возможность выявления проблем. </w:t>
            </w:r>
          </w:p>
          <w:p>
            <w:pPr>
              <w:spacing w:after="20"/>
              <w:ind w:left="20"/>
              <w:jc w:val="both"/>
            </w:pPr>
            <w:r>
              <w:rPr>
                <w:rFonts w:ascii="Times New Roman"/>
                <w:b w:val="false"/>
                <w:i w:val="false"/>
                <w:color w:val="000000"/>
                <w:sz w:val="20"/>
              </w:rPr>
              <w:t>
   Результатом общей оценки рисков является либо количественная оценка рисков, либо качественное описание диапазона рисков. Если риски выражены количественно, используют числовое выражение вероятности. Выражение риска с использованием качественных признаков, таких как "высокий", "средний" или "низкий", которые определяются настолько подробно, насколько это возможно. Используют "шкалу рисков" для дальнейшего определения признаков при ранжировании рисков. При количественной общей оценке рисков оценивание риска предусматривает вероятность специфического последствия, представленного как совокупность обстоятельств, способствующих возникновению риска. Количественная оценка рисков применяется в отношении одного конкретного последствия, которое произошло в это время. Для некоторых инструментов управления рисками возможно также использование относительной меры риска в комбинации с множественными уровнями тяжести и вероятности для общей оценки относительного риска. На промежуточных этапах процесса установления шкалы иногда применяют количественную оценку рисков.</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Контроль рисков</w:t>
            </w:r>
          </w:p>
          <w:p>
            <w:pPr>
              <w:spacing w:after="20"/>
              <w:ind w:left="20"/>
              <w:jc w:val="both"/>
            </w:pPr>
            <w:r>
              <w:rPr>
                <w:rFonts w:ascii="Times New Roman"/>
                <w:b w:val="false"/>
                <w:i w:val="false"/>
                <w:color w:val="000000"/>
                <w:sz w:val="20"/>
              </w:rPr>
              <w:t>
   Контроль рисков предполагает принятие решения по снижению и (или) принятию рисков. Целью контроля рисков является снижение рисков до приемлемого уровня. Количество приложенных для контроля рисков усилий пропорционально важности рисков. Для понимания оптимального уровня рисков лица, ответственные за принятие решения, использe.n разные процессы, в том числе анализ "выгода-затраты".</w:t>
            </w:r>
          </w:p>
          <w:p>
            <w:pPr>
              <w:spacing w:after="20"/>
              <w:ind w:left="20"/>
              <w:jc w:val="both"/>
            </w:pPr>
            <w:r>
              <w:rPr>
                <w:rFonts w:ascii="Times New Roman"/>
                <w:b w:val="false"/>
                <w:i w:val="false"/>
                <w:color w:val="000000"/>
                <w:sz w:val="20"/>
              </w:rPr>
              <w:t>
   Контроль рисков сосредоточивается на таких вопросах:</w:t>
            </w:r>
          </w:p>
          <w:p>
            <w:pPr>
              <w:spacing w:after="20"/>
              <w:ind w:left="20"/>
              <w:jc w:val="both"/>
            </w:pPr>
            <w:r>
              <w:rPr>
                <w:rFonts w:ascii="Times New Roman"/>
                <w:b w:val="false"/>
                <w:i w:val="false"/>
                <w:color w:val="000000"/>
                <w:sz w:val="20"/>
              </w:rPr>
              <w:t>
   1) превышает ли риск приемлемый уровень?</w:t>
            </w:r>
          </w:p>
          <w:p>
            <w:pPr>
              <w:spacing w:after="20"/>
              <w:ind w:left="20"/>
              <w:jc w:val="both"/>
            </w:pPr>
            <w:r>
              <w:rPr>
                <w:rFonts w:ascii="Times New Roman"/>
                <w:b w:val="false"/>
                <w:i w:val="false"/>
                <w:color w:val="000000"/>
                <w:sz w:val="20"/>
              </w:rPr>
              <w:t>
   2) что может быть сделано для снижения или устранения риска?</w:t>
            </w:r>
          </w:p>
          <w:p>
            <w:pPr>
              <w:spacing w:after="20"/>
              <w:ind w:left="20"/>
              <w:jc w:val="both"/>
            </w:pPr>
            <w:r>
              <w:rPr>
                <w:rFonts w:ascii="Times New Roman"/>
                <w:b w:val="false"/>
                <w:i w:val="false"/>
                <w:color w:val="000000"/>
                <w:sz w:val="20"/>
              </w:rPr>
              <w:t>
   3) каков приемлемый баланс между выгодой, рисками и ресурсами?</w:t>
            </w:r>
          </w:p>
          <w:p>
            <w:pPr>
              <w:spacing w:after="20"/>
              <w:ind w:left="20"/>
              <w:jc w:val="both"/>
            </w:pPr>
            <w:r>
              <w:rPr>
                <w:rFonts w:ascii="Times New Roman"/>
                <w:b w:val="false"/>
                <w:i w:val="false"/>
                <w:color w:val="000000"/>
                <w:sz w:val="20"/>
              </w:rPr>
              <w:t>
   4) возникают ли новые риски в результате проведения контроля установленных рисков?</w:t>
            </w:r>
          </w:p>
          <w:p>
            <w:pPr>
              <w:spacing w:after="20"/>
              <w:ind w:left="20"/>
              <w:jc w:val="both"/>
            </w:pPr>
            <w:r>
              <w:rPr>
                <w:rFonts w:ascii="Times New Roman"/>
                <w:b w:val="false"/>
                <w:i w:val="false"/>
                <w:color w:val="000000"/>
                <w:sz w:val="20"/>
              </w:rPr>
              <w:t>
   Снижение рисков сосредоточено на процессах уменьшения или устранения рисков для качества при превышении установленного (приемлемого) уровня. Снижение рисков включает меры, предпринимаемые для уменьшения тяжести и вероятности вреда. Внедрение мероприятий по снижению рисков приводит к внесению новых рисков в систему или к возрастанию значимости других существующих рисков. После внедрения процесса снижения рисков целесообразно пересмотреть общую оценку рисков для установления и оценки какого-либо возможного изменения рисков.</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Информирование о рисках</w:t>
            </w:r>
          </w:p>
          <w:p>
            <w:pPr>
              <w:spacing w:after="20"/>
              <w:ind w:left="20"/>
              <w:jc w:val="both"/>
            </w:pPr>
            <w:r>
              <w:rPr>
                <w:rFonts w:ascii="Times New Roman"/>
                <w:b w:val="false"/>
                <w:i w:val="false"/>
                <w:color w:val="000000"/>
                <w:sz w:val="20"/>
              </w:rPr>
              <w:t xml:space="preserve">
   Информирование о рисках представляет собой распределение информации относительно рисков и управления рисками между лицами, ответственными за принятие решения, и другими лицами. Стороны информируются на любой стадии процесса управления рисками. Информирование о результатах процесса управления рисками для качества оформляется документально. Обмен информацией происходит между всеми заинтересованными сторонами; например, между представителями уполномоченных органов и промышленности, между представителями промышленности и пациентом, между внутренним персоналом компании, представителями промышленности и уполномоченного органа. Включенные сведения касаются существования, характера, формы, вероятности, тяжести, приемлемости, контроля, рассмотрения, способности к выявлению или других аспектов рисков для качества. Нет необходимости информировать о каждом случае принятия рисков.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Обзор рисков</w:t>
            </w:r>
          </w:p>
          <w:p>
            <w:pPr>
              <w:spacing w:after="20"/>
              <w:ind w:left="20"/>
              <w:jc w:val="both"/>
            </w:pPr>
            <w:r>
              <w:rPr>
                <w:rFonts w:ascii="Times New Roman"/>
                <w:b w:val="false"/>
                <w:i w:val="false"/>
                <w:color w:val="000000"/>
                <w:sz w:val="20"/>
              </w:rPr>
              <w:t>
   Управление рисками является постоянно действующей частью процесса управления качеством. На производстве вводится механизм обзора или мониторинга событий.</w:t>
            </w:r>
          </w:p>
          <w:p>
            <w:pPr>
              <w:spacing w:after="20"/>
              <w:ind w:left="20"/>
              <w:jc w:val="both"/>
            </w:pPr>
            <w:r>
              <w:rPr>
                <w:rFonts w:ascii="Times New Roman"/>
                <w:b w:val="false"/>
                <w:i w:val="false"/>
                <w:color w:val="000000"/>
                <w:sz w:val="20"/>
              </w:rPr>
              <w:t>
   Результаты процесса управления рисками периодически пересматриваются. Если процесс управления рисками для качества был начат, его продолжают для рассмотрения событий, которые влияют на предыдущее решение в рамках процесса управления рисками для качества, независимо от того, являются ли эти события запланированными (например, обзор качества продукции, инспекции, аудиты, контроль изменений) или незапланированными (например, основная причина при расследовании несоответствия, отзыв). Частота любого обзора основывается на уровне рисков. Обзор рисков включает пересмотр решения о принятии рисков.</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Методология управления рисками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рисками для качества основывается на научном и практическом подходе к принятию решений и предусматривает документально оформленные, понятные и воспроизводимые методы по осуществлению этапов процесса управления рисками для качества на основании имеющихся знаний относительно оценки вероятности, тяжести и иногда способности к выявлению рисков.</w:t>
            </w:r>
          </w:p>
          <w:p>
            <w:pPr>
              <w:spacing w:after="20"/>
              <w:ind w:left="20"/>
              <w:jc w:val="both"/>
            </w:pPr>
            <w:r>
              <w:rPr>
                <w:rFonts w:ascii="Times New Roman"/>
                <w:b w:val="false"/>
                <w:i w:val="false"/>
                <w:color w:val="000000"/>
                <w:sz w:val="20"/>
              </w:rPr>
              <w:t xml:space="preserve">
   Оценка рисков и управление осуществляется с помощью признанных инструментов управления риском и (или) внутренних процедур (например, СОП). </w:t>
            </w:r>
          </w:p>
          <w:p>
            <w:pPr>
              <w:spacing w:after="20"/>
              <w:ind w:left="20"/>
              <w:jc w:val="both"/>
            </w:pPr>
            <w:r>
              <w:rPr>
                <w:rFonts w:ascii="Times New Roman"/>
                <w:b w:val="false"/>
                <w:i w:val="false"/>
                <w:color w:val="000000"/>
                <w:sz w:val="20"/>
              </w:rPr>
              <w:t>
   Перечень некоторых инструментов:</w:t>
            </w:r>
          </w:p>
          <w:p>
            <w:pPr>
              <w:spacing w:after="20"/>
              <w:ind w:left="20"/>
              <w:jc w:val="both"/>
            </w:pPr>
            <w:r>
              <w:rPr>
                <w:rFonts w:ascii="Times New Roman"/>
                <w:b w:val="false"/>
                <w:i w:val="false"/>
                <w:color w:val="000000"/>
                <w:sz w:val="20"/>
              </w:rPr>
              <w:t>
   основные вспомогательные методы управления риском (блок-схемы, контрольные карты и тому подобное);</w:t>
            </w:r>
          </w:p>
          <w:p>
            <w:pPr>
              <w:spacing w:after="20"/>
              <w:ind w:left="20"/>
              <w:jc w:val="both"/>
            </w:pPr>
            <w:r>
              <w:rPr>
                <w:rFonts w:ascii="Times New Roman"/>
                <w:b w:val="false"/>
                <w:i w:val="false"/>
                <w:color w:val="000000"/>
                <w:sz w:val="20"/>
              </w:rPr>
              <w:t xml:space="preserve">
   анализ режимов и последствий отказов (Failure Mode Effects Analysis – FMEA); </w:t>
            </w:r>
          </w:p>
          <w:p>
            <w:pPr>
              <w:spacing w:after="20"/>
              <w:ind w:left="20"/>
              <w:jc w:val="both"/>
            </w:pPr>
            <w:r>
              <w:rPr>
                <w:rFonts w:ascii="Times New Roman"/>
                <w:b w:val="false"/>
                <w:i w:val="false"/>
                <w:color w:val="000000"/>
                <w:sz w:val="20"/>
              </w:rPr>
              <w:t>
   анализ режимов, последствий и критичности отказов (Failure Mode, Effects and Criticality Analysis – FMECA);</w:t>
            </w:r>
          </w:p>
          <w:p>
            <w:pPr>
              <w:spacing w:after="20"/>
              <w:ind w:left="20"/>
              <w:jc w:val="both"/>
            </w:pPr>
            <w:r>
              <w:rPr>
                <w:rFonts w:ascii="Times New Roman"/>
                <w:b w:val="false"/>
                <w:i w:val="false"/>
                <w:color w:val="000000"/>
                <w:sz w:val="20"/>
              </w:rPr>
              <w:t>
   анализ дерева ошибок (Fault Tree Analysis – FTA);</w:t>
            </w:r>
          </w:p>
          <w:p>
            <w:pPr>
              <w:spacing w:after="20"/>
              <w:ind w:left="20"/>
              <w:jc w:val="both"/>
            </w:pPr>
            <w:r>
              <w:rPr>
                <w:rFonts w:ascii="Times New Roman"/>
                <w:b w:val="false"/>
                <w:i w:val="false"/>
                <w:color w:val="000000"/>
                <w:sz w:val="20"/>
              </w:rPr>
              <w:t>
   анализ опасностей и критические контрольные точки (Hazard Analysis and Critical Control Points – HACCP);</w:t>
            </w:r>
          </w:p>
          <w:p>
            <w:pPr>
              <w:spacing w:after="20"/>
              <w:ind w:left="20"/>
              <w:jc w:val="both"/>
            </w:pPr>
            <w:r>
              <w:rPr>
                <w:rFonts w:ascii="Times New Roman"/>
                <w:b w:val="false"/>
                <w:i w:val="false"/>
                <w:color w:val="000000"/>
                <w:sz w:val="20"/>
              </w:rPr>
              <w:t>
   анализ опасности и работоспособности (Hazard Operability Analysis – HAZOP);</w:t>
            </w:r>
          </w:p>
          <w:p>
            <w:pPr>
              <w:spacing w:after="20"/>
              <w:ind w:left="20"/>
              <w:jc w:val="both"/>
            </w:pPr>
            <w:r>
              <w:rPr>
                <w:rFonts w:ascii="Times New Roman"/>
                <w:b w:val="false"/>
                <w:i w:val="false"/>
                <w:color w:val="000000"/>
                <w:sz w:val="20"/>
              </w:rPr>
              <w:t>
   предварительный анализ опасности (Preliminary Hazard Analysis – PHA);</w:t>
            </w:r>
          </w:p>
          <w:p>
            <w:pPr>
              <w:spacing w:after="20"/>
              <w:ind w:left="20"/>
              <w:jc w:val="both"/>
            </w:pPr>
            <w:r>
              <w:rPr>
                <w:rFonts w:ascii="Times New Roman"/>
                <w:b w:val="false"/>
                <w:i w:val="false"/>
                <w:color w:val="000000"/>
                <w:sz w:val="20"/>
              </w:rPr>
              <w:t>
   ранжирование и фильтрация рисков;</w:t>
            </w:r>
          </w:p>
          <w:p>
            <w:pPr>
              <w:spacing w:after="20"/>
              <w:ind w:left="20"/>
              <w:jc w:val="both"/>
            </w:pPr>
            <w:r>
              <w:rPr>
                <w:rFonts w:ascii="Times New Roman"/>
                <w:b w:val="false"/>
                <w:i w:val="false"/>
                <w:color w:val="000000"/>
                <w:sz w:val="20"/>
              </w:rPr>
              <w:t>
   соответствующие статистические методы.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Внедрение управления рисками для качества</w:t>
            </w:r>
          </w:p>
          <w:p>
            <w:pPr>
              <w:spacing w:after="20"/>
              <w:ind w:left="20"/>
              <w:jc w:val="both"/>
            </w:pPr>
            <w:r>
              <w:rPr>
                <w:rFonts w:ascii="Times New Roman"/>
                <w:b w:val="false"/>
                <w:i w:val="false"/>
                <w:color w:val="000000"/>
                <w:sz w:val="20"/>
              </w:rPr>
              <w:t>
</w:t>
            </w:r>
            <w:r>
              <w:rPr>
                <w:rFonts w:ascii="Times New Roman"/>
                <w:b/>
                <w:i w:val="false"/>
                <w:color w:val="000000"/>
                <w:sz w:val="20"/>
              </w:rPr>
              <w:t>в промышленность и надзорную деятельность</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рисками для качества является процессом, способствующим принятию научно обоснованных и практических решений при его интеграции в системы качества (см. Дополнение II к данному документу). Как отмечено во вступлении, надлежащее применение управления рисками для качества не устраняет обязанностей представителей промышленности соблюдать установленные требования уполномоченных органов. Однако эффективное управление рисками для качества может способствовать принятию лучших и более обоснованных решений, что предоставит представителям уполномоченных органов большую гарантию способности предприятия управлять потенциальными рисками, а также может повлиять на масштаб и уровень непосредственного контроля со стороны уполномоченного органа. Кроме того, управление рисками для качества может способствовать лучшему использованию ресурсов всеми сторонами.</w:t>
            </w:r>
          </w:p>
          <w:p>
            <w:pPr>
              <w:spacing w:after="20"/>
              <w:ind w:left="20"/>
              <w:jc w:val="both"/>
            </w:pPr>
            <w:r>
              <w:rPr>
                <w:rFonts w:ascii="Times New Roman"/>
                <w:b w:val="false"/>
                <w:i w:val="false"/>
                <w:color w:val="000000"/>
                <w:sz w:val="20"/>
              </w:rPr>
              <w:t>
   Обучение процессам управления рисками для качества как работников промышленности, так и сотрудников уполномоченных органов, обеспечивает лучшее понимание процессов принятия решений и создает доверие к результатам управления рисками для качества.</w:t>
            </w:r>
          </w:p>
          <w:p>
            <w:pPr>
              <w:spacing w:after="20"/>
              <w:ind w:left="20"/>
              <w:jc w:val="both"/>
            </w:pPr>
            <w:r>
              <w:rPr>
                <w:rFonts w:ascii="Times New Roman"/>
                <w:b w:val="false"/>
                <w:i w:val="false"/>
                <w:color w:val="000000"/>
                <w:sz w:val="20"/>
              </w:rPr>
              <w:t>
   Управление рисками для качества следует внедрять в существующую деятельность и должным образом оформлять документально. В Дополнении II к данному документу представлены примеры ситуаций, когда применение процесса управления рисками для качества может обеспечить информацией, которая может быть использована в различной деятельности в фармацевтической сфере. Эти примеры приведены только с целью иллюстрации и не могут рассматриваться как окончательный и исчерпывающий перечень. Эти примеры не предназначены для установления каких-либо новых требований в дополнение к требованиям, установленным действующим законодательством.</w:t>
            </w:r>
          </w:p>
          <w:p>
            <w:pPr>
              <w:spacing w:after="20"/>
              <w:ind w:left="20"/>
              <w:jc w:val="both"/>
            </w:pPr>
            <w:r>
              <w:rPr>
                <w:rFonts w:ascii="Times New Roman"/>
                <w:b w:val="false"/>
                <w:i w:val="false"/>
                <w:color w:val="000000"/>
                <w:sz w:val="20"/>
              </w:rPr>
              <w:t>
   Примеры производственной деятельности и деятельности уполномоченных органов как указано в Дополнении II к данному документу:</w:t>
            </w:r>
          </w:p>
          <w:p>
            <w:pPr>
              <w:spacing w:after="20"/>
              <w:ind w:left="20"/>
              <w:jc w:val="both"/>
            </w:pPr>
            <w:r>
              <w:rPr>
                <w:rFonts w:ascii="Times New Roman"/>
                <w:b w:val="false"/>
                <w:i w:val="false"/>
                <w:color w:val="000000"/>
                <w:sz w:val="20"/>
              </w:rPr>
              <w:t>
   - Управление качеством.</w:t>
            </w:r>
          </w:p>
          <w:p>
            <w:pPr>
              <w:spacing w:after="20"/>
              <w:ind w:left="20"/>
              <w:jc w:val="both"/>
            </w:pPr>
            <w:r>
              <w:rPr>
                <w:rFonts w:ascii="Times New Roman"/>
                <w:b w:val="false"/>
                <w:i w:val="false"/>
                <w:color w:val="000000"/>
                <w:sz w:val="20"/>
              </w:rPr>
              <w:t>
   Примеры производственных операций и деятельности как указано в Дополнении II к данному документу:</w:t>
            </w:r>
          </w:p>
          <w:p>
            <w:pPr>
              <w:spacing w:after="20"/>
              <w:ind w:left="20"/>
              <w:jc w:val="both"/>
            </w:pPr>
            <w:r>
              <w:rPr>
                <w:rFonts w:ascii="Times New Roman"/>
                <w:b w:val="false"/>
                <w:i w:val="false"/>
                <w:color w:val="000000"/>
                <w:sz w:val="20"/>
              </w:rPr>
              <w:t>
   - Разработка;</w:t>
            </w:r>
          </w:p>
          <w:p>
            <w:pPr>
              <w:spacing w:after="20"/>
              <w:ind w:left="20"/>
              <w:jc w:val="both"/>
            </w:pPr>
            <w:r>
              <w:rPr>
                <w:rFonts w:ascii="Times New Roman"/>
                <w:b w:val="false"/>
                <w:i w:val="false"/>
                <w:color w:val="000000"/>
                <w:sz w:val="20"/>
              </w:rPr>
              <w:t>
   Помещения, оборудование и системы обеспечения;</w:t>
            </w:r>
          </w:p>
          <w:p>
            <w:pPr>
              <w:spacing w:after="20"/>
              <w:ind w:left="20"/>
              <w:jc w:val="both"/>
            </w:pPr>
            <w:r>
              <w:rPr>
                <w:rFonts w:ascii="Times New Roman"/>
                <w:b w:val="false"/>
                <w:i w:val="false"/>
                <w:color w:val="000000"/>
                <w:sz w:val="20"/>
              </w:rPr>
              <w:t>
   Управление исходным сырьем и материалами;</w:t>
            </w:r>
          </w:p>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Лабораторный контроль и испытание стабильности;</w:t>
            </w:r>
          </w:p>
          <w:p>
            <w:pPr>
              <w:spacing w:after="20"/>
              <w:ind w:left="20"/>
              <w:jc w:val="both"/>
            </w:pPr>
            <w:r>
              <w:rPr>
                <w:rFonts w:ascii="Times New Roman"/>
                <w:b w:val="false"/>
                <w:i w:val="false"/>
                <w:color w:val="000000"/>
                <w:sz w:val="20"/>
              </w:rPr>
              <w:t>
   Упаковка и маркировка.</w:t>
            </w:r>
          </w:p>
          <w:p>
            <w:pPr>
              <w:spacing w:after="20"/>
              <w:ind w:left="20"/>
              <w:jc w:val="both"/>
            </w:pPr>
            <w:r>
              <w:rPr>
                <w:rFonts w:ascii="Times New Roman"/>
                <w:b w:val="false"/>
                <w:i w:val="false"/>
                <w:color w:val="000000"/>
                <w:sz w:val="20"/>
              </w:rPr>
              <w:t>
   Примеры деятельности уполномоченных органов как указано в Дополнении II к данному документу:</w:t>
            </w:r>
          </w:p>
          <w:p>
            <w:pPr>
              <w:spacing w:after="20"/>
              <w:ind w:left="20"/>
              <w:jc w:val="both"/>
            </w:pPr>
            <w:r>
              <w:rPr>
                <w:rFonts w:ascii="Times New Roman"/>
                <w:b w:val="false"/>
                <w:i w:val="false"/>
                <w:color w:val="000000"/>
                <w:sz w:val="20"/>
              </w:rPr>
              <w:t xml:space="preserve">
   Инспектирование и оценка деятельности предприятия. </w:t>
            </w:r>
          </w:p>
          <w:p>
            <w:pPr>
              <w:spacing w:after="20"/>
              <w:ind w:left="20"/>
              <w:jc w:val="both"/>
            </w:pPr>
            <w:r>
              <w:rPr>
                <w:rFonts w:ascii="Times New Roman"/>
                <w:b w:val="false"/>
                <w:i w:val="false"/>
                <w:color w:val="000000"/>
                <w:sz w:val="20"/>
              </w:rPr>
              <w:t xml:space="preserve">
   Поскольку решения уполномоченных органов принимаются отдельно в каждой стране (регионе), общее понимание и применение принципов управления рисками для качества может способствовать взаимному доверию и принятию более согласованных решений представителями разных уполномоченных органов на основании одинаковой информации. Такое сотрудничество может быть важным при разработке политики и руководящих документов, которые вводят практики управления рисками для качества и способствуют их внедрению.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Термины и определения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рисков - оценка рисков в связи с установленной опасностью.</w:t>
            </w:r>
          </w:p>
          <w:p>
            <w:pPr>
              <w:spacing w:after="20"/>
              <w:ind w:left="20"/>
              <w:jc w:val="both"/>
            </w:pPr>
            <w:r>
              <w:rPr>
                <w:rFonts w:ascii="Times New Roman"/>
                <w:b w:val="false"/>
                <w:i w:val="false"/>
                <w:color w:val="000000"/>
                <w:sz w:val="20"/>
              </w:rPr>
              <w:t>
   Вред - ущерб, нанесенный здоровью человека, в том числе вред, являющийся следствием утраты качества продукции или ее пригодности.</w:t>
            </w:r>
          </w:p>
          <w:p>
            <w:pPr>
              <w:spacing w:after="20"/>
              <w:ind w:left="20"/>
              <w:jc w:val="both"/>
            </w:pPr>
            <w:r>
              <w:rPr>
                <w:rFonts w:ascii="Times New Roman"/>
                <w:b w:val="false"/>
                <w:i w:val="false"/>
                <w:color w:val="000000"/>
                <w:sz w:val="20"/>
              </w:rPr>
              <w:t xml:space="preserve">
   Жизненный цикл продукции - все фазы жизни продукции от начальной разработки, пребывания в обороте и до прекращения существования продукции. </w:t>
            </w:r>
          </w:p>
          <w:p>
            <w:pPr>
              <w:spacing w:after="20"/>
              <w:ind w:left="20"/>
              <w:jc w:val="both"/>
            </w:pPr>
            <w:r>
              <w:rPr>
                <w:rFonts w:ascii="Times New Roman"/>
                <w:b w:val="false"/>
                <w:i w:val="false"/>
                <w:color w:val="000000"/>
                <w:sz w:val="20"/>
              </w:rPr>
              <w:t>
   Заинтересованная сторона - какое-либо лицо, группа лиц или организация, которые могут влиять на риски либо на которых могут влиять риски, либо которые считают себя находящимися под влиянием рисков. Лица, ответственные за принятие решений, также могут быть заинтересованной стороной. В данном документе первостепенными заинтересованными сторонами являются пациент, медицинский работник, уполномоченный орган и предприятие-производитель.</w:t>
            </w:r>
          </w:p>
          <w:p>
            <w:pPr>
              <w:spacing w:after="20"/>
              <w:ind w:left="20"/>
              <w:jc w:val="both"/>
            </w:pPr>
            <w:r>
              <w:rPr>
                <w:rFonts w:ascii="Times New Roman"/>
                <w:b w:val="false"/>
                <w:i w:val="false"/>
                <w:color w:val="000000"/>
                <w:sz w:val="20"/>
              </w:rPr>
              <w:t>
   Идентификация риска - систематическое использование информации для выявления потенциальных источников вреда или опасности со ссылкой на рассмотрение риска или описание проблемы.</w:t>
            </w:r>
          </w:p>
          <w:p>
            <w:pPr>
              <w:spacing w:after="20"/>
              <w:ind w:left="20"/>
              <w:jc w:val="both"/>
            </w:pPr>
            <w:r>
              <w:rPr>
                <w:rFonts w:ascii="Times New Roman"/>
                <w:b w:val="false"/>
                <w:i w:val="false"/>
                <w:color w:val="000000"/>
                <w:sz w:val="20"/>
              </w:rPr>
              <w:t xml:space="preserve">
   Информирование о рисках - распределение информации о рисках и управлению рисками между лицом, ответственным за принятие решения, и другими заинтересованными сторонами. </w:t>
            </w:r>
          </w:p>
          <w:p>
            <w:pPr>
              <w:spacing w:after="20"/>
              <w:ind w:left="20"/>
              <w:jc w:val="both"/>
            </w:pPr>
            <w:r>
              <w:rPr>
                <w:rFonts w:ascii="Times New Roman"/>
                <w:b w:val="false"/>
                <w:i w:val="false"/>
                <w:color w:val="000000"/>
                <w:sz w:val="20"/>
              </w:rPr>
              <w:t>
   Качество - степень соответствия требованиям характеристик продукции, системы или процесса.</w:t>
            </w:r>
          </w:p>
          <w:p>
            <w:pPr>
              <w:spacing w:after="20"/>
              <w:ind w:left="20"/>
              <w:jc w:val="both"/>
            </w:pPr>
            <w:r>
              <w:rPr>
                <w:rFonts w:ascii="Times New Roman"/>
                <w:b w:val="false"/>
                <w:i w:val="false"/>
                <w:color w:val="000000"/>
                <w:sz w:val="20"/>
              </w:rPr>
              <w:t xml:space="preserve">
   Контроль рисков - действия по выполнению решений по управлению рисками. </w:t>
            </w:r>
          </w:p>
          <w:p>
            <w:pPr>
              <w:spacing w:after="20"/>
              <w:ind w:left="20"/>
              <w:jc w:val="both"/>
            </w:pPr>
            <w:r>
              <w:rPr>
                <w:rFonts w:ascii="Times New Roman"/>
                <w:b w:val="false"/>
                <w:i w:val="false"/>
                <w:color w:val="000000"/>
                <w:sz w:val="20"/>
              </w:rPr>
              <w:t>
   Лицо(а), ответственное(ые) за принятие решений - лицо(а), имеющее(ие) соответствующую компетенцию и полномочия для принятия надлежащих и своевременных решений по вопросам управления рисками для качества.</w:t>
            </w:r>
          </w:p>
          <w:p>
            <w:pPr>
              <w:spacing w:after="20"/>
              <w:ind w:left="20"/>
              <w:jc w:val="both"/>
            </w:pPr>
            <w:r>
              <w:rPr>
                <w:rFonts w:ascii="Times New Roman"/>
                <w:b w:val="false"/>
                <w:i w:val="false"/>
                <w:color w:val="000000"/>
                <w:sz w:val="20"/>
              </w:rPr>
              <w:t>
   Обзор рисков - обзор или мониторинг итогов/результатов процесса управления рисками с учетом при необходимости новых знаний и опыта относительно рисков.</w:t>
            </w:r>
          </w:p>
          <w:p>
            <w:pPr>
              <w:spacing w:after="20"/>
              <w:ind w:left="20"/>
              <w:jc w:val="both"/>
            </w:pPr>
            <w:r>
              <w:rPr>
                <w:rFonts w:ascii="Times New Roman"/>
                <w:b w:val="false"/>
                <w:i w:val="false"/>
                <w:color w:val="000000"/>
                <w:sz w:val="20"/>
              </w:rPr>
              <w:t>
   Общая оценка рисков - систематический процесс формирования информации для обеспечения принятия решений в отношении рисков в рамках процесса управления рисками. Он состоит из идентификации опасности, а также анализа и оценки рисков, связанных с влиянием этой опасности.</w:t>
            </w:r>
          </w:p>
          <w:p>
            <w:pPr>
              <w:spacing w:after="20"/>
              <w:ind w:left="20"/>
              <w:jc w:val="both"/>
            </w:pPr>
            <w:r>
              <w:rPr>
                <w:rFonts w:ascii="Times New Roman"/>
                <w:b w:val="false"/>
                <w:i w:val="false"/>
                <w:color w:val="000000"/>
                <w:sz w:val="20"/>
              </w:rPr>
              <w:t xml:space="preserve">
   Опасность - потенциальный источник вреда. </w:t>
            </w:r>
          </w:p>
          <w:p>
            <w:pPr>
              <w:spacing w:after="20"/>
              <w:ind w:left="20"/>
              <w:jc w:val="both"/>
            </w:pPr>
            <w:r>
              <w:rPr>
                <w:rFonts w:ascii="Times New Roman"/>
                <w:b w:val="false"/>
                <w:i w:val="false"/>
                <w:color w:val="000000"/>
                <w:sz w:val="20"/>
              </w:rPr>
              <w:t xml:space="preserve">
   Оценка риска - сравнение предполагаемого риска с установленными критериями приемлемости риска с использованием количественной и качественной шкалы с целью определения значимости риска. </w:t>
            </w:r>
          </w:p>
          <w:p>
            <w:pPr>
              <w:spacing w:after="20"/>
              <w:ind w:left="20"/>
              <w:jc w:val="both"/>
            </w:pPr>
            <w:r>
              <w:rPr>
                <w:rFonts w:ascii="Times New Roman"/>
                <w:b w:val="false"/>
                <w:i w:val="false"/>
                <w:color w:val="000000"/>
                <w:sz w:val="20"/>
              </w:rPr>
              <w:t xml:space="preserve">
   Принятие риска - решение принять риск. </w:t>
            </w:r>
          </w:p>
          <w:p>
            <w:pPr>
              <w:spacing w:after="20"/>
              <w:ind w:left="20"/>
              <w:jc w:val="both"/>
            </w:pPr>
            <w:r>
              <w:rPr>
                <w:rFonts w:ascii="Times New Roman"/>
                <w:b w:val="false"/>
                <w:i w:val="false"/>
                <w:color w:val="000000"/>
                <w:sz w:val="20"/>
              </w:rPr>
              <w:t xml:space="preserve">
   Риск - комбинация вероятности причинения вреда и тяжести этого вреда. </w:t>
            </w:r>
          </w:p>
          <w:p>
            <w:pPr>
              <w:spacing w:after="20"/>
              <w:ind w:left="20"/>
              <w:jc w:val="both"/>
            </w:pPr>
            <w:r>
              <w:rPr>
                <w:rFonts w:ascii="Times New Roman"/>
                <w:b w:val="false"/>
                <w:i w:val="false"/>
                <w:color w:val="000000"/>
                <w:sz w:val="20"/>
              </w:rPr>
              <w:t>
   Система качества - совокупность всех аспектов системы, которая внедряет политику в области качества и обеспечивает достижение целей в отношении качества.</w:t>
            </w:r>
          </w:p>
          <w:p>
            <w:pPr>
              <w:spacing w:after="20"/>
              <w:ind w:left="20"/>
              <w:jc w:val="both"/>
            </w:pPr>
            <w:r>
              <w:rPr>
                <w:rFonts w:ascii="Times New Roman"/>
                <w:b w:val="false"/>
                <w:i w:val="false"/>
                <w:color w:val="000000"/>
                <w:sz w:val="20"/>
              </w:rPr>
              <w:t>
   Снижение рисков - меры, предпринятые для снижения вероятности причинения вреда и серьезности этого вреда.</w:t>
            </w:r>
          </w:p>
          <w:p>
            <w:pPr>
              <w:spacing w:after="20"/>
              <w:ind w:left="20"/>
              <w:jc w:val="both"/>
            </w:pPr>
            <w:r>
              <w:rPr>
                <w:rFonts w:ascii="Times New Roman"/>
                <w:b w:val="false"/>
                <w:i w:val="false"/>
                <w:color w:val="000000"/>
                <w:sz w:val="20"/>
              </w:rPr>
              <w:t>
   Способность к выявлению - возможность выявить или установить наличие, присутствие или факт опасности.</w:t>
            </w:r>
          </w:p>
          <w:p>
            <w:pPr>
              <w:spacing w:after="20"/>
              <w:ind w:left="20"/>
              <w:jc w:val="both"/>
            </w:pPr>
            <w:r>
              <w:rPr>
                <w:rFonts w:ascii="Times New Roman"/>
                <w:b w:val="false"/>
                <w:i w:val="false"/>
                <w:color w:val="000000"/>
                <w:sz w:val="20"/>
              </w:rPr>
              <w:t>
   Тенденция - статистический термин, означающий направление или степень изменения переменной(ых).</w:t>
            </w:r>
          </w:p>
          <w:p>
            <w:pPr>
              <w:spacing w:after="20"/>
              <w:ind w:left="20"/>
              <w:jc w:val="both"/>
            </w:pPr>
            <w:r>
              <w:rPr>
                <w:rFonts w:ascii="Times New Roman"/>
                <w:b w:val="false"/>
                <w:i w:val="false"/>
                <w:color w:val="000000"/>
                <w:sz w:val="20"/>
              </w:rPr>
              <w:t>
   Требования - явные или предполагаемые потребности или ожидания пациентов или защитников их интересов. В данном документе "требования" означают не только установленные законом, законодательные или нормативные требования, но также потребности и ожидания.</w:t>
            </w:r>
          </w:p>
          <w:p>
            <w:pPr>
              <w:spacing w:after="20"/>
              <w:ind w:left="20"/>
              <w:jc w:val="both"/>
            </w:pPr>
            <w:r>
              <w:rPr>
                <w:rFonts w:ascii="Times New Roman"/>
                <w:b w:val="false"/>
                <w:i w:val="false"/>
                <w:color w:val="000000"/>
                <w:sz w:val="20"/>
              </w:rPr>
              <w:t>
   Тяжесть - мера возможных последствий опасности.</w:t>
            </w:r>
          </w:p>
          <w:p>
            <w:pPr>
              <w:spacing w:after="20"/>
              <w:ind w:left="20"/>
              <w:jc w:val="both"/>
            </w:pPr>
            <w:r>
              <w:rPr>
                <w:rFonts w:ascii="Times New Roman"/>
                <w:b w:val="false"/>
                <w:i w:val="false"/>
                <w:color w:val="000000"/>
                <w:sz w:val="20"/>
              </w:rPr>
              <w:t>
   Управление рисками - систематическое применение политики управления качеством, процедур и правил с целью общей оценки, контроля, обзора рисков и соответствующего информирования.</w:t>
            </w:r>
          </w:p>
          <w:p>
            <w:pPr>
              <w:spacing w:after="20"/>
              <w:ind w:left="20"/>
              <w:jc w:val="both"/>
            </w:pPr>
            <w:r>
              <w:rPr>
                <w:rFonts w:ascii="Times New Roman"/>
                <w:b w:val="false"/>
                <w:i w:val="false"/>
                <w:color w:val="000000"/>
                <w:sz w:val="20"/>
              </w:rPr>
              <w:t>
   Управление рисками для качества - систематический процесс общей оценки, контроля, информирования и обзора рисков для качества лекарственного препарата на протяжении жизненного цикла лекарственного препарата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Дополнение I</w:t>
            </w:r>
          </w:p>
          <w:p>
            <w:pPr>
              <w:spacing w:after="20"/>
              <w:ind w:left="20"/>
              <w:jc w:val="both"/>
            </w:pPr>
            <w:r>
              <w:rPr>
                <w:rFonts w:ascii="Times New Roman"/>
                <w:b w:val="false"/>
                <w:i w:val="false"/>
                <w:color w:val="000000"/>
                <w:sz w:val="20"/>
              </w:rPr>
              <w:t>
</w:t>
            </w:r>
            <w:r>
              <w:rPr>
                <w:rFonts w:ascii="Times New Roman"/>
                <w:b/>
                <w:i w:val="false"/>
                <w:color w:val="000000"/>
                <w:sz w:val="20"/>
              </w:rPr>
              <w:t>МЕТОДЫ И ИНСТРУМЕНТЫ УПРАВЛЕНИЯ РИСКАМИ</w:t>
            </w:r>
          </w:p>
          <w:p>
            <w:pPr>
              <w:spacing w:after="20"/>
              <w:ind w:left="20"/>
              <w:jc w:val="both"/>
            </w:pPr>
            <w:r>
              <w:rPr>
                <w:rFonts w:ascii="Times New Roman"/>
                <w:b w:val="false"/>
                <w:i w:val="false"/>
                <w:color w:val="000000"/>
                <w:sz w:val="20"/>
              </w:rPr>
              <w:t xml:space="preserve">
   Цель этого дополнения – предоставить общий обзор и ссылки на некоторые основные инструменты, которые могут быть использованы при управлении рисками для качества в промышленности и деятельности уполномоченных органов. Эти ссылки приведены с целью расширения знаний и предоставления более детальной информации относительно конкретного инструмента управления рисками для качества. Этот перечень не является исчерпывающим. Важно отметить, что ни один инструмент или набор инструментов не может быть применим ко всем случаям, когда используют управление рисками для качества.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I.1. Основные вспомогательные методы управления рисками</w:t>
            </w:r>
          </w:p>
          <w:p>
            <w:pPr>
              <w:spacing w:after="20"/>
              <w:ind w:left="20"/>
              <w:jc w:val="both"/>
            </w:pPr>
            <w:r>
              <w:rPr>
                <w:rFonts w:ascii="Times New Roman"/>
                <w:b w:val="false"/>
                <w:i w:val="false"/>
                <w:color w:val="000000"/>
                <w:sz w:val="20"/>
              </w:rPr>
              <w:t xml:space="preserve">
   Некоторыми из простых средств, которые широко применяются для структуризации управления рисками путем упорядочения данных и для содействия принятию решений, являются: </w:t>
            </w:r>
          </w:p>
          <w:p>
            <w:pPr>
              <w:spacing w:after="20"/>
              <w:ind w:left="20"/>
              <w:jc w:val="both"/>
            </w:pPr>
            <w:r>
              <w:rPr>
                <w:rFonts w:ascii="Times New Roman"/>
                <w:b w:val="false"/>
                <w:i w:val="false"/>
                <w:color w:val="000000"/>
                <w:sz w:val="20"/>
              </w:rPr>
              <w:t>
   Блок-схемы.</w:t>
            </w:r>
          </w:p>
          <w:p>
            <w:pPr>
              <w:spacing w:after="20"/>
              <w:ind w:left="20"/>
              <w:jc w:val="both"/>
            </w:pPr>
            <w:r>
              <w:rPr>
                <w:rFonts w:ascii="Times New Roman"/>
                <w:b w:val="false"/>
                <w:i w:val="false"/>
                <w:color w:val="000000"/>
                <w:sz w:val="20"/>
              </w:rPr>
              <w:t>
   Контрольные карты.</w:t>
            </w:r>
          </w:p>
          <w:p>
            <w:pPr>
              <w:spacing w:after="20"/>
              <w:ind w:left="20"/>
              <w:jc w:val="both"/>
            </w:pPr>
            <w:r>
              <w:rPr>
                <w:rFonts w:ascii="Times New Roman"/>
                <w:b w:val="false"/>
                <w:i w:val="false"/>
                <w:color w:val="000000"/>
                <w:sz w:val="20"/>
              </w:rPr>
              <w:t>
   Картирование процесса.</w:t>
            </w:r>
          </w:p>
          <w:p>
            <w:pPr>
              <w:spacing w:after="20"/>
              <w:ind w:left="20"/>
              <w:jc w:val="both"/>
            </w:pPr>
            <w:r>
              <w:rPr>
                <w:rFonts w:ascii="Times New Roman"/>
                <w:b w:val="false"/>
                <w:i w:val="false"/>
                <w:color w:val="000000"/>
                <w:sz w:val="20"/>
              </w:rPr>
              <w:t>
   Диаграммы причин и следствий, также называемые диаграммами Ишикавы или диаграммами "рыбий скелет".</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I.2. Анализ режимов и последствий отказов (далее – FMEA)</w:t>
            </w:r>
          </w:p>
          <w:p>
            <w:pPr>
              <w:spacing w:after="20"/>
              <w:ind w:left="20"/>
              <w:jc w:val="both"/>
            </w:pPr>
            <w:r>
              <w:rPr>
                <w:rFonts w:ascii="Times New Roman"/>
                <w:b w:val="false"/>
                <w:i w:val="false"/>
                <w:color w:val="000000"/>
                <w:sz w:val="20"/>
              </w:rPr>
              <w:t>
   FMEA предназначен для оценивания характера потенциальных отказов при проведении процесса, а также возможных последствий отказов для результата процесса и (или) характеристики продукции. Если виды отказов установлены, применяют снижение рисков с целью устранения, ограничения, уменьшения или контроля потенциальных отказов. FMEA зависит от понимания продукции и процесса. FMEA методически разделяет анализ сложных процессов на управляемые стадии. Это мощный инструмент для обобщенного рассмотрения характера важных отказов, факторов, способствующих таким отказам, и возможных последствий таких отказов.</w:t>
            </w:r>
          </w:p>
          <w:p>
            <w:pPr>
              <w:spacing w:after="20"/>
              <w:ind w:left="20"/>
              <w:jc w:val="both"/>
            </w:pPr>
            <w:r>
              <w:rPr>
                <w:rFonts w:ascii="Times New Roman"/>
                <w:b w:val="false"/>
                <w:i w:val="false"/>
                <w:color w:val="000000"/>
                <w:sz w:val="20"/>
              </w:rPr>
              <w:t>
   FMEA применяется к оборудованию и помещениям, а также для анализа технологической операции и ее влияния на продукцию или процесс. FMEA определяет элементы или операции системы, делающие ее уязвимой. Результаты FMEA используются как основа для планирования либо последующего анализа, либо для рекомендаций относительно использования ресурсов.</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I.3. Анализ режимов, последствий и критичности отказов ( далее – FMECA)</w:t>
            </w:r>
          </w:p>
          <w:p>
            <w:pPr>
              <w:spacing w:after="20"/>
              <w:ind w:left="20"/>
              <w:jc w:val="both"/>
            </w:pPr>
            <w:r>
              <w:rPr>
                <w:rFonts w:ascii="Times New Roman"/>
                <w:b w:val="false"/>
                <w:i w:val="false"/>
                <w:color w:val="000000"/>
                <w:sz w:val="20"/>
              </w:rPr>
              <w:t xml:space="preserve">
   Если расширить FMEA путем включения исследований степени тяжести последствий, соответствующей вероятности случаев отказов, а также способности их выявления, то данный анализ становится анализом характера, последствий и критичности отказов - FMECA. Для проведения такого анализа устанавливаются спецификации на продукцию и процесс. С помощью FMECA устанавливаются точки, где необходимы дополнительные предупреждающие меры, чтобы свести риски к минимуму. </w:t>
            </w:r>
          </w:p>
          <w:p>
            <w:pPr>
              <w:spacing w:after="20"/>
              <w:ind w:left="20"/>
              <w:jc w:val="both"/>
            </w:pPr>
            <w:r>
              <w:rPr>
                <w:rFonts w:ascii="Times New Roman"/>
                <w:b w:val="false"/>
                <w:i w:val="false"/>
                <w:color w:val="000000"/>
                <w:sz w:val="20"/>
              </w:rPr>
              <w:t xml:space="preserve">
   Применяют FMECA в фармацевтической промышленности преимущественно для отказов и рисков, связанных с производственными процессами, однако применение FMECA этим не ограничивается. Результатом FMECA является относительная "шкала" риска для каждого вида отказа, с помощью которой проводят ранжирование режимов на основании относительного риска. </w:t>
            </w:r>
          </w:p>
          <w:p>
            <w:pPr>
              <w:spacing w:after="20"/>
              <w:ind w:left="20"/>
              <w:jc w:val="both"/>
            </w:pPr>
            <w:r>
              <w:rPr>
                <w:rFonts w:ascii="Times New Roman"/>
                <w:b w:val="false"/>
                <w:i w:val="false"/>
                <w:color w:val="000000"/>
                <w:sz w:val="20"/>
              </w:rPr>
              <w:t>
   </w:t>
            </w:r>
            <w:r>
              <w:rPr>
                <w:rFonts w:ascii="Times New Roman"/>
                <w:b/>
                <w:i w:val="false"/>
                <w:color w:val="000000"/>
                <w:sz w:val="20"/>
              </w:rPr>
              <w:t>I.4. Анализ дерева ошибок (далее - FTA)</w:t>
            </w:r>
          </w:p>
          <w:p>
            <w:pPr>
              <w:spacing w:after="20"/>
              <w:ind w:left="20"/>
              <w:jc w:val="both"/>
            </w:pPr>
            <w:r>
              <w:rPr>
                <w:rFonts w:ascii="Times New Roman"/>
                <w:b w:val="false"/>
                <w:i w:val="false"/>
                <w:color w:val="000000"/>
                <w:sz w:val="20"/>
              </w:rPr>
              <w:t>
   FTA – это подход, предполагающий наличие несоответствий функциональных характеристик продукции или процесса. С помощью этого инструмента оцениваются одноразовые ошибки системы или части системы, а также объединенные множественные факторы отказа путем установления причинных цепочек. Результаты представляют в виде иллюстрации в форме дерева видов отказов. На каждом уровне дерева комбинации видов отказов описываются с помощью логических операторов. FTA зависит от понимания экспертами процесса в плане установления причинных факторов.</w:t>
            </w:r>
          </w:p>
          <w:p>
            <w:pPr>
              <w:spacing w:after="20"/>
              <w:ind w:left="20"/>
              <w:jc w:val="both"/>
            </w:pPr>
            <w:r>
              <w:rPr>
                <w:rFonts w:ascii="Times New Roman"/>
                <w:b w:val="false"/>
                <w:i w:val="false"/>
                <w:color w:val="000000"/>
                <w:sz w:val="20"/>
              </w:rPr>
              <w:t>
   FTA применяют для установления пути к основной причине отказа. FTA применим для расследования претензий или отклонений, чтобы достичь полного понимания их основных причин и чтобы гарантировать, что запланированные улучшения позволят полностью решить проблему и не приведут к возникновению других проблем, то есть решение одной проблемы является причиной другой проблемы. Анализ дерева ошибок является эффективным инструментом для оценки того, как множественные факторы влияют на данную проблему. Результатом FTA является визуальное выражение видов отказов. FTA полезен как для общего оценивания рисков, так и для разрабатывающихся планов мониторинга.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I.5. Анализ опасностей и критические контрольные точки (далее – HACCP)</w:t>
            </w:r>
          </w:p>
          <w:p>
            <w:pPr>
              <w:spacing w:after="20"/>
              <w:ind w:left="20"/>
              <w:jc w:val="both"/>
            </w:pPr>
            <w:r>
              <w:rPr>
                <w:rFonts w:ascii="Times New Roman"/>
                <w:b w:val="false"/>
                <w:i w:val="false"/>
                <w:color w:val="000000"/>
                <w:sz w:val="20"/>
              </w:rPr>
              <w:t xml:space="preserve">
   HACCP является системным, предупреждающим и профилактическим инструментом для обеспечения качества, надежности и безопасности продукции. Это структурированный подход с применением технических и научных принципов для анализа, оценки, предупреждения и контроля рисков или неблагоприятных последствий опасности, которые являются результатом планирования, разработки, производства и применения продукции. </w:t>
            </w:r>
          </w:p>
          <w:p>
            <w:pPr>
              <w:spacing w:after="20"/>
              <w:ind w:left="20"/>
              <w:jc w:val="both"/>
            </w:pPr>
            <w:r>
              <w:rPr>
                <w:rFonts w:ascii="Times New Roman"/>
                <w:b w:val="false"/>
                <w:i w:val="false"/>
                <w:color w:val="000000"/>
                <w:sz w:val="20"/>
              </w:rPr>
              <w:t>
   HACCP состоит из следующих семи этапов:</w:t>
            </w:r>
          </w:p>
          <w:p>
            <w:pPr>
              <w:spacing w:after="20"/>
              <w:ind w:left="20"/>
              <w:jc w:val="both"/>
            </w:pPr>
            <w:r>
              <w:rPr>
                <w:rFonts w:ascii="Times New Roman"/>
                <w:b w:val="false"/>
                <w:i w:val="false"/>
                <w:color w:val="000000"/>
                <w:sz w:val="20"/>
              </w:rPr>
              <w:t>
   1) проведение анализа безопасности и определение предупреждающих мер для каждой стадии процесса;</w:t>
            </w:r>
          </w:p>
          <w:p>
            <w:pPr>
              <w:spacing w:after="20"/>
              <w:ind w:left="20"/>
              <w:jc w:val="both"/>
            </w:pPr>
            <w:r>
              <w:rPr>
                <w:rFonts w:ascii="Times New Roman"/>
                <w:b w:val="false"/>
                <w:i w:val="false"/>
                <w:color w:val="000000"/>
                <w:sz w:val="20"/>
              </w:rPr>
              <w:t>
   2) определение критических контрольных точек;</w:t>
            </w:r>
          </w:p>
          <w:p>
            <w:pPr>
              <w:spacing w:after="20"/>
              <w:ind w:left="20"/>
              <w:jc w:val="both"/>
            </w:pPr>
            <w:r>
              <w:rPr>
                <w:rFonts w:ascii="Times New Roman"/>
                <w:b w:val="false"/>
                <w:i w:val="false"/>
                <w:color w:val="000000"/>
                <w:sz w:val="20"/>
              </w:rPr>
              <w:t>
   3) установление критических пределов;</w:t>
            </w:r>
          </w:p>
          <w:p>
            <w:pPr>
              <w:spacing w:after="20"/>
              <w:ind w:left="20"/>
              <w:jc w:val="both"/>
            </w:pPr>
            <w:r>
              <w:rPr>
                <w:rFonts w:ascii="Times New Roman"/>
                <w:b w:val="false"/>
                <w:i w:val="false"/>
                <w:color w:val="000000"/>
                <w:sz w:val="20"/>
              </w:rPr>
              <w:t>
   4) установление системы проверки критических контрольных точек;</w:t>
            </w:r>
          </w:p>
          <w:p>
            <w:pPr>
              <w:spacing w:after="20"/>
              <w:ind w:left="20"/>
              <w:jc w:val="both"/>
            </w:pPr>
            <w:r>
              <w:rPr>
                <w:rFonts w:ascii="Times New Roman"/>
                <w:b w:val="false"/>
                <w:i w:val="false"/>
                <w:color w:val="000000"/>
                <w:sz w:val="20"/>
              </w:rPr>
              <w:t xml:space="preserve">
   5) определение корректирующих мероприятий, которые проводятся, если при мониторинге установлено, что критические контрольные точки являются неконтролируемыми; </w:t>
            </w:r>
          </w:p>
          <w:p>
            <w:pPr>
              <w:spacing w:after="20"/>
              <w:ind w:left="20"/>
              <w:jc w:val="both"/>
            </w:pPr>
            <w:r>
              <w:rPr>
                <w:rFonts w:ascii="Times New Roman"/>
                <w:b w:val="false"/>
                <w:i w:val="false"/>
                <w:color w:val="000000"/>
                <w:sz w:val="20"/>
              </w:rPr>
              <w:t>
   6) введение системы подтверждения, что система HACCP работает эффективно;</w:t>
            </w:r>
          </w:p>
          <w:p>
            <w:pPr>
              <w:spacing w:after="20"/>
              <w:ind w:left="20"/>
              <w:jc w:val="both"/>
            </w:pPr>
            <w:r>
              <w:rPr>
                <w:rFonts w:ascii="Times New Roman"/>
                <w:b w:val="false"/>
                <w:i w:val="false"/>
                <w:color w:val="000000"/>
                <w:sz w:val="20"/>
              </w:rPr>
              <w:t>
   7) установление системы хранения записей.</w:t>
            </w:r>
          </w:p>
          <w:p>
            <w:pPr>
              <w:spacing w:after="20"/>
              <w:ind w:left="20"/>
              <w:jc w:val="both"/>
            </w:pPr>
            <w:r>
              <w:rPr>
                <w:rFonts w:ascii="Times New Roman"/>
                <w:b w:val="false"/>
                <w:i w:val="false"/>
                <w:color w:val="000000"/>
                <w:sz w:val="20"/>
              </w:rPr>
              <w:t xml:space="preserve">
   HACCP может быть применен для определения рисков, связанных с физической, химической и биологической опасностью, в том числе микробной контаминацией, и управления ими. HACCP наиболее полезен, если понимание продукции и процесса является достаточно полным для обеспечения идентификации критических контрольных точек. Результатом HACCP является информация относительно управления рисками, облегчающая мониторинг критических точек не только в ходе производственного процесса, но и на других этапах жизненного цикла.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I.6. Анализ опасностей и работоспособности (далее – HAZOP)</w:t>
            </w:r>
          </w:p>
          <w:p>
            <w:pPr>
              <w:spacing w:after="20"/>
              <w:ind w:left="20"/>
              <w:jc w:val="both"/>
            </w:pPr>
            <w:r>
              <w:rPr>
                <w:rFonts w:ascii="Times New Roman"/>
                <w:b w:val="false"/>
                <w:i w:val="false"/>
                <w:color w:val="000000"/>
                <w:sz w:val="20"/>
              </w:rPr>
              <w:t>
   HAZOP основан на теории, допускающей, что случаи рисков являются следствием отклонения от запланированных или рабочих параметров. Он является системным методом "мозгового штурма" для идентификации опасности с использованием так называемых "направляющих слов". "Направляющие слова", например, "нет", "больше", "иной чем", "часть..." применяют к соответствующим параметрам, например, к контаминации, температуре, для того чтобы помочь установить возможные отклонения от обычных или запланированных параметров. Часто используют группу людей со знаниями и опытом, охватывающими разработку процесса или продукта и его применение.</w:t>
            </w:r>
          </w:p>
          <w:p>
            <w:pPr>
              <w:spacing w:after="20"/>
              <w:ind w:left="20"/>
              <w:jc w:val="both"/>
            </w:pPr>
            <w:r>
              <w:rPr>
                <w:rFonts w:ascii="Times New Roman"/>
                <w:b w:val="false"/>
                <w:i w:val="false"/>
                <w:color w:val="000000"/>
                <w:sz w:val="20"/>
              </w:rPr>
              <w:t xml:space="preserve">
   HAZOP может применяться относительно производственных процессов, в том числе при контрактном производстве, а также в отношении поставщиков, оборудования и помещений для производства активных фармацевтических субстанций и лекарственных препаратов. Также HAZOP преимущественно применяется в фармацевтической промышленности для оценки безопасности процесса. Как и в случае HACCP, результатом анализа HAZOP является перечень критических операций для управления рисками. Это облегчает регулярный мониторинг критических точек в ходе производственного процесса.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I.7. Предварительный анализ опасности (далее – PHA)</w:t>
            </w:r>
          </w:p>
          <w:p>
            <w:pPr>
              <w:spacing w:after="20"/>
              <w:ind w:left="20"/>
              <w:jc w:val="both"/>
            </w:pPr>
            <w:r>
              <w:rPr>
                <w:rFonts w:ascii="Times New Roman"/>
                <w:b w:val="false"/>
                <w:i w:val="false"/>
                <w:color w:val="000000"/>
                <w:sz w:val="20"/>
              </w:rPr>
              <w:t xml:space="preserve">
   PHA является инструментом анализа, основанного на использовании предыдущего опыта или знаний в отношении опасности или отказа, с целью определения других факторов опасности, опасных ситуаций и случаев, являющихся причиной вреда, а также с целью оценки их вероятности относительно данной деятельности, данных технических средств, продукции или системы. Инструмент заключается в: </w:t>
            </w:r>
          </w:p>
          <w:p>
            <w:pPr>
              <w:spacing w:after="20"/>
              <w:ind w:left="20"/>
              <w:jc w:val="both"/>
            </w:pPr>
            <w:r>
              <w:rPr>
                <w:rFonts w:ascii="Times New Roman"/>
                <w:b w:val="false"/>
                <w:i w:val="false"/>
                <w:color w:val="000000"/>
                <w:sz w:val="20"/>
              </w:rPr>
              <w:t xml:space="preserve">
   1) идентификации возможностей того, что произойдет случай, связанный с риском; </w:t>
            </w:r>
          </w:p>
          <w:p>
            <w:pPr>
              <w:spacing w:after="20"/>
              <w:ind w:left="20"/>
              <w:jc w:val="both"/>
            </w:pPr>
            <w:r>
              <w:rPr>
                <w:rFonts w:ascii="Times New Roman"/>
                <w:b w:val="false"/>
                <w:i w:val="false"/>
                <w:color w:val="000000"/>
                <w:sz w:val="20"/>
              </w:rPr>
              <w:t xml:space="preserve">
   2) качественной оценке масштаба возможного повреждения или вреда для здоровья, которые являются следствием; </w:t>
            </w:r>
          </w:p>
          <w:p>
            <w:pPr>
              <w:spacing w:after="20"/>
              <w:ind w:left="20"/>
              <w:jc w:val="both"/>
            </w:pPr>
            <w:r>
              <w:rPr>
                <w:rFonts w:ascii="Times New Roman"/>
                <w:b w:val="false"/>
                <w:i w:val="false"/>
                <w:color w:val="000000"/>
                <w:sz w:val="20"/>
              </w:rPr>
              <w:t xml:space="preserve">
   3) относительном ранжировании опасности с использованием комбинации тяжести последствий и вероятности случая; </w:t>
            </w:r>
          </w:p>
          <w:p>
            <w:pPr>
              <w:spacing w:after="20"/>
              <w:ind w:left="20"/>
              <w:jc w:val="both"/>
            </w:pPr>
            <w:r>
              <w:rPr>
                <w:rFonts w:ascii="Times New Roman"/>
                <w:b w:val="false"/>
                <w:i w:val="false"/>
                <w:color w:val="000000"/>
                <w:sz w:val="20"/>
              </w:rPr>
              <w:t>
   4) определении возможных корректирующих действий.</w:t>
            </w:r>
          </w:p>
          <w:p>
            <w:pPr>
              <w:spacing w:after="20"/>
              <w:ind w:left="20"/>
              <w:jc w:val="both"/>
            </w:pPr>
            <w:r>
              <w:rPr>
                <w:rFonts w:ascii="Times New Roman"/>
                <w:b w:val="false"/>
                <w:i w:val="false"/>
                <w:color w:val="000000"/>
                <w:sz w:val="20"/>
              </w:rPr>
              <w:t>
   PHA полезен при анализе существующих систем или при выявлении первостепенной опасности, если обстоятельства не позволяют применять более масштабный способ. PHA применим к планированию продукции, процесса и помещений, а также для оценки типов опасности для основной продукции, потом для видов продукции и, в конечном итоге, для отдельного продукта. PHA наиболее часто применяется на ранних этапах разработки проекта, когда мало информации относительно деталей плана или операционных процедур; таким образом, PHA часто является предварительным инструментом для последующих исследований. Опасность, установленную при применении PHA, в последующем оценивают с помощью других инструментов управления рисками, указанных в данном разделе.</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I.8. Ранжирование и фильтрация рисков</w:t>
            </w:r>
          </w:p>
          <w:p>
            <w:pPr>
              <w:spacing w:after="20"/>
              <w:ind w:left="20"/>
              <w:jc w:val="both"/>
            </w:pPr>
            <w:r>
              <w:rPr>
                <w:rFonts w:ascii="Times New Roman"/>
                <w:b w:val="false"/>
                <w:i w:val="false"/>
                <w:color w:val="000000"/>
                <w:sz w:val="20"/>
              </w:rPr>
              <w:t>
   Ранжирование и фильтрация рисков является инструментом для сравнения и ранжирования рисков. Ранжирование рисков сложных систем требует оценки многочисленных разнообразных количественных и качественных факторов для каждого риска. Инструмент заключается в разделении основной связанной с риском проблемы на множество компонентов, что необходимо для фиксации факторов, связанных с риском. Эти факторы объединяют в одну относительную шкалу рисков, которую применяют для ранжирования рисков. "Фильтры", которые представляют собой значимые факторы или границы уровней риска, используют для градации или ранжирования риска в соответствии с целями управления или политики.</w:t>
            </w:r>
          </w:p>
          <w:p>
            <w:pPr>
              <w:spacing w:after="20"/>
              <w:ind w:left="20"/>
              <w:jc w:val="both"/>
            </w:pPr>
            <w:r>
              <w:rPr>
                <w:rFonts w:ascii="Times New Roman"/>
                <w:b w:val="false"/>
                <w:i w:val="false"/>
                <w:color w:val="000000"/>
                <w:sz w:val="20"/>
              </w:rPr>
              <w:t>
   Ранжирование и фильтрацию рисков применяют при определении приоритетов для инспекции/аудита производственных участков со стороны уполномоченных органов или со стороны представителей предприятий. Методы ранжирования рисков являются полезными, в частности, в ситуациях, когда риски и последствия, которыми необходимо управлять, являются разнообразными и представляют трудности для сравнения при применении только одного инструмента. Ранжирование рисков целесообразно, если для управления в рамках одной и той же организационной схемы необходимо оценить как количественно, так и качественно оцениваемые риски.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I.9. Соответствующие статистические методы</w:t>
            </w:r>
          </w:p>
          <w:p>
            <w:pPr>
              <w:spacing w:after="20"/>
              <w:ind w:left="20"/>
              <w:jc w:val="both"/>
            </w:pPr>
            <w:r>
              <w:rPr>
                <w:rFonts w:ascii="Times New Roman"/>
                <w:b w:val="false"/>
                <w:i w:val="false"/>
                <w:color w:val="000000"/>
                <w:sz w:val="20"/>
              </w:rPr>
              <w:t>
   Статистические методы могут способствовать управлению рисками для качества и облегчать его осуществление. Они обеспечивают возможность эффективной оценки данных, помогают при определении важности набора(ов) данных, а также способствуют принятию более правильных решений. Перечень некоторых основных статистических методов, широко применяемых в фармацевтической промышленности, включает:</w:t>
            </w:r>
          </w:p>
          <w:p>
            <w:pPr>
              <w:spacing w:after="20"/>
              <w:ind w:left="20"/>
              <w:jc w:val="both"/>
            </w:pPr>
            <w:r>
              <w:rPr>
                <w:rFonts w:ascii="Times New Roman"/>
                <w:b w:val="false"/>
                <w:i w:val="false"/>
                <w:color w:val="000000"/>
                <w:sz w:val="20"/>
              </w:rPr>
              <w:t>
   контрольные карты, например:</w:t>
            </w:r>
          </w:p>
          <w:p>
            <w:pPr>
              <w:spacing w:after="20"/>
              <w:ind w:left="20"/>
              <w:jc w:val="both"/>
            </w:pPr>
            <w:r>
              <w:rPr>
                <w:rFonts w:ascii="Times New Roman"/>
                <w:b w:val="false"/>
                <w:i w:val="false"/>
                <w:color w:val="000000"/>
                <w:sz w:val="20"/>
              </w:rPr>
              <w:t>
   приемочные контрольные карты;</w:t>
            </w:r>
          </w:p>
          <w:p>
            <w:pPr>
              <w:spacing w:after="20"/>
              <w:ind w:left="20"/>
              <w:jc w:val="both"/>
            </w:pPr>
            <w:r>
              <w:rPr>
                <w:rFonts w:ascii="Times New Roman"/>
                <w:b w:val="false"/>
                <w:i w:val="false"/>
                <w:color w:val="000000"/>
                <w:sz w:val="20"/>
              </w:rPr>
              <w:t>
   контрольные карты для арифметического среднего с предупреждающими границами;</w:t>
            </w:r>
          </w:p>
          <w:p>
            <w:pPr>
              <w:spacing w:after="20"/>
              <w:ind w:left="20"/>
              <w:jc w:val="both"/>
            </w:pPr>
            <w:r>
              <w:rPr>
                <w:rFonts w:ascii="Times New Roman"/>
                <w:b w:val="false"/>
                <w:i w:val="false"/>
                <w:color w:val="000000"/>
                <w:sz w:val="20"/>
              </w:rPr>
              <w:t>
   контрольные карты кумулятивных сумм;</w:t>
            </w:r>
          </w:p>
          <w:p>
            <w:pPr>
              <w:spacing w:after="20"/>
              <w:ind w:left="20"/>
              <w:jc w:val="both"/>
            </w:pPr>
            <w:r>
              <w:rPr>
                <w:rFonts w:ascii="Times New Roman"/>
                <w:b w:val="false"/>
                <w:i w:val="false"/>
                <w:color w:val="000000"/>
                <w:sz w:val="20"/>
              </w:rPr>
              <w:t>
   контрольные карты Шухарта;</w:t>
            </w:r>
          </w:p>
          <w:p>
            <w:pPr>
              <w:spacing w:after="20"/>
              <w:ind w:left="20"/>
              <w:jc w:val="both"/>
            </w:pPr>
            <w:r>
              <w:rPr>
                <w:rFonts w:ascii="Times New Roman"/>
                <w:b w:val="false"/>
                <w:i w:val="false"/>
                <w:color w:val="000000"/>
                <w:sz w:val="20"/>
              </w:rPr>
              <w:t>
   взвешенное скользящее среднее;</w:t>
            </w:r>
          </w:p>
          <w:p>
            <w:pPr>
              <w:spacing w:after="20"/>
              <w:ind w:left="20"/>
              <w:jc w:val="both"/>
            </w:pPr>
            <w:r>
              <w:rPr>
                <w:rFonts w:ascii="Times New Roman"/>
                <w:b w:val="false"/>
                <w:i w:val="false"/>
                <w:color w:val="000000"/>
                <w:sz w:val="20"/>
              </w:rPr>
              <w:t>
   планирование экспериментов (Design of Experiments – DOE);</w:t>
            </w:r>
          </w:p>
          <w:p>
            <w:pPr>
              <w:spacing w:after="20"/>
              <w:ind w:left="20"/>
              <w:jc w:val="both"/>
            </w:pPr>
            <w:r>
              <w:rPr>
                <w:rFonts w:ascii="Times New Roman"/>
                <w:b w:val="false"/>
                <w:i w:val="false"/>
                <w:color w:val="000000"/>
                <w:sz w:val="20"/>
              </w:rPr>
              <w:t>
   гистограммы;</w:t>
            </w:r>
          </w:p>
          <w:p>
            <w:pPr>
              <w:spacing w:after="20"/>
              <w:ind w:left="20"/>
              <w:jc w:val="both"/>
            </w:pPr>
            <w:r>
              <w:rPr>
                <w:rFonts w:ascii="Times New Roman"/>
                <w:b w:val="false"/>
                <w:i w:val="false"/>
                <w:color w:val="000000"/>
                <w:sz w:val="20"/>
              </w:rPr>
              <w:t>
   диаграммы Парето;</w:t>
            </w:r>
          </w:p>
          <w:p>
            <w:pPr>
              <w:spacing w:after="20"/>
              <w:ind w:left="20"/>
              <w:jc w:val="both"/>
            </w:pPr>
            <w:r>
              <w:rPr>
                <w:rFonts w:ascii="Times New Roman"/>
                <w:b w:val="false"/>
                <w:i w:val="false"/>
                <w:color w:val="000000"/>
                <w:sz w:val="20"/>
              </w:rPr>
              <w:t>
   анализ возможностей процесса.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Дополнение II</w:t>
            </w:r>
          </w:p>
          <w:p>
            <w:pPr>
              <w:spacing w:after="20"/>
              <w:ind w:left="20"/>
              <w:jc w:val="both"/>
            </w:pPr>
            <w:r>
              <w:rPr>
                <w:rFonts w:ascii="Times New Roman"/>
                <w:b w:val="false"/>
                <w:i w:val="false"/>
                <w:color w:val="000000"/>
                <w:sz w:val="20"/>
              </w:rPr>
              <w:t>
</w:t>
            </w:r>
            <w:r>
              <w:rPr>
                <w:rFonts w:ascii="Times New Roman"/>
                <w:b/>
                <w:i w:val="false"/>
                <w:color w:val="000000"/>
                <w:sz w:val="20"/>
              </w:rPr>
              <w:t>Потенциальное применение управления рисками для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дополнение предназначено для определения возможного применения принципов и инструментов управления рисками для качества представителями как промышленности, так и уполномоченных органов. Однако выбор конкретных инструментов управления рисками полностью зависит от специфических фактов и обстоятельств.</w:t>
            </w:r>
          </w:p>
          <w:p>
            <w:pPr>
              <w:spacing w:after="20"/>
              <w:ind w:left="20"/>
              <w:jc w:val="both"/>
            </w:pPr>
            <w:r>
              <w:rPr>
                <w:rFonts w:ascii="Times New Roman"/>
                <w:b w:val="false"/>
                <w:i w:val="false"/>
                <w:color w:val="000000"/>
                <w:sz w:val="20"/>
              </w:rPr>
              <w:t xml:space="preserve">
   Приведенные примеры представлены для иллюстрации; они являются только рекомендациями по возможному применению управления рисками для качества. Данное дополнение не предназначено для установления любых новых требований в дополнение к требованиям, установленным действующим законодательством.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II.1. Управление рисками для качества как часть интегрированного управления качеством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Документация</w:t>
            </w:r>
          </w:p>
          <w:p>
            <w:pPr>
              <w:spacing w:after="20"/>
              <w:ind w:left="20"/>
              <w:jc w:val="both"/>
            </w:pPr>
            <w:r>
              <w:rPr>
                <w:rFonts w:ascii="Times New Roman"/>
                <w:b w:val="false"/>
                <w:i w:val="false"/>
                <w:color w:val="000000"/>
                <w:sz w:val="20"/>
              </w:rPr>
              <w:t>
   Для обзора действующих версий и соблюдения требований, установленных действующим законодательством.</w:t>
            </w:r>
          </w:p>
          <w:p>
            <w:pPr>
              <w:spacing w:after="20"/>
              <w:ind w:left="20"/>
              <w:jc w:val="both"/>
            </w:pPr>
            <w:r>
              <w:rPr>
                <w:rFonts w:ascii="Times New Roman"/>
                <w:b w:val="false"/>
                <w:i w:val="false"/>
                <w:color w:val="000000"/>
                <w:sz w:val="20"/>
              </w:rPr>
              <w:t>
   Для определения необходимости и (или) разработки содержания стандартных операционных процедур, руководств и т.п.</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Обучение и образование</w:t>
            </w:r>
          </w:p>
          <w:p>
            <w:pPr>
              <w:spacing w:after="20"/>
              <w:ind w:left="20"/>
              <w:jc w:val="both"/>
            </w:pPr>
            <w:r>
              <w:rPr>
                <w:rFonts w:ascii="Times New Roman"/>
                <w:b w:val="false"/>
                <w:i w:val="false"/>
                <w:color w:val="000000"/>
                <w:sz w:val="20"/>
              </w:rPr>
              <w:t xml:space="preserve">
   Для определения целесообразности начального обучения и (или) постоянных циклов обучения, основывающихся на образовании, опыте и трудовых навыках персонала, а также для периодической оценки проведенного обучения. Для определения знаний, опыта, квалификационных характеристик и физических возможностей, которые позволяют персоналу выполнять работу правильно и не оказывать отрицательного влияния на качество продукции.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Несоответствие качества</w:t>
            </w:r>
          </w:p>
          <w:p>
            <w:pPr>
              <w:spacing w:after="20"/>
              <w:ind w:left="20"/>
              <w:jc w:val="both"/>
            </w:pPr>
            <w:r>
              <w:rPr>
                <w:rFonts w:ascii="Times New Roman"/>
                <w:b w:val="false"/>
                <w:i w:val="false"/>
                <w:color w:val="000000"/>
                <w:sz w:val="20"/>
              </w:rPr>
              <w:t>
   С целью обеспечения основы для определения и оценки потенциального влияния на качество продукции возможных несоответствий, претензий, тенденций, расследований, результатов, не соответствующих спецификации, а также информирования о них.</w:t>
            </w:r>
          </w:p>
          <w:p>
            <w:pPr>
              <w:spacing w:after="20"/>
              <w:ind w:left="20"/>
              <w:jc w:val="both"/>
            </w:pPr>
            <w:r>
              <w:rPr>
                <w:rFonts w:ascii="Times New Roman"/>
                <w:b w:val="false"/>
                <w:i w:val="false"/>
                <w:color w:val="000000"/>
                <w:sz w:val="20"/>
              </w:rPr>
              <w:t xml:space="preserve">
   Для содействия информированию о риске и определении в сотрудничестве с уполномоченным органом соответствующего мероприятия в связи со значительным дефектом.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или инспекция</w:t>
            </w:r>
          </w:p>
          <w:p>
            <w:pPr>
              <w:spacing w:after="20"/>
              <w:ind w:left="20"/>
              <w:jc w:val="both"/>
            </w:pPr>
            <w:r>
              <w:rPr>
                <w:rFonts w:ascii="Times New Roman"/>
                <w:b w:val="false"/>
                <w:i w:val="false"/>
                <w:color w:val="000000"/>
                <w:sz w:val="20"/>
              </w:rPr>
              <w:t>
   Для установления частоты и области аудитов, как внутренних, так и внешних, с учетом таких факторов, как:</w:t>
            </w:r>
          </w:p>
          <w:p>
            <w:pPr>
              <w:spacing w:after="20"/>
              <w:ind w:left="20"/>
              <w:jc w:val="both"/>
            </w:pPr>
            <w:r>
              <w:rPr>
                <w:rFonts w:ascii="Times New Roman"/>
                <w:b w:val="false"/>
                <w:i w:val="false"/>
                <w:color w:val="000000"/>
                <w:sz w:val="20"/>
              </w:rPr>
              <w:t>
   требования действующего законодательства;</w:t>
            </w:r>
          </w:p>
          <w:p>
            <w:pPr>
              <w:spacing w:after="20"/>
              <w:ind w:left="20"/>
              <w:jc w:val="both"/>
            </w:pPr>
            <w:r>
              <w:rPr>
                <w:rFonts w:ascii="Times New Roman"/>
                <w:b w:val="false"/>
                <w:i w:val="false"/>
                <w:color w:val="000000"/>
                <w:sz w:val="20"/>
              </w:rPr>
              <w:t>
   текущее состояние общего соответствия и совокупность имеющихся сведений о предприятии или производственной площадке;</w:t>
            </w:r>
          </w:p>
          <w:p>
            <w:pPr>
              <w:spacing w:after="20"/>
              <w:ind w:left="20"/>
              <w:jc w:val="both"/>
            </w:pPr>
            <w:r>
              <w:rPr>
                <w:rFonts w:ascii="Times New Roman"/>
                <w:b w:val="false"/>
                <w:i w:val="false"/>
                <w:color w:val="000000"/>
                <w:sz w:val="20"/>
              </w:rPr>
              <w:t>
   надежность деятельности компании в плане управления рисками для качества;</w:t>
            </w:r>
          </w:p>
          <w:p>
            <w:pPr>
              <w:spacing w:after="20"/>
              <w:ind w:left="20"/>
              <w:jc w:val="both"/>
            </w:pPr>
            <w:r>
              <w:rPr>
                <w:rFonts w:ascii="Times New Roman"/>
                <w:b w:val="false"/>
                <w:i w:val="false"/>
                <w:color w:val="000000"/>
                <w:sz w:val="20"/>
              </w:rPr>
              <w:t>
   сложность участка;</w:t>
            </w:r>
          </w:p>
          <w:p>
            <w:pPr>
              <w:spacing w:after="20"/>
              <w:ind w:left="20"/>
              <w:jc w:val="both"/>
            </w:pPr>
            <w:r>
              <w:rPr>
                <w:rFonts w:ascii="Times New Roman"/>
                <w:b w:val="false"/>
                <w:i w:val="false"/>
                <w:color w:val="000000"/>
                <w:sz w:val="20"/>
              </w:rPr>
              <w:t>
   сложность производственного процесса;</w:t>
            </w:r>
          </w:p>
          <w:p>
            <w:pPr>
              <w:spacing w:after="20"/>
              <w:ind w:left="20"/>
              <w:jc w:val="both"/>
            </w:pPr>
            <w:r>
              <w:rPr>
                <w:rFonts w:ascii="Times New Roman"/>
                <w:b w:val="false"/>
                <w:i w:val="false"/>
                <w:color w:val="000000"/>
                <w:sz w:val="20"/>
              </w:rPr>
              <w:t>
   сложность продукции и ее терапевтическое значение;</w:t>
            </w:r>
          </w:p>
          <w:p>
            <w:pPr>
              <w:spacing w:after="20"/>
              <w:ind w:left="20"/>
              <w:jc w:val="both"/>
            </w:pPr>
            <w:r>
              <w:rPr>
                <w:rFonts w:ascii="Times New Roman"/>
                <w:b w:val="false"/>
                <w:i w:val="false"/>
                <w:color w:val="000000"/>
                <w:sz w:val="20"/>
              </w:rPr>
              <w:t>
   количество и значимость дефекта, например, отзывов;</w:t>
            </w:r>
          </w:p>
          <w:p>
            <w:pPr>
              <w:spacing w:after="20"/>
              <w:ind w:left="20"/>
              <w:jc w:val="both"/>
            </w:pPr>
            <w:r>
              <w:rPr>
                <w:rFonts w:ascii="Times New Roman"/>
                <w:b w:val="false"/>
                <w:i w:val="false"/>
                <w:color w:val="000000"/>
                <w:sz w:val="20"/>
              </w:rPr>
              <w:t>
   результаты предыдущих аудитов/инспекций;</w:t>
            </w:r>
          </w:p>
          <w:p>
            <w:pPr>
              <w:spacing w:after="20"/>
              <w:ind w:left="20"/>
              <w:jc w:val="both"/>
            </w:pPr>
            <w:r>
              <w:rPr>
                <w:rFonts w:ascii="Times New Roman"/>
                <w:b w:val="false"/>
                <w:i w:val="false"/>
                <w:color w:val="000000"/>
                <w:sz w:val="20"/>
              </w:rPr>
              <w:t>
   значительные изменения помещений, оборудования, процессов, ключевого персонала;</w:t>
            </w:r>
          </w:p>
          <w:p>
            <w:pPr>
              <w:spacing w:after="20"/>
              <w:ind w:left="20"/>
              <w:jc w:val="both"/>
            </w:pPr>
            <w:r>
              <w:rPr>
                <w:rFonts w:ascii="Times New Roman"/>
                <w:b w:val="false"/>
                <w:i w:val="false"/>
                <w:color w:val="000000"/>
                <w:sz w:val="20"/>
              </w:rPr>
              <w:t>
   опыт производства продукции, например, частота производства, объем и количество серий;</w:t>
            </w:r>
          </w:p>
          <w:p>
            <w:pPr>
              <w:spacing w:after="20"/>
              <w:ind w:left="20"/>
              <w:jc w:val="both"/>
            </w:pPr>
            <w:r>
              <w:rPr>
                <w:rFonts w:ascii="Times New Roman"/>
                <w:b w:val="false"/>
                <w:i w:val="false"/>
                <w:color w:val="000000"/>
                <w:sz w:val="20"/>
              </w:rPr>
              <w:t>
   результаты испытаний в официальных государственных контрольных лабораториях.</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Периодический обзор</w:t>
            </w:r>
          </w:p>
          <w:p>
            <w:pPr>
              <w:spacing w:after="20"/>
              <w:ind w:left="20"/>
              <w:jc w:val="both"/>
            </w:pPr>
            <w:r>
              <w:rPr>
                <w:rFonts w:ascii="Times New Roman"/>
                <w:b w:val="false"/>
                <w:i w:val="false"/>
                <w:color w:val="000000"/>
                <w:sz w:val="20"/>
              </w:rPr>
              <w:t>
   Для выбора, оценки и объяснения данных, которые свидетельствуют о тенденции в рамках обзора качества продукции.</w:t>
            </w:r>
          </w:p>
          <w:p>
            <w:pPr>
              <w:spacing w:after="20"/>
              <w:ind w:left="20"/>
              <w:jc w:val="both"/>
            </w:pPr>
            <w:r>
              <w:rPr>
                <w:rFonts w:ascii="Times New Roman"/>
                <w:b w:val="false"/>
                <w:i w:val="false"/>
                <w:color w:val="000000"/>
                <w:sz w:val="20"/>
              </w:rPr>
              <w:t>
   Для объяснения данных мониторинга, например, для систематической оценки надлежащего проведения повторной валидации или изменений при отборе проб.</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изменениями  или контроль изменений</w:t>
            </w:r>
          </w:p>
          <w:p>
            <w:pPr>
              <w:spacing w:after="20"/>
              <w:ind w:left="20"/>
              <w:jc w:val="both"/>
            </w:pPr>
            <w:r>
              <w:rPr>
                <w:rFonts w:ascii="Times New Roman"/>
                <w:b w:val="false"/>
                <w:i w:val="false"/>
                <w:color w:val="000000"/>
                <w:sz w:val="20"/>
              </w:rPr>
              <w:t>
   Для управления изменениями на основании знаний и информации, полученной во время фармацевтической разработки и производства.</w:t>
            </w:r>
          </w:p>
          <w:p>
            <w:pPr>
              <w:spacing w:after="20"/>
              <w:ind w:left="20"/>
              <w:jc w:val="both"/>
            </w:pPr>
            <w:r>
              <w:rPr>
                <w:rFonts w:ascii="Times New Roman"/>
                <w:b w:val="false"/>
                <w:i w:val="false"/>
                <w:color w:val="000000"/>
                <w:sz w:val="20"/>
              </w:rPr>
              <w:t>
   Для оценки влияния изменений на соответствие готовой продукции.</w:t>
            </w:r>
          </w:p>
          <w:p>
            <w:pPr>
              <w:spacing w:after="20"/>
              <w:ind w:left="20"/>
              <w:jc w:val="both"/>
            </w:pPr>
            <w:r>
              <w:rPr>
                <w:rFonts w:ascii="Times New Roman"/>
                <w:b w:val="false"/>
                <w:i w:val="false"/>
                <w:color w:val="000000"/>
                <w:sz w:val="20"/>
              </w:rPr>
              <w:t>
   Для оценки влияния на качество продукции изменений, внесенных в производственные площадки, оборудование, материалы, производственный процесс, или переносов технологии.</w:t>
            </w:r>
          </w:p>
          <w:p>
            <w:pPr>
              <w:spacing w:after="20"/>
              <w:ind w:left="20"/>
              <w:jc w:val="both"/>
            </w:pPr>
            <w:r>
              <w:rPr>
                <w:rFonts w:ascii="Times New Roman"/>
                <w:b w:val="false"/>
                <w:i w:val="false"/>
                <w:color w:val="000000"/>
                <w:sz w:val="20"/>
              </w:rPr>
              <w:t>
   Для определения соответствующих мероприятий, которые предшествуют внесению изменения, например, дополнительные испытания, квалификация, повторная квалификация, валидация, повторная валидация или информирование уполномоченных органов.</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Постоянное улучшение</w:t>
            </w:r>
          </w:p>
          <w:p>
            <w:pPr>
              <w:spacing w:after="20"/>
              <w:ind w:left="20"/>
              <w:jc w:val="both"/>
            </w:pPr>
            <w:r>
              <w:rPr>
                <w:rFonts w:ascii="Times New Roman"/>
                <w:b w:val="false"/>
                <w:i w:val="false"/>
                <w:color w:val="000000"/>
                <w:sz w:val="20"/>
              </w:rPr>
              <w:t>
   Для содействия постоянному улучшению процессов на протяжении жизненного цикла продукции.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II.2. Управление рисками для качества как часть деятельности уполномоченных органов</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Инспекция и систематическая оценка деятельности</w:t>
            </w:r>
            <w:r>
              <w:rPr>
                <w:rFonts w:ascii="Times New Roman"/>
                <w:b w:val="false"/>
                <w:i w:val="false"/>
                <w:color w:val="000000"/>
                <w:sz w:val="20"/>
              </w:rPr>
              <w:t> </w:t>
            </w:r>
          </w:p>
          <w:p>
            <w:pPr>
              <w:spacing w:after="20"/>
              <w:ind w:left="20"/>
              <w:jc w:val="both"/>
            </w:pPr>
            <w:r>
              <w:rPr>
                <w:rFonts w:ascii="Times New Roman"/>
                <w:b w:val="false"/>
                <w:i w:val="false"/>
                <w:color w:val="000000"/>
                <w:sz w:val="20"/>
              </w:rPr>
              <w:t>
   Для содействия рациональному распределению ресурсов, в том числе, например, для планирования инспекций и их частоты, а также для проведения инспекций и их объема как указано в разделе "Аудит" в пункте 1 Дополнения II настоящего документа.</w:t>
            </w:r>
          </w:p>
          <w:p>
            <w:pPr>
              <w:spacing w:after="20"/>
              <w:ind w:left="20"/>
              <w:jc w:val="both"/>
            </w:pPr>
            <w:r>
              <w:rPr>
                <w:rFonts w:ascii="Times New Roman"/>
                <w:b w:val="false"/>
                <w:i w:val="false"/>
                <w:color w:val="000000"/>
                <w:sz w:val="20"/>
              </w:rPr>
              <w:t>
    Для оценки значимости, например, дефекта, возможных отзывов и данных, полученных при инспектировании.</w:t>
            </w:r>
          </w:p>
          <w:p>
            <w:pPr>
              <w:spacing w:after="20"/>
              <w:ind w:left="20"/>
              <w:jc w:val="both"/>
            </w:pPr>
            <w:r>
              <w:rPr>
                <w:rFonts w:ascii="Times New Roman"/>
                <w:b w:val="false"/>
                <w:i w:val="false"/>
                <w:color w:val="000000"/>
                <w:sz w:val="20"/>
              </w:rPr>
              <w:t>
   Для определения необходимости и вида предусмотренных законодательством мероприятий по результатам инспекции.</w:t>
            </w:r>
          </w:p>
          <w:p>
            <w:pPr>
              <w:spacing w:after="20"/>
              <w:ind w:left="20"/>
              <w:jc w:val="both"/>
            </w:pPr>
            <w:r>
              <w:rPr>
                <w:rFonts w:ascii="Times New Roman"/>
                <w:b w:val="false"/>
                <w:i w:val="false"/>
                <w:color w:val="000000"/>
                <w:sz w:val="20"/>
              </w:rPr>
              <w:t>
   Для оценки информации, предоставленной представителями предприятий, в том числе информации относительно фармацевтической разработки.</w:t>
            </w:r>
          </w:p>
          <w:p>
            <w:pPr>
              <w:spacing w:after="20"/>
              <w:ind w:left="20"/>
              <w:jc w:val="both"/>
            </w:pPr>
            <w:r>
              <w:rPr>
                <w:rFonts w:ascii="Times New Roman"/>
                <w:b w:val="false"/>
                <w:i w:val="false"/>
                <w:color w:val="000000"/>
                <w:sz w:val="20"/>
              </w:rPr>
              <w:t>
   Для оценки влияния предлагаемых отклонений или изменений.</w:t>
            </w:r>
          </w:p>
          <w:p>
            <w:pPr>
              <w:spacing w:after="20"/>
              <w:ind w:left="20"/>
              <w:jc w:val="both"/>
            </w:pPr>
            <w:r>
              <w:rPr>
                <w:rFonts w:ascii="Times New Roman"/>
                <w:b w:val="false"/>
                <w:i w:val="false"/>
                <w:color w:val="000000"/>
                <w:sz w:val="20"/>
              </w:rPr>
              <w:t>
   Для определения рисков, которые следует обсуждать с инспекторами и экспертами для содействия лучшему пониманию того, как контролируется риск, например, выпуск по параметрам, процессно-аналитическая технология.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II.3. Управление рисками для качества как часть разработки</w:t>
            </w:r>
          </w:p>
          <w:p>
            <w:pPr>
              <w:spacing w:after="20"/>
              <w:ind w:left="20"/>
              <w:jc w:val="both"/>
            </w:pPr>
            <w:r>
              <w:rPr>
                <w:rFonts w:ascii="Times New Roman"/>
                <w:b w:val="false"/>
                <w:i w:val="false"/>
                <w:color w:val="000000"/>
                <w:sz w:val="20"/>
              </w:rPr>
              <w:t>
   Для планирования качества продукции и технологического процесса, чтобы постоянно получать продукцию с функциональными характеристиками, соответствующими его назначению.</w:t>
            </w:r>
          </w:p>
          <w:p>
            <w:pPr>
              <w:spacing w:after="20"/>
              <w:ind w:left="20"/>
              <w:jc w:val="both"/>
            </w:pPr>
            <w:r>
              <w:rPr>
                <w:rFonts w:ascii="Times New Roman"/>
                <w:b w:val="false"/>
                <w:i w:val="false"/>
                <w:color w:val="000000"/>
                <w:sz w:val="20"/>
              </w:rPr>
              <w:t>
   Для расширения знаний относительно функциональных характеристик продукции в зависимости от изменения характеристик сырья в широком диапазоне, например, распределение частиц по размерам, содержание влаги, реологические характеристики; изменения технологических операций и параметров процесса.</w:t>
            </w:r>
          </w:p>
          <w:p>
            <w:pPr>
              <w:spacing w:after="20"/>
              <w:ind w:left="20"/>
              <w:jc w:val="both"/>
            </w:pPr>
            <w:r>
              <w:rPr>
                <w:rFonts w:ascii="Times New Roman"/>
                <w:b w:val="false"/>
                <w:i w:val="false"/>
                <w:color w:val="000000"/>
                <w:sz w:val="20"/>
              </w:rPr>
              <w:t>
   Для оценки критических характеристик исходного сырья, растворителей, исходного сырья для АФС, самих АФС, вспомогательных веществ или упаковочных материалов.</w:t>
            </w:r>
          </w:p>
          <w:p>
            <w:pPr>
              <w:spacing w:after="20"/>
              <w:ind w:left="20"/>
              <w:jc w:val="both"/>
            </w:pPr>
            <w:r>
              <w:rPr>
                <w:rFonts w:ascii="Times New Roman"/>
                <w:b w:val="false"/>
                <w:i w:val="false"/>
                <w:color w:val="000000"/>
                <w:sz w:val="20"/>
              </w:rPr>
              <w:t>
   Для установления соответствующих спецификаций, определения критических параметров процесса и организации производственного контроля, например, на основании информации о клинически значимых показателях качества, полученной на этапе фармацевтической разработки, а также о возможности контролировать их в ходе процесса.</w:t>
            </w:r>
          </w:p>
          <w:p>
            <w:pPr>
              <w:spacing w:after="20"/>
              <w:ind w:left="20"/>
              <w:jc w:val="both"/>
            </w:pPr>
            <w:r>
              <w:rPr>
                <w:rFonts w:ascii="Times New Roman"/>
                <w:b w:val="false"/>
                <w:i w:val="false"/>
                <w:color w:val="000000"/>
                <w:sz w:val="20"/>
              </w:rPr>
              <w:t>
   Для снижения непостоянства показателей качества:</w:t>
            </w:r>
          </w:p>
          <w:p>
            <w:pPr>
              <w:spacing w:after="20"/>
              <w:ind w:left="20"/>
              <w:jc w:val="both"/>
            </w:pPr>
            <w:r>
              <w:rPr>
                <w:rFonts w:ascii="Times New Roman"/>
                <w:b w:val="false"/>
                <w:i w:val="false"/>
                <w:color w:val="000000"/>
                <w:sz w:val="20"/>
              </w:rPr>
              <w:t>
   снижение количества дефектов продукции, исходного сырья и материалов;</w:t>
            </w:r>
          </w:p>
          <w:p>
            <w:pPr>
              <w:spacing w:after="20"/>
              <w:ind w:left="20"/>
              <w:jc w:val="both"/>
            </w:pPr>
            <w:r>
              <w:rPr>
                <w:rFonts w:ascii="Times New Roman"/>
                <w:b w:val="false"/>
                <w:i w:val="false"/>
                <w:color w:val="000000"/>
                <w:sz w:val="20"/>
              </w:rPr>
              <w:t>
   снижение отклонений при производстве.</w:t>
            </w:r>
          </w:p>
          <w:p>
            <w:pPr>
              <w:spacing w:after="20"/>
              <w:ind w:left="20"/>
              <w:jc w:val="both"/>
            </w:pPr>
            <w:r>
              <w:rPr>
                <w:rFonts w:ascii="Times New Roman"/>
                <w:b w:val="false"/>
                <w:i w:val="false"/>
                <w:color w:val="000000"/>
                <w:sz w:val="20"/>
              </w:rPr>
              <w:t>
   Для оценки необходимости дополнительных исследований, например, биоэквивалентность, стабильность при масштабировании и переносе технологии.</w:t>
            </w:r>
          </w:p>
          <w:p>
            <w:pPr>
              <w:spacing w:after="20"/>
              <w:ind w:left="20"/>
              <w:jc w:val="both"/>
            </w:pPr>
            <w:r>
              <w:rPr>
                <w:rFonts w:ascii="Times New Roman"/>
                <w:b w:val="false"/>
                <w:i w:val="false"/>
                <w:color w:val="000000"/>
                <w:sz w:val="20"/>
              </w:rPr>
              <w:t>
   Для использования концепции "пространства проектных параметров".</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II.4. Управление рисками для качества по отношению к производственным помещениям, оборудованию и системам обеспечения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Проект производственных помещений/оборудования</w:t>
            </w:r>
          </w:p>
          <w:p>
            <w:pPr>
              <w:spacing w:after="20"/>
              <w:ind w:left="20"/>
              <w:jc w:val="both"/>
            </w:pPr>
            <w:r>
              <w:rPr>
                <w:rFonts w:ascii="Times New Roman"/>
                <w:b w:val="false"/>
                <w:i w:val="false"/>
                <w:color w:val="000000"/>
                <w:sz w:val="20"/>
              </w:rPr>
              <w:t>
   Для определения соответствующих зон при проектировании зданий и производственных помещений, например:</w:t>
            </w:r>
          </w:p>
          <w:p>
            <w:pPr>
              <w:spacing w:after="20"/>
              <w:ind w:left="20"/>
              <w:jc w:val="both"/>
            </w:pPr>
            <w:r>
              <w:rPr>
                <w:rFonts w:ascii="Times New Roman"/>
                <w:b w:val="false"/>
                <w:i w:val="false"/>
                <w:color w:val="000000"/>
                <w:sz w:val="20"/>
              </w:rPr>
              <w:t>
   направление потоков материалов и персонала;</w:t>
            </w:r>
          </w:p>
          <w:p>
            <w:pPr>
              <w:spacing w:after="20"/>
              <w:ind w:left="20"/>
              <w:jc w:val="both"/>
            </w:pPr>
            <w:r>
              <w:rPr>
                <w:rFonts w:ascii="Times New Roman"/>
                <w:b w:val="false"/>
                <w:i w:val="false"/>
                <w:color w:val="000000"/>
                <w:sz w:val="20"/>
              </w:rPr>
              <w:t>
   сведение к минимуму контаминации;</w:t>
            </w:r>
          </w:p>
          <w:p>
            <w:pPr>
              <w:spacing w:after="20"/>
              <w:ind w:left="20"/>
              <w:jc w:val="both"/>
            </w:pPr>
            <w:r>
              <w:rPr>
                <w:rFonts w:ascii="Times New Roman"/>
                <w:b w:val="false"/>
                <w:i w:val="false"/>
                <w:color w:val="000000"/>
                <w:sz w:val="20"/>
              </w:rPr>
              <w:t>
   мероприятия по контролю паразитов;</w:t>
            </w:r>
          </w:p>
          <w:p>
            <w:pPr>
              <w:spacing w:after="20"/>
              <w:ind w:left="20"/>
              <w:jc w:val="both"/>
            </w:pPr>
            <w:r>
              <w:rPr>
                <w:rFonts w:ascii="Times New Roman"/>
                <w:b w:val="false"/>
                <w:i w:val="false"/>
                <w:color w:val="000000"/>
                <w:sz w:val="20"/>
              </w:rPr>
              <w:t>
   предупреждение перепутывания;</w:t>
            </w:r>
          </w:p>
          <w:p>
            <w:pPr>
              <w:spacing w:after="20"/>
              <w:ind w:left="20"/>
              <w:jc w:val="both"/>
            </w:pPr>
            <w:r>
              <w:rPr>
                <w:rFonts w:ascii="Times New Roman"/>
                <w:b w:val="false"/>
                <w:i w:val="false"/>
                <w:color w:val="000000"/>
                <w:sz w:val="20"/>
              </w:rPr>
              <w:t xml:space="preserve">
   сравнение оборудования открытого и закрытого типов; </w:t>
            </w:r>
          </w:p>
          <w:p>
            <w:pPr>
              <w:spacing w:after="20"/>
              <w:ind w:left="20"/>
              <w:jc w:val="both"/>
            </w:pPr>
            <w:r>
              <w:rPr>
                <w:rFonts w:ascii="Times New Roman"/>
                <w:b w:val="false"/>
                <w:i w:val="false"/>
                <w:color w:val="000000"/>
                <w:sz w:val="20"/>
              </w:rPr>
              <w:t>
   сравнение чистых помещений с изолирующей технологией;</w:t>
            </w:r>
          </w:p>
          <w:p>
            <w:pPr>
              <w:spacing w:after="20"/>
              <w:ind w:left="20"/>
              <w:jc w:val="both"/>
            </w:pPr>
            <w:r>
              <w:rPr>
                <w:rFonts w:ascii="Times New Roman"/>
                <w:b w:val="false"/>
                <w:i w:val="false"/>
                <w:color w:val="000000"/>
                <w:sz w:val="20"/>
              </w:rPr>
              <w:t>
   специально предназначенные или выделенные производственные помещения/оборудование.</w:t>
            </w:r>
          </w:p>
          <w:p>
            <w:pPr>
              <w:spacing w:after="20"/>
              <w:ind w:left="20"/>
              <w:jc w:val="both"/>
            </w:pPr>
            <w:r>
              <w:rPr>
                <w:rFonts w:ascii="Times New Roman"/>
                <w:b w:val="false"/>
                <w:i w:val="false"/>
                <w:color w:val="000000"/>
                <w:sz w:val="20"/>
              </w:rPr>
              <w:t>
   Для определения соответствующих материалов оборудования и контейнеров, контактирующих с продукцией, например, выбор марки нержавеющей стали, сальников, смазочных материалов.</w:t>
            </w:r>
          </w:p>
          <w:p>
            <w:pPr>
              <w:spacing w:after="20"/>
              <w:ind w:left="20"/>
              <w:jc w:val="both"/>
            </w:pPr>
            <w:r>
              <w:rPr>
                <w:rFonts w:ascii="Times New Roman"/>
                <w:b w:val="false"/>
                <w:i w:val="false"/>
                <w:color w:val="000000"/>
                <w:sz w:val="20"/>
              </w:rPr>
              <w:t>
   Для определения соответствующих систем обеспечения, например, пар, газы, источники питания, сжатого воздуха, системы нагрева, вентиляции и кондиционирования воздуха, вода.</w:t>
            </w:r>
          </w:p>
          <w:p>
            <w:pPr>
              <w:spacing w:after="20"/>
              <w:ind w:left="20"/>
              <w:jc w:val="both"/>
            </w:pPr>
            <w:r>
              <w:rPr>
                <w:rFonts w:ascii="Times New Roman"/>
                <w:b w:val="false"/>
                <w:i w:val="false"/>
                <w:color w:val="000000"/>
                <w:sz w:val="20"/>
              </w:rPr>
              <w:t>
   Для определения соответствующего профилактического обслуживания связанного друг с другом оборудования, например, перечень необходимых запасных частей.</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Аспекты гигиены в помещениях</w:t>
            </w:r>
          </w:p>
          <w:p>
            <w:pPr>
              <w:spacing w:after="20"/>
              <w:ind w:left="20"/>
              <w:jc w:val="both"/>
            </w:pPr>
            <w:r>
              <w:rPr>
                <w:rFonts w:ascii="Times New Roman"/>
                <w:b w:val="false"/>
                <w:i w:val="false"/>
                <w:color w:val="000000"/>
                <w:sz w:val="20"/>
              </w:rPr>
              <w:t>
   Для защиты продукции от опасности со стороны производственной среды, в том числе химических, микробиологических и физических факторов опасности, например, определение надлежащей одежды и организация гардеробной, аспекты гигиены.</w:t>
            </w:r>
          </w:p>
          <w:p>
            <w:pPr>
              <w:spacing w:after="20"/>
              <w:ind w:left="20"/>
              <w:jc w:val="both"/>
            </w:pPr>
            <w:r>
              <w:rPr>
                <w:rFonts w:ascii="Times New Roman"/>
                <w:b w:val="false"/>
                <w:i w:val="false"/>
                <w:color w:val="000000"/>
                <w:sz w:val="20"/>
              </w:rPr>
              <w:t xml:space="preserve">
   Для защиты производственной среды и персонала от опасностей, связанных с производимой продукцией вследствие перекрестной контаминации.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Квалификация производственных помещений/оборудования/систем обеспечения</w:t>
            </w:r>
          </w:p>
          <w:p>
            <w:pPr>
              <w:spacing w:after="20"/>
              <w:ind w:left="20"/>
              <w:jc w:val="both"/>
            </w:pPr>
            <w:r>
              <w:rPr>
                <w:rFonts w:ascii="Times New Roman"/>
                <w:b w:val="false"/>
                <w:i w:val="false"/>
                <w:color w:val="000000"/>
                <w:sz w:val="20"/>
              </w:rPr>
              <w:t>
   Для определения области и масштаба квалификации помещений, зданий и технологического оборудования, а также лабораторных приборов, в том числе надлежащих методов калибровки.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Очистка оборудования и контроль производственной среды</w:t>
            </w:r>
          </w:p>
          <w:p>
            <w:pPr>
              <w:spacing w:after="20"/>
              <w:ind w:left="20"/>
              <w:jc w:val="both"/>
            </w:pPr>
            <w:r>
              <w:rPr>
                <w:rFonts w:ascii="Times New Roman"/>
                <w:b w:val="false"/>
                <w:i w:val="false"/>
                <w:color w:val="000000"/>
                <w:sz w:val="20"/>
              </w:rPr>
              <w:t>
   Для рационального распределения усилий и принятия решений, учитывая предназначение оборудования, например, многоцелевое или специально предназначенное оборудование, серийное производство или непрерывный технологический процесс.</w:t>
            </w:r>
          </w:p>
          <w:p>
            <w:pPr>
              <w:spacing w:after="20"/>
              <w:ind w:left="20"/>
              <w:jc w:val="both"/>
            </w:pPr>
            <w:r>
              <w:rPr>
                <w:rFonts w:ascii="Times New Roman"/>
                <w:b w:val="false"/>
                <w:i w:val="false"/>
                <w:color w:val="000000"/>
                <w:sz w:val="20"/>
              </w:rPr>
              <w:t xml:space="preserve">
   Для определения пределов приемлемости для валидации очистки.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Калибровка или профилактическое обслуживание</w:t>
            </w:r>
          </w:p>
          <w:p>
            <w:pPr>
              <w:spacing w:after="20"/>
              <w:ind w:left="20"/>
              <w:jc w:val="both"/>
            </w:pPr>
            <w:r>
              <w:rPr>
                <w:rFonts w:ascii="Times New Roman"/>
                <w:b w:val="false"/>
                <w:i w:val="false"/>
                <w:color w:val="000000"/>
                <w:sz w:val="20"/>
              </w:rPr>
              <w:t>
   Для установления соответствующих графиков калибровки и профилактического обслуживания.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Компьютерные системы и оборудование, контролируемое с помощью компьютеров</w:t>
            </w:r>
          </w:p>
          <w:p>
            <w:pPr>
              <w:spacing w:after="20"/>
              <w:ind w:left="20"/>
              <w:jc w:val="both"/>
            </w:pPr>
            <w:r>
              <w:rPr>
                <w:rFonts w:ascii="Times New Roman"/>
                <w:b w:val="false"/>
                <w:i w:val="false"/>
                <w:color w:val="000000"/>
                <w:sz w:val="20"/>
              </w:rPr>
              <w:t>
   Для выбора конфигурации компьютеров и программного обеспечения, например, модульная, структурированная, устойчивая к сбоям система.</w:t>
            </w:r>
          </w:p>
          <w:p>
            <w:pPr>
              <w:spacing w:after="20"/>
              <w:ind w:left="20"/>
              <w:jc w:val="both"/>
            </w:pPr>
            <w:r>
              <w:rPr>
                <w:rFonts w:ascii="Times New Roman"/>
                <w:b w:val="false"/>
                <w:i w:val="false"/>
                <w:color w:val="000000"/>
                <w:sz w:val="20"/>
              </w:rPr>
              <w:t>
   Для определения масштаба валидации:</w:t>
            </w:r>
          </w:p>
          <w:p>
            <w:pPr>
              <w:spacing w:after="20"/>
              <w:ind w:left="20"/>
              <w:jc w:val="both"/>
            </w:pPr>
            <w:r>
              <w:rPr>
                <w:rFonts w:ascii="Times New Roman"/>
                <w:b w:val="false"/>
                <w:i w:val="false"/>
                <w:color w:val="000000"/>
                <w:sz w:val="20"/>
              </w:rPr>
              <w:t>
   идентификация критических функциональных параметров;</w:t>
            </w:r>
          </w:p>
          <w:p>
            <w:pPr>
              <w:spacing w:after="20"/>
              <w:ind w:left="20"/>
              <w:jc w:val="both"/>
            </w:pPr>
            <w:r>
              <w:rPr>
                <w:rFonts w:ascii="Times New Roman"/>
                <w:b w:val="false"/>
                <w:i w:val="false"/>
                <w:color w:val="000000"/>
                <w:sz w:val="20"/>
              </w:rPr>
              <w:t>
   выбор требований и конструкции;</w:t>
            </w:r>
          </w:p>
          <w:p>
            <w:pPr>
              <w:spacing w:after="20"/>
              <w:ind w:left="20"/>
              <w:jc w:val="both"/>
            </w:pPr>
            <w:r>
              <w:rPr>
                <w:rFonts w:ascii="Times New Roman"/>
                <w:b w:val="false"/>
                <w:i w:val="false"/>
                <w:color w:val="000000"/>
                <w:sz w:val="20"/>
              </w:rPr>
              <w:t>
   проверка кодов;</w:t>
            </w:r>
          </w:p>
          <w:p>
            <w:pPr>
              <w:spacing w:after="20"/>
              <w:ind w:left="20"/>
              <w:jc w:val="both"/>
            </w:pPr>
            <w:r>
              <w:rPr>
                <w:rFonts w:ascii="Times New Roman"/>
                <w:b w:val="false"/>
                <w:i w:val="false"/>
                <w:color w:val="000000"/>
                <w:sz w:val="20"/>
              </w:rPr>
              <w:t>
   масштаб испытаний и методы испытаний;</w:t>
            </w:r>
          </w:p>
          <w:p>
            <w:pPr>
              <w:spacing w:after="20"/>
              <w:ind w:left="20"/>
              <w:jc w:val="both"/>
            </w:pPr>
            <w:r>
              <w:rPr>
                <w:rFonts w:ascii="Times New Roman"/>
                <w:b w:val="false"/>
                <w:i w:val="false"/>
                <w:color w:val="000000"/>
                <w:sz w:val="20"/>
              </w:rPr>
              <w:t>
   правильность электронных записей и подписей.</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II.5. Управление рисками для качества как часть управления исходным сырьем и материалами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Определение и оценка поставщиков и производителей по контракту</w:t>
            </w:r>
          </w:p>
          <w:p>
            <w:pPr>
              <w:spacing w:after="20"/>
              <w:ind w:left="20"/>
              <w:jc w:val="both"/>
            </w:pPr>
            <w:r>
              <w:rPr>
                <w:rFonts w:ascii="Times New Roman"/>
                <w:b w:val="false"/>
                <w:i w:val="false"/>
                <w:color w:val="000000"/>
                <w:sz w:val="20"/>
              </w:rPr>
              <w:t>
   Для обеспечения всесторонней оценки поставщиков и производителей по контракту, например, проведение их аудита, соглашения с поставщиками относительно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Исходное сырье</w:t>
            </w:r>
          </w:p>
          <w:p>
            <w:pPr>
              <w:spacing w:after="20"/>
              <w:ind w:left="20"/>
              <w:jc w:val="both"/>
            </w:pPr>
            <w:r>
              <w:rPr>
                <w:rFonts w:ascii="Times New Roman"/>
                <w:b w:val="false"/>
                <w:i w:val="false"/>
                <w:color w:val="000000"/>
                <w:sz w:val="20"/>
              </w:rPr>
              <w:t>
   Для оценки различий и возможных рисков для качества, связанных с изменчивостью исходного сырья, например, срок хранения, схема синтеза.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 исходного сырья и материалов</w:t>
            </w:r>
          </w:p>
          <w:p>
            <w:pPr>
              <w:spacing w:after="20"/>
              <w:ind w:left="20"/>
              <w:jc w:val="both"/>
            </w:pPr>
            <w:r>
              <w:rPr>
                <w:rFonts w:ascii="Times New Roman"/>
                <w:b w:val="false"/>
                <w:i w:val="false"/>
                <w:color w:val="000000"/>
                <w:sz w:val="20"/>
              </w:rPr>
              <w:t>
   Для определения того, являются ли приемлемыми для использования исходное сырье и материалы, находящиеся в карантине, например, для дальнейшего технологического процесса.</w:t>
            </w:r>
          </w:p>
          <w:p>
            <w:pPr>
              <w:spacing w:after="20"/>
              <w:ind w:left="20"/>
              <w:jc w:val="both"/>
            </w:pPr>
            <w:r>
              <w:rPr>
                <w:rFonts w:ascii="Times New Roman"/>
                <w:b w:val="false"/>
                <w:i w:val="false"/>
                <w:color w:val="000000"/>
                <w:sz w:val="20"/>
              </w:rPr>
              <w:t>
   Для определения надлежащего осуществления повторной обработки, переработки, использования возвращенной продукции.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Условия хранения и оптовой торговли, логистика</w:t>
            </w:r>
          </w:p>
          <w:p>
            <w:pPr>
              <w:spacing w:after="20"/>
              <w:ind w:left="20"/>
              <w:jc w:val="both"/>
            </w:pPr>
            <w:r>
              <w:rPr>
                <w:rFonts w:ascii="Times New Roman"/>
                <w:b w:val="false"/>
                <w:i w:val="false"/>
                <w:color w:val="000000"/>
                <w:sz w:val="20"/>
              </w:rPr>
              <w:t>
   Для оценки полноты соглашений по обеспечению соответствующих условий хранения и транспортирования, например, температура, влажность, конструкция контейнера.</w:t>
            </w:r>
          </w:p>
          <w:p>
            <w:pPr>
              <w:spacing w:after="20"/>
              <w:ind w:left="20"/>
              <w:jc w:val="both"/>
            </w:pPr>
            <w:r>
              <w:rPr>
                <w:rFonts w:ascii="Times New Roman"/>
                <w:b w:val="false"/>
                <w:i w:val="false"/>
                <w:color w:val="000000"/>
                <w:sz w:val="20"/>
              </w:rPr>
              <w:t>
   Для определения влияния несоответствий в условиях хранения и транспортирования, например, "обеспечение холодовой цепи" - cold chain management - на качество продукции с учетом нормативных требований.</w:t>
            </w:r>
          </w:p>
          <w:p>
            <w:pPr>
              <w:spacing w:after="20"/>
              <w:ind w:left="20"/>
              <w:jc w:val="both"/>
            </w:pPr>
            <w:r>
              <w:rPr>
                <w:rFonts w:ascii="Times New Roman"/>
                <w:b w:val="false"/>
                <w:i w:val="false"/>
                <w:color w:val="000000"/>
                <w:sz w:val="20"/>
              </w:rPr>
              <w:t>
   Для функционирования инфраструктуры, например, возможность обеспечивать надлежащие условия отгрузки, временного хранения, обращение с опасными материалами и подконтрольными веществами, таможенная очистка.</w:t>
            </w:r>
          </w:p>
          <w:p>
            <w:pPr>
              <w:spacing w:after="20"/>
              <w:ind w:left="20"/>
              <w:jc w:val="both"/>
            </w:pPr>
            <w:r>
              <w:rPr>
                <w:rFonts w:ascii="Times New Roman"/>
                <w:b w:val="false"/>
                <w:i w:val="false"/>
                <w:color w:val="000000"/>
                <w:sz w:val="20"/>
              </w:rPr>
              <w:t>
   Для предоставления информации об обеспечении пригодности лекарственных препаратов, например, ранжирование рисков для цепи поставок.</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II.6. Управление рисками для качества, как часть производства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Валидация</w:t>
            </w:r>
          </w:p>
          <w:p>
            <w:pPr>
              <w:spacing w:after="20"/>
              <w:ind w:left="20"/>
              <w:jc w:val="both"/>
            </w:pPr>
            <w:r>
              <w:rPr>
                <w:rFonts w:ascii="Times New Roman"/>
                <w:b w:val="false"/>
                <w:i w:val="false"/>
                <w:color w:val="000000"/>
                <w:sz w:val="20"/>
              </w:rPr>
              <w:t>
   Для определения области и масштаба деятельности по подтверждению, квалификации и валидации, например, аналитические методики, процессы, оборудование и процедуры очистки.</w:t>
            </w:r>
          </w:p>
          <w:p>
            <w:pPr>
              <w:spacing w:after="20"/>
              <w:ind w:left="20"/>
              <w:jc w:val="both"/>
            </w:pPr>
            <w:r>
              <w:rPr>
                <w:rFonts w:ascii="Times New Roman"/>
                <w:b w:val="false"/>
                <w:i w:val="false"/>
                <w:color w:val="000000"/>
                <w:sz w:val="20"/>
              </w:rPr>
              <w:t>
   Для определения масштаба последующих действий, например, отбор проб, мониторинг и повторная валидация.</w:t>
            </w:r>
          </w:p>
          <w:p>
            <w:pPr>
              <w:spacing w:after="20"/>
              <w:ind w:left="20"/>
              <w:jc w:val="both"/>
            </w:pPr>
            <w:r>
              <w:rPr>
                <w:rFonts w:ascii="Times New Roman"/>
                <w:b w:val="false"/>
                <w:i w:val="false"/>
                <w:color w:val="000000"/>
                <w:sz w:val="20"/>
              </w:rPr>
              <w:t>
   Для разграничения критических и некритических стадий процесса для помощи в планировании валидационных испытаний.</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Отбор проб или испытание в ходе производства</w:t>
            </w:r>
          </w:p>
          <w:p>
            <w:pPr>
              <w:spacing w:after="20"/>
              <w:ind w:left="20"/>
              <w:jc w:val="both"/>
            </w:pPr>
            <w:r>
              <w:rPr>
                <w:rFonts w:ascii="Times New Roman"/>
                <w:b w:val="false"/>
                <w:i w:val="false"/>
                <w:color w:val="000000"/>
                <w:sz w:val="20"/>
              </w:rPr>
              <w:t>
   Для оценки частоты и масштаба контрольных испытаний в процессе производства, например, для обоснования уменьшения объема испытаний в условиях доказанного контроля.</w:t>
            </w:r>
          </w:p>
          <w:p>
            <w:pPr>
              <w:spacing w:after="20"/>
              <w:ind w:left="20"/>
              <w:jc w:val="both"/>
            </w:pPr>
            <w:r>
              <w:rPr>
                <w:rFonts w:ascii="Times New Roman"/>
                <w:b w:val="false"/>
                <w:i w:val="false"/>
                <w:color w:val="000000"/>
                <w:sz w:val="20"/>
              </w:rPr>
              <w:t>
   Для оценки и обоснования использования процессно-аналитической технологии вместе с выпуском по параметрам и выпуском в реальном времени.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Планирование производств</w:t>
            </w:r>
          </w:p>
          <w:p>
            <w:pPr>
              <w:spacing w:after="20"/>
              <w:ind w:left="20"/>
              <w:jc w:val="both"/>
            </w:pPr>
            <w:r>
              <w:rPr>
                <w:rFonts w:ascii="Times New Roman"/>
                <w:b w:val="false"/>
                <w:i w:val="false"/>
                <w:color w:val="000000"/>
                <w:sz w:val="20"/>
              </w:rPr>
              <w:t>
   Для установления соответствующего плана производства, например, специально предназначенное производство, производство кампаниями, циклами производства и очередность сопутствующих технологических процессов.</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II.7. Управление рисками для качества как часть лабораторного контроля и испытаний стабильности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 не соответствующие спецификациям</w:t>
            </w:r>
          </w:p>
          <w:p>
            <w:pPr>
              <w:spacing w:after="20"/>
              <w:ind w:left="20"/>
              <w:jc w:val="both"/>
            </w:pPr>
            <w:r>
              <w:rPr>
                <w:rFonts w:ascii="Times New Roman"/>
                <w:b w:val="false"/>
                <w:i w:val="false"/>
                <w:color w:val="000000"/>
                <w:sz w:val="20"/>
              </w:rPr>
              <w:t>
   Для установления возможных основных причин и корректирующих мероприятий в ходе расследования результатов, не соответствующих спецификациям.</w:t>
            </w:r>
          </w:p>
          <w:p>
            <w:pPr>
              <w:spacing w:after="20"/>
              <w:ind w:left="20"/>
              <w:jc w:val="both"/>
            </w:pPr>
            <w:r>
              <w:rPr>
                <w:rFonts w:ascii="Times New Roman"/>
                <w:b w:val="false"/>
                <w:i w:val="false"/>
                <w:color w:val="000000"/>
                <w:sz w:val="20"/>
              </w:rPr>
              <w:t>
</w:t>
            </w:r>
            <w:r>
              <w:rPr>
                <w:rFonts w:ascii="Times New Roman"/>
                <w:b/>
                <w:i w:val="false"/>
                <w:color w:val="000000"/>
                <w:sz w:val="20"/>
              </w:rPr>
              <w:t>Период до проведения повторных испытаний или дата окончания срока годности</w:t>
            </w:r>
          </w:p>
          <w:p>
            <w:pPr>
              <w:spacing w:after="20"/>
              <w:ind w:left="20"/>
              <w:jc w:val="both"/>
            </w:pPr>
            <w:r>
              <w:rPr>
                <w:rFonts w:ascii="Times New Roman"/>
                <w:b w:val="false"/>
                <w:i w:val="false"/>
                <w:color w:val="000000"/>
                <w:sz w:val="20"/>
              </w:rPr>
              <w:t>
   Для оценки правильности хранения и испытаний промежуточной продукции, вспомогательных веществ и исходного сырья.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II.8. Управление рисками для качества как часть упаковки и маркировки</w:t>
            </w:r>
          </w:p>
          <w:p>
            <w:pPr>
              <w:spacing w:after="20"/>
              <w:ind w:left="20"/>
              <w:jc w:val="both"/>
            </w:pPr>
            <w:r>
              <w:rPr>
                <w:rFonts w:ascii="Times New Roman"/>
                <w:b w:val="false"/>
                <w:i w:val="false"/>
                <w:color w:val="000000"/>
                <w:sz w:val="20"/>
              </w:rPr>
              <w:t>
   Проектирование упаковок</w:t>
            </w:r>
          </w:p>
          <w:p>
            <w:pPr>
              <w:spacing w:after="20"/>
              <w:ind w:left="20"/>
              <w:jc w:val="both"/>
            </w:pPr>
            <w:r>
              <w:rPr>
                <w:rFonts w:ascii="Times New Roman"/>
                <w:b w:val="false"/>
                <w:i w:val="false"/>
                <w:color w:val="000000"/>
                <w:sz w:val="20"/>
              </w:rPr>
              <w:t>
   Для проектирования вторичной упаковки, предназначенной для защиты первичной упаковки продукции, например, чтобы обеспечить подлинность продукции, разборчивую надпись на этикетке.</w:t>
            </w:r>
          </w:p>
          <w:p>
            <w:pPr>
              <w:spacing w:after="20"/>
              <w:ind w:left="20"/>
              <w:jc w:val="both"/>
            </w:pPr>
            <w:r>
              <w:rPr>
                <w:rFonts w:ascii="Times New Roman"/>
                <w:b w:val="false"/>
                <w:i w:val="false"/>
                <w:color w:val="000000"/>
                <w:sz w:val="20"/>
              </w:rPr>
              <w:t>
   Выбор системы укупорки контейнера</w:t>
            </w:r>
          </w:p>
          <w:p>
            <w:pPr>
              <w:spacing w:after="20"/>
              <w:ind w:left="20"/>
              <w:jc w:val="both"/>
            </w:pPr>
            <w:r>
              <w:rPr>
                <w:rFonts w:ascii="Times New Roman"/>
                <w:b w:val="false"/>
                <w:i w:val="false"/>
                <w:color w:val="000000"/>
                <w:sz w:val="20"/>
              </w:rPr>
              <w:t>
   Для определения критических характеристик системы укупорки контейнера.</w:t>
            </w:r>
          </w:p>
          <w:p>
            <w:pPr>
              <w:spacing w:after="20"/>
              <w:ind w:left="20"/>
              <w:jc w:val="both"/>
            </w:pPr>
            <w:r>
              <w:rPr>
                <w:rFonts w:ascii="Times New Roman"/>
                <w:b w:val="false"/>
                <w:i w:val="false"/>
                <w:color w:val="000000"/>
                <w:sz w:val="20"/>
              </w:rPr>
              <w:t>
   Контроль этикеток</w:t>
            </w:r>
          </w:p>
          <w:p>
            <w:pPr>
              <w:spacing w:after="20"/>
              <w:ind w:left="20"/>
              <w:jc w:val="both"/>
            </w:pPr>
            <w:r>
              <w:rPr>
                <w:rFonts w:ascii="Times New Roman"/>
                <w:b w:val="false"/>
                <w:i w:val="false"/>
                <w:color w:val="000000"/>
                <w:sz w:val="20"/>
              </w:rPr>
              <w:t>
   Для планирования процедур контроля этикеток, учитывая возможность перепутывания этикеток разной продукции, в том числе разных версий одной и той же этикетки.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Фармацевтическая система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Предисловие</w:t>
            </w:r>
          </w:p>
          <w:p>
            <w:pPr>
              <w:spacing w:after="20"/>
              <w:ind w:left="20"/>
              <w:jc w:val="both"/>
            </w:pPr>
            <w:r>
              <w:rPr>
                <w:rFonts w:ascii="Times New Roman"/>
                <w:b w:val="false"/>
                <w:i w:val="false"/>
                <w:color w:val="000000"/>
                <w:sz w:val="20"/>
              </w:rPr>
              <w:t>
   Производители лекарственных средств разрабатывают и внедряют эффективную фармацевтическую систему качества, чтобы обеспечить соответствие требованиям настоящего Стандарта и придерживаться положений, изложенных в главе 1 части I настоящего Стандарта.</w:t>
            </w:r>
          </w:p>
          <w:p>
            <w:pPr>
              <w:spacing w:after="20"/>
              <w:ind w:left="20"/>
              <w:jc w:val="both"/>
            </w:pPr>
            <w:r>
              <w:rPr>
                <w:rFonts w:ascii="Times New Roman"/>
                <w:b w:val="false"/>
                <w:i w:val="false"/>
                <w:color w:val="000000"/>
                <w:sz w:val="20"/>
              </w:rPr>
              <w:t>
   Данный документ является примером фармацевтической системы качества, которая предназначена для полного жизненного цикла продукции. Следовательно, данный документ выходит за рамки требований настоящего Стандарта, который, за исключением производства лекарственных средств для клинических исследований, не распространяется на ту часть жизненного цикла, которая связана с разработкой. Данный документ, содержание которого дополняет требования настоящего Стандарта, является рекомендательным. Использование данного документа будет способствовать инновациям, постоянному улучшению и усилению взаимосвязи между фармацевтической разработкой и производственной деятельностью.</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Фармацевтическая система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Введение</w:t>
            </w:r>
          </w:p>
          <w:p>
            <w:pPr>
              <w:spacing w:after="20"/>
              <w:ind w:left="20"/>
              <w:jc w:val="both"/>
            </w:pPr>
            <w:r>
              <w:rPr>
                <w:rFonts w:ascii="Times New Roman"/>
                <w:b w:val="false"/>
                <w:i w:val="false"/>
                <w:color w:val="000000"/>
                <w:sz w:val="20"/>
              </w:rPr>
              <w:t>
   Настоящий документ гармонизирован с Руководством ICH Q10, которое описывает модель эффективной системы управления качеством для фармацевтической промышленности (далее – фармацевтическая система качества). В контексте данного документа термин "фармацевтическая система качества" относится к модели, описанной в документе ICH Q10.</w:t>
            </w:r>
          </w:p>
          <w:p>
            <w:pPr>
              <w:spacing w:after="20"/>
              <w:ind w:left="20"/>
              <w:jc w:val="both"/>
            </w:pPr>
            <w:r>
              <w:rPr>
                <w:rFonts w:ascii="Times New Roman"/>
                <w:b w:val="false"/>
                <w:i w:val="false"/>
                <w:color w:val="000000"/>
                <w:sz w:val="20"/>
              </w:rPr>
              <w:t xml:space="preserve">
   В документе ICH Q10 описана единая всесторонняя модель эффективной фармацевтической системы качества, которая основывается на концепции качества Международной организации по стандартизации (ISO), включает соответствующие положения правил надлежащего производства и дополняет документы ICH Q8 "Фармацевтическая разработка" и ICH Q9 "Управление рисками для качества". Настоящий документ является моделью для фармацевтической системы качества, которая может применяться на различных этапах жизненного цикла продукции. Большинство положений данного документа, применяемых к производственным предприятиям, подробно излагается в других разделах настоящего Стандарта. Данный документ не предназначен для установления каких-либо новых положений, которые выходят за рамки действующих нормативных требований. Положения, содержащиеся в данном документе, дополняют настоящий Стандарт и не являются обязательными. </w:t>
            </w:r>
          </w:p>
          <w:p>
            <w:pPr>
              <w:spacing w:after="20"/>
              <w:ind w:left="20"/>
              <w:jc w:val="both"/>
            </w:pPr>
            <w:r>
              <w:rPr>
                <w:rFonts w:ascii="Times New Roman"/>
                <w:b w:val="false"/>
                <w:i w:val="false"/>
                <w:color w:val="000000"/>
                <w:sz w:val="20"/>
              </w:rPr>
              <w:t>
   Настоящий документ служит доказательством того, что производители и уполномоченные органы поддерживают эффективную фармацевтическую систему качества с целью улучшения качества и доступности лекарственных препаратов в интересах здравоохранения. Применение настоящего документа на протяжении жизненного цикла продукции будет способствовать инновациям и постоянному улучшению, а также упрочнению связи между фармацевтической разработкой и производственной деятельностью.</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Область применения</w:t>
            </w:r>
          </w:p>
          <w:p>
            <w:pPr>
              <w:spacing w:after="20"/>
              <w:ind w:left="20"/>
              <w:jc w:val="both"/>
            </w:pPr>
            <w:r>
              <w:rPr>
                <w:rFonts w:ascii="Times New Roman"/>
                <w:b w:val="false"/>
                <w:i w:val="false"/>
                <w:color w:val="000000"/>
                <w:sz w:val="20"/>
              </w:rPr>
              <w:t>
   Настоящий документ распространяется на системы, обеспечивающие фармацевтическую разработку и производство АФС, а также лекарственных препаратов, включая лекарственные биотехнологические и биологические лекарственные препараты, на протяжении всех этапов жизненного цикла продукции.</w:t>
            </w:r>
          </w:p>
          <w:p>
            <w:pPr>
              <w:spacing w:after="20"/>
              <w:ind w:left="20"/>
              <w:jc w:val="both"/>
            </w:pPr>
            <w:r>
              <w:rPr>
                <w:rFonts w:ascii="Times New Roman"/>
                <w:b w:val="false"/>
                <w:i w:val="false"/>
                <w:color w:val="000000"/>
                <w:sz w:val="20"/>
              </w:rPr>
              <w:t>
   Элементы настоящего документа применяются соответственно и пропорционально каждому этапу жизненного цикла продукции с учетом различий между ними и различной цели каждого этапа, как указано в разделе 3 настоящего документа.</w:t>
            </w:r>
          </w:p>
          <w:p>
            <w:pPr>
              <w:spacing w:after="20"/>
              <w:ind w:left="20"/>
              <w:jc w:val="both"/>
            </w:pPr>
            <w:r>
              <w:rPr>
                <w:rFonts w:ascii="Times New Roman"/>
                <w:b w:val="false"/>
                <w:i w:val="false"/>
                <w:color w:val="000000"/>
                <w:sz w:val="20"/>
              </w:rPr>
              <w:t>
   В контексте настоящего документа жизненный цикл продукции включает следующую производственную деятельность для новых и уже существующих лекарственных препаратов:</w:t>
            </w:r>
          </w:p>
          <w:p>
            <w:pPr>
              <w:spacing w:after="20"/>
              <w:ind w:left="20"/>
              <w:jc w:val="both"/>
            </w:pPr>
            <w:r>
              <w:rPr>
                <w:rFonts w:ascii="Times New Roman"/>
                <w:b w:val="false"/>
                <w:i w:val="false"/>
                <w:color w:val="000000"/>
                <w:sz w:val="20"/>
              </w:rPr>
              <w:t>
   1) фармацевтическая разработка:</w:t>
            </w:r>
          </w:p>
          <w:p>
            <w:pPr>
              <w:spacing w:after="20"/>
              <w:ind w:left="20"/>
              <w:jc w:val="both"/>
            </w:pPr>
            <w:r>
              <w:rPr>
                <w:rFonts w:ascii="Times New Roman"/>
                <w:b w:val="false"/>
                <w:i w:val="false"/>
                <w:color w:val="000000"/>
                <w:sz w:val="20"/>
              </w:rPr>
              <w:t>
   разработка активной фармацевтической субстанции;</w:t>
            </w:r>
          </w:p>
          <w:p>
            <w:pPr>
              <w:spacing w:after="20"/>
              <w:ind w:left="20"/>
              <w:jc w:val="both"/>
            </w:pPr>
            <w:r>
              <w:rPr>
                <w:rFonts w:ascii="Times New Roman"/>
                <w:b w:val="false"/>
                <w:i w:val="false"/>
                <w:color w:val="000000"/>
                <w:sz w:val="20"/>
              </w:rPr>
              <w:t>
   разработка состава, включая систему "контейнер/средство укупорки";</w:t>
            </w:r>
          </w:p>
          <w:p>
            <w:pPr>
              <w:spacing w:after="20"/>
              <w:ind w:left="20"/>
              <w:jc w:val="both"/>
            </w:pPr>
            <w:r>
              <w:rPr>
                <w:rFonts w:ascii="Times New Roman"/>
                <w:b w:val="false"/>
                <w:i w:val="false"/>
                <w:color w:val="000000"/>
                <w:sz w:val="20"/>
              </w:rPr>
              <w:t>
   производство лекарственных препаратов для клинических исследований;</w:t>
            </w:r>
          </w:p>
          <w:p>
            <w:pPr>
              <w:spacing w:after="20"/>
              <w:ind w:left="20"/>
              <w:jc w:val="both"/>
            </w:pPr>
            <w:r>
              <w:rPr>
                <w:rFonts w:ascii="Times New Roman"/>
                <w:b w:val="false"/>
                <w:i w:val="false"/>
                <w:color w:val="000000"/>
                <w:sz w:val="20"/>
              </w:rPr>
              <w:t>
   разработка системы доставки, если это необходимо;</w:t>
            </w:r>
          </w:p>
          <w:p>
            <w:pPr>
              <w:spacing w:after="20"/>
              <w:ind w:left="20"/>
              <w:jc w:val="both"/>
            </w:pPr>
            <w:r>
              <w:rPr>
                <w:rFonts w:ascii="Times New Roman"/>
                <w:b w:val="false"/>
                <w:i w:val="false"/>
                <w:color w:val="000000"/>
                <w:sz w:val="20"/>
              </w:rPr>
              <w:t>
   разработка технологического процесса и масштабирование;</w:t>
            </w:r>
          </w:p>
          <w:p>
            <w:pPr>
              <w:spacing w:after="20"/>
              <w:ind w:left="20"/>
              <w:jc w:val="both"/>
            </w:pPr>
            <w:r>
              <w:rPr>
                <w:rFonts w:ascii="Times New Roman"/>
                <w:b w:val="false"/>
                <w:i w:val="false"/>
                <w:color w:val="000000"/>
                <w:sz w:val="20"/>
              </w:rPr>
              <w:t>
   разработка методик анализа.</w:t>
            </w:r>
          </w:p>
          <w:p>
            <w:pPr>
              <w:spacing w:after="20"/>
              <w:ind w:left="20"/>
              <w:jc w:val="both"/>
            </w:pPr>
            <w:r>
              <w:rPr>
                <w:rFonts w:ascii="Times New Roman"/>
                <w:b w:val="false"/>
                <w:i w:val="false"/>
                <w:color w:val="000000"/>
                <w:sz w:val="20"/>
              </w:rPr>
              <w:t>
   2) перенос технологии:</w:t>
            </w:r>
          </w:p>
          <w:p>
            <w:pPr>
              <w:spacing w:after="20"/>
              <w:ind w:left="20"/>
              <w:jc w:val="both"/>
            </w:pPr>
            <w:r>
              <w:rPr>
                <w:rFonts w:ascii="Times New Roman"/>
                <w:b w:val="false"/>
                <w:i w:val="false"/>
                <w:color w:val="000000"/>
                <w:sz w:val="20"/>
              </w:rPr>
              <w:t>
   перенос новой продукции из разработки в производство;</w:t>
            </w:r>
          </w:p>
          <w:p>
            <w:pPr>
              <w:spacing w:after="20"/>
              <w:ind w:left="20"/>
              <w:jc w:val="both"/>
            </w:pPr>
            <w:r>
              <w:rPr>
                <w:rFonts w:ascii="Times New Roman"/>
                <w:b w:val="false"/>
                <w:i w:val="false"/>
                <w:color w:val="000000"/>
                <w:sz w:val="20"/>
              </w:rPr>
              <w:t xml:space="preserve">
   перенос технологии производства зарегистрированной продукции внутри или между производственными или контролирующими подразделениями. </w:t>
            </w:r>
          </w:p>
          <w:p>
            <w:pPr>
              <w:spacing w:after="20"/>
              <w:ind w:left="20"/>
              <w:jc w:val="both"/>
            </w:pPr>
            <w:r>
              <w:rPr>
                <w:rFonts w:ascii="Times New Roman"/>
                <w:b w:val="false"/>
                <w:i w:val="false"/>
                <w:color w:val="000000"/>
                <w:sz w:val="20"/>
              </w:rPr>
              <w:t>
   3) промышленное производство:</w:t>
            </w:r>
          </w:p>
          <w:p>
            <w:pPr>
              <w:spacing w:after="20"/>
              <w:ind w:left="20"/>
              <w:jc w:val="both"/>
            </w:pPr>
            <w:r>
              <w:rPr>
                <w:rFonts w:ascii="Times New Roman"/>
                <w:b w:val="false"/>
                <w:i w:val="false"/>
                <w:color w:val="000000"/>
                <w:sz w:val="20"/>
              </w:rPr>
              <w:t>
   приобретение и контроль исходного сырья и материалов;</w:t>
            </w:r>
          </w:p>
          <w:p>
            <w:pPr>
              <w:spacing w:after="20"/>
              <w:ind w:left="20"/>
              <w:jc w:val="both"/>
            </w:pPr>
            <w:r>
              <w:rPr>
                <w:rFonts w:ascii="Times New Roman"/>
                <w:b w:val="false"/>
                <w:i w:val="false"/>
                <w:color w:val="000000"/>
                <w:sz w:val="20"/>
              </w:rPr>
              <w:t>
   предоставление помещений для производства, систем обеспечения и оборудования;</w:t>
            </w:r>
          </w:p>
          <w:p>
            <w:pPr>
              <w:spacing w:after="20"/>
              <w:ind w:left="20"/>
              <w:jc w:val="both"/>
            </w:pPr>
            <w:r>
              <w:rPr>
                <w:rFonts w:ascii="Times New Roman"/>
                <w:b w:val="false"/>
                <w:i w:val="false"/>
                <w:color w:val="000000"/>
                <w:sz w:val="20"/>
              </w:rPr>
              <w:t>
   технологический процесс, включая упаковку и маркировку;</w:t>
            </w:r>
          </w:p>
          <w:p>
            <w:pPr>
              <w:spacing w:after="20"/>
              <w:ind w:left="20"/>
              <w:jc w:val="both"/>
            </w:pPr>
            <w:r>
              <w:rPr>
                <w:rFonts w:ascii="Times New Roman"/>
                <w:b w:val="false"/>
                <w:i w:val="false"/>
                <w:color w:val="000000"/>
                <w:sz w:val="20"/>
              </w:rPr>
              <w:t>
   контроль качества и обеспечение качества;</w:t>
            </w:r>
          </w:p>
          <w:p>
            <w:pPr>
              <w:spacing w:after="20"/>
              <w:ind w:left="20"/>
              <w:jc w:val="both"/>
            </w:pPr>
            <w:r>
              <w:rPr>
                <w:rFonts w:ascii="Times New Roman"/>
                <w:b w:val="false"/>
                <w:i w:val="false"/>
                <w:color w:val="000000"/>
                <w:sz w:val="20"/>
              </w:rPr>
              <w:t>
   выдача разрешения на выпуск продукции;</w:t>
            </w:r>
          </w:p>
          <w:p>
            <w:pPr>
              <w:spacing w:after="20"/>
              <w:ind w:left="20"/>
              <w:jc w:val="both"/>
            </w:pPr>
            <w:r>
              <w:rPr>
                <w:rFonts w:ascii="Times New Roman"/>
                <w:b w:val="false"/>
                <w:i w:val="false"/>
                <w:color w:val="000000"/>
                <w:sz w:val="20"/>
              </w:rPr>
              <w:t>
   хранение;</w:t>
            </w:r>
          </w:p>
          <w:p>
            <w:pPr>
              <w:spacing w:after="20"/>
              <w:ind w:left="20"/>
              <w:jc w:val="both"/>
            </w:pPr>
            <w:r>
              <w:rPr>
                <w:rFonts w:ascii="Times New Roman"/>
                <w:b w:val="false"/>
                <w:i w:val="false"/>
                <w:color w:val="000000"/>
                <w:sz w:val="20"/>
              </w:rPr>
              <w:t>
   реализация, за исключением оптовой торговли.</w:t>
            </w:r>
          </w:p>
          <w:p>
            <w:pPr>
              <w:spacing w:after="20"/>
              <w:ind w:left="20"/>
              <w:jc w:val="both"/>
            </w:pPr>
            <w:r>
              <w:rPr>
                <w:rFonts w:ascii="Times New Roman"/>
                <w:b w:val="false"/>
                <w:i w:val="false"/>
                <w:color w:val="000000"/>
                <w:sz w:val="20"/>
              </w:rPr>
              <w:t>
   4) прекращение выпуска продукции:</w:t>
            </w:r>
          </w:p>
          <w:p>
            <w:pPr>
              <w:spacing w:after="20"/>
              <w:ind w:left="20"/>
              <w:jc w:val="both"/>
            </w:pPr>
            <w:r>
              <w:rPr>
                <w:rFonts w:ascii="Times New Roman"/>
                <w:b w:val="false"/>
                <w:i w:val="false"/>
                <w:color w:val="000000"/>
                <w:sz w:val="20"/>
              </w:rPr>
              <w:t>
   хранение документации;</w:t>
            </w:r>
          </w:p>
          <w:p>
            <w:pPr>
              <w:spacing w:after="20"/>
              <w:ind w:left="20"/>
              <w:jc w:val="both"/>
            </w:pPr>
            <w:r>
              <w:rPr>
                <w:rFonts w:ascii="Times New Roman"/>
                <w:b w:val="false"/>
                <w:i w:val="false"/>
                <w:color w:val="000000"/>
                <w:sz w:val="20"/>
              </w:rPr>
              <w:t>
   хранение образцов;</w:t>
            </w:r>
          </w:p>
          <w:p>
            <w:pPr>
              <w:spacing w:after="20"/>
              <w:ind w:left="20"/>
              <w:jc w:val="both"/>
            </w:pPr>
            <w:r>
              <w:rPr>
                <w:rFonts w:ascii="Times New Roman"/>
                <w:b w:val="false"/>
                <w:i w:val="false"/>
                <w:color w:val="000000"/>
                <w:sz w:val="20"/>
              </w:rPr>
              <w:t>
   продолжающаяся оценка продукции и составление отчетов.</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Взаимосвязь данного документа с требованиями настоящего Стандарта, стандартами ISO и документом ICH Q7</w:t>
            </w:r>
          </w:p>
          <w:p>
            <w:pPr>
              <w:spacing w:after="20"/>
              <w:ind w:left="20"/>
              <w:jc w:val="both"/>
            </w:pPr>
            <w:r>
              <w:rPr>
                <w:rFonts w:ascii="Times New Roman"/>
                <w:b w:val="false"/>
                <w:i w:val="false"/>
                <w:color w:val="000000"/>
                <w:sz w:val="20"/>
              </w:rPr>
              <w:t>
   Требования настоящего Стандарта, Руководства ІСН Q7 "Правила надлежащего производства активных фармацевтических субстанций" и Руководства системой управления качества ISO являются основой настоящего документа. Для достижения изложенных ниже целей данный документ расширяет настоящий Стандарт описанием характерных элементов системы качества и ответственности руководства. Данный документ обеспечивает модель, сочетающую фармацевтическую систему качества на всех этапах жизненного цикла продукции с требованиями настоящего Стандарта для их совместного применения.</w:t>
            </w:r>
          </w:p>
          <w:p>
            <w:pPr>
              <w:spacing w:after="20"/>
              <w:ind w:left="20"/>
              <w:jc w:val="both"/>
            </w:pPr>
            <w:r>
              <w:rPr>
                <w:rFonts w:ascii="Times New Roman"/>
                <w:b w:val="false"/>
                <w:i w:val="false"/>
                <w:color w:val="000000"/>
                <w:sz w:val="20"/>
              </w:rPr>
              <w:t>
   Требования настоящего Стандарта не направлены непосредственно на все этапы жизненного цикла продукции. Элементы системы качества и ответственность руководства, описанные в настоящем документе, предназначены для содействия применению научных подходов и подходов, основанных на оценке рисков, на каждом этапе жизненного цикла продукции, способствуя тем самым постоянному улучшению продукции на протяжении всего жизненного цикла.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Взаимосвязь настоящего документа с принципами государственного контроля</w:t>
            </w:r>
          </w:p>
          <w:p>
            <w:pPr>
              <w:spacing w:after="20"/>
              <w:ind w:left="20"/>
              <w:jc w:val="both"/>
            </w:pPr>
            <w:r>
              <w:rPr>
                <w:rFonts w:ascii="Times New Roman"/>
                <w:b w:val="false"/>
                <w:i w:val="false"/>
                <w:color w:val="000000"/>
                <w:sz w:val="20"/>
              </w:rPr>
              <w:t>
   Принципы государственного контроля в отношении определенной продукции или предприятия-производителя соответствуют уровню продукции, пониманию процесса, результатам управления рисками для качества и эффективности фармацевтической системы качества. Эффективность фармацевтической системы качества после ее внедрения может подтверждаться в обычном режиме при проведении инспекций предприятия уполномоченными органами. Потенциальные возможности улучшения научных и основанных на анализе рисков надзорных подходов изложены в Дополнении 1 к настоящему документу. Принципы государственного контроля определяются соответствующим законодательством.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Цели настоящего документа</w:t>
            </w:r>
          </w:p>
          <w:p>
            <w:pPr>
              <w:spacing w:after="20"/>
              <w:ind w:left="20"/>
              <w:jc w:val="both"/>
            </w:pPr>
            <w:r>
              <w:rPr>
                <w:rFonts w:ascii="Times New Roman"/>
                <w:b w:val="false"/>
                <w:i w:val="false"/>
                <w:color w:val="000000"/>
                <w:sz w:val="20"/>
              </w:rPr>
              <w:t xml:space="preserve">
   Внедрение модели фармацевтической системы качества приводит к достижению трех основных целей, которые дополняют или совершенствуют требования настоящего Стандарта.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Достичь реализации продукции</w:t>
            </w:r>
          </w:p>
          <w:p>
            <w:pPr>
              <w:spacing w:after="20"/>
              <w:ind w:left="20"/>
              <w:jc w:val="both"/>
            </w:pPr>
            <w:r>
              <w:rPr>
                <w:rFonts w:ascii="Times New Roman"/>
                <w:b w:val="false"/>
                <w:i w:val="false"/>
                <w:color w:val="000000"/>
                <w:sz w:val="20"/>
              </w:rPr>
              <w:t>
   Создать, внедрить и поддерживать систему, которая обеспечивает поставку продукции с показателями качества, соответствующими потребностям пациентов, медицинских работников, уполномоченных органов, включая соответствие установленным требованиям, а также внутренних и внешних потребителей.</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Установить и поддерживать контролируемое состояние</w:t>
            </w:r>
          </w:p>
          <w:p>
            <w:pPr>
              <w:spacing w:after="20"/>
              <w:ind w:left="20"/>
              <w:jc w:val="both"/>
            </w:pPr>
            <w:r>
              <w:rPr>
                <w:rFonts w:ascii="Times New Roman"/>
                <w:b w:val="false"/>
                <w:i w:val="false"/>
                <w:color w:val="000000"/>
                <w:sz w:val="20"/>
              </w:rPr>
              <w:t>
   Разработать и использовать эффективные системы мониторинга и контроля эффективности процесса и качества продукции, обеспечивая таким образом гарантию пригодности и возможностей процессов. При организации систем мониторинга и контроля может быть полезным управление рисками для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Способствовать постоянному улучшению</w:t>
            </w:r>
          </w:p>
          <w:p>
            <w:pPr>
              <w:spacing w:after="20"/>
              <w:ind w:left="20"/>
              <w:jc w:val="both"/>
            </w:pPr>
            <w:r>
              <w:rPr>
                <w:rFonts w:ascii="Times New Roman"/>
                <w:b w:val="false"/>
                <w:i w:val="false"/>
                <w:color w:val="000000"/>
                <w:sz w:val="20"/>
              </w:rPr>
              <w:t>
   Выявлять и внедрять соответствующие методы улучшения качества продукции и процессов, снижения их нестабильности, вводить инновационные решения и улучшать фармацевтическую систему качества, обеспечивая таким образом постоянное удовлетворение потребностей в отношении качества. При выявлении приоритетных областей, требующих постоянного улучшения, может быть полезным управление рисками для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Средства улучшения: управление знаниями и управление рисками для качества</w:t>
            </w:r>
          </w:p>
          <w:p>
            <w:pPr>
              <w:spacing w:after="20"/>
              <w:ind w:left="20"/>
              <w:jc w:val="both"/>
            </w:pPr>
            <w:r>
              <w:rPr>
                <w:rFonts w:ascii="Times New Roman"/>
                <w:b w:val="false"/>
                <w:i w:val="false"/>
                <w:color w:val="000000"/>
                <w:sz w:val="20"/>
              </w:rPr>
              <w:t>
   Управление знаниями и управление рисками для качества являются средствами, которые дают возможность предприятиям эффективно и успешно внедрить настоящий документ. Эти средства будут способствовать достижению целей, описанных в пункте 1.5 настоящего документа, и обеспечивают основания для принятия решений, основанных на научных знаниях и знаниях о рисках по отношению к качеству продукции.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знаниями</w:t>
            </w:r>
          </w:p>
          <w:p>
            <w:pPr>
              <w:spacing w:after="20"/>
              <w:ind w:left="20"/>
              <w:jc w:val="both"/>
            </w:pPr>
            <w:r>
              <w:rPr>
                <w:rFonts w:ascii="Times New Roman"/>
                <w:b w:val="false"/>
                <w:i w:val="false"/>
                <w:color w:val="000000"/>
                <w:sz w:val="20"/>
              </w:rPr>
              <w:t>
   Знаниями о продукции и процессах необходимо управлять при разработке, на протяжении периода нахождения продукции на рынке и до прекращения ее производства и медицинского применения. Например, деятельность при разработке с использованием научных подходов обеспечивает знание продукции и понимание процессов. Управление знаниями является систематическим подходом, который заключается в приобретении, анализе, накоплении и распространении информации о продукции, технологических процессах и компонентах. Источники информации включают в себя, но не ограничиваются, первичными знаниями – общеизвестными или документально оформленными внутри предприятия, - исследованиями в области фармацевтических разработок, деятельностью по переносу технологий, исследованиями по валидации процессов на протяжении жизненного цикла продукции, опытом производства, инновациями, постоянным улучшением и деятельностью, направленной на управление изменениями.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рисками для качества</w:t>
            </w:r>
          </w:p>
          <w:p>
            <w:pPr>
              <w:spacing w:after="20"/>
              <w:ind w:left="20"/>
              <w:jc w:val="both"/>
            </w:pPr>
            <w:r>
              <w:rPr>
                <w:rFonts w:ascii="Times New Roman"/>
                <w:b w:val="false"/>
                <w:i w:val="false"/>
                <w:color w:val="000000"/>
                <w:sz w:val="20"/>
              </w:rPr>
              <w:t>
   Управление рисками для качества является неотъемлемым от эффективной фармацевтической системы качества. Оно может обеспечить профилактический подход к выявлению, научной оценке и контролю потенциальных рисков для качества. Это способствует постоянному улучшению эффективности процесса и качества продукции на всех этапах жизненного цикла продукции. Документ "Управление рисками для качества", содержащийся в части III настоящего Стандарта, представляет принципы и примеры инструментов по управлению рисками для качества, которые применяются к различным аспектам фармацевтического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Обсуждение структуры и содержания</w:t>
            </w:r>
          </w:p>
          <w:p>
            <w:pPr>
              <w:spacing w:after="20"/>
              <w:ind w:left="20"/>
              <w:jc w:val="both"/>
            </w:pPr>
            <w:r>
              <w:rPr>
                <w:rFonts w:ascii="Times New Roman"/>
                <w:b w:val="false"/>
                <w:i w:val="false"/>
                <w:color w:val="000000"/>
                <w:sz w:val="20"/>
              </w:rPr>
              <w:t>
   1) структура, организация и документальное оформление фармацевтической системы качества четко структурируются и являются понятными для облегчения общего понимания и последовательного применения.</w:t>
            </w:r>
          </w:p>
          <w:p>
            <w:pPr>
              <w:spacing w:after="20"/>
              <w:ind w:left="20"/>
              <w:jc w:val="both"/>
            </w:pPr>
            <w:r>
              <w:rPr>
                <w:rFonts w:ascii="Times New Roman"/>
                <w:b w:val="false"/>
                <w:i w:val="false"/>
                <w:color w:val="000000"/>
                <w:sz w:val="20"/>
              </w:rPr>
              <w:t xml:space="preserve">
   2) элементы настоящего документа применяются соответственно и пропорционально каждому этапу жизненного цикла продукции с учетом различной цели каждого этапа и имеющихся знаний о нем. </w:t>
            </w:r>
          </w:p>
          <w:p>
            <w:pPr>
              <w:spacing w:after="20"/>
              <w:ind w:left="20"/>
              <w:jc w:val="both"/>
            </w:pPr>
            <w:r>
              <w:rPr>
                <w:rFonts w:ascii="Times New Roman"/>
                <w:b w:val="false"/>
                <w:i w:val="false"/>
                <w:color w:val="000000"/>
                <w:sz w:val="20"/>
              </w:rPr>
              <w:t>
   3) при разработке новой фармацевтической системы качества или при модификации существующей системы учитывают объем и сложность деятельности предприятия. В структуру фармацевтической системы качества включаются соответствующие принципы управления рисками. Некоторые аспекты фармацевтической системы качества применяются к деятельности всего предприятия, а иные – только к определенным подразделениям, эффективность внедрения фармацевтической системы качества обычно демонстрируется на уровне подразделения;</w:t>
            </w:r>
          </w:p>
          <w:p>
            <w:pPr>
              <w:spacing w:after="20"/>
              <w:ind w:left="20"/>
              <w:jc w:val="both"/>
            </w:pPr>
            <w:r>
              <w:rPr>
                <w:rFonts w:ascii="Times New Roman"/>
                <w:b w:val="false"/>
                <w:i w:val="false"/>
                <w:color w:val="000000"/>
                <w:sz w:val="20"/>
              </w:rPr>
              <w:t xml:space="preserve">
   4) фармацевтическая система качества включает соответствующие процессы, ресурсы и ответственность для обеспечения качества работ по контракту и закупки сырья и материалов, как описано в пункте 2.7 настоящего документа. </w:t>
            </w:r>
          </w:p>
          <w:p>
            <w:pPr>
              <w:spacing w:after="20"/>
              <w:ind w:left="20"/>
              <w:jc w:val="both"/>
            </w:pPr>
            <w:r>
              <w:rPr>
                <w:rFonts w:ascii="Times New Roman"/>
                <w:b w:val="false"/>
                <w:i w:val="false"/>
                <w:color w:val="000000"/>
                <w:sz w:val="20"/>
              </w:rPr>
              <w:t>
   5) в рамках фармацевтической системы качества, как описано в разделе 2 настоящего документа, определяется ответственность руководства.</w:t>
            </w:r>
          </w:p>
          <w:p>
            <w:pPr>
              <w:spacing w:after="20"/>
              <w:ind w:left="20"/>
              <w:jc w:val="both"/>
            </w:pPr>
            <w:r>
              <w:rPr>
                <w:rFonts w:ascii="Times New Roman"/>
                <w:b w:val="false"/>
                <w:i w:val="false"/>
                <w:color w:val="000000"/>
                <w:sz w:val="20"/>
              </w:rPr>
              <w:t>
   6) фармацевтическая система качества включает следующие элементы: мониторинг эффективности процесса и качества продукции, корректирующие и предупреждающие действия, управление изменениями и проверки со стороны руководства, как описано в разделе 3 настоящего документа.</w:t>
            </w:r>
          </w:p>
          <w:p>
            <w:pPr>
              <w:spacing w:after="20"/>
              <w:ind w:left="20"/>
              <w:jc w:val="both"/>
            </w:pPr>
            <w:r>
              <w:rPr>
                <w:rFonts w:ascii="Times New Roman"/>
                <w:b w:val="false"/>
                <w:i w:val="false"/>
                <w:color w:val="000000"/>
                <w:sz w:val="20"/>
              </w:rPr>
              <w:t>
   7) основные показатели результативности выявляются и используются для проверки эффективности процессов в рамках фармацевтической системы качества, как описано в разделе 4 настоящего документа.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Руководство по качеству</w:t>
            </w:r>
          </w:p>
          <w:p>
            <w:pPr>
              <w:spacing w:after="20"/>
              <w:ind w:left="20"/>
              <w:jc w:val="both"/>
            </w:pPr>
            <w:r>
              <w:rPr>
                <w:rFonts w:ascii="Times New Roman"/>
                <w:b w:val="false"/>
                <w:i w:val="false"/>
                <w:color w:val="000000"/>
                <w:sz w:val="20"/>
              </w:rPr>
              <w:t>
   Разрабатывается руководство по качеству или равноценный документ, включающий описание фармацевтической системы качества. Описание содержит:</w:t>
            </w:r>
          </w:p>
          <w:p>
            <w:pPr>
              <w:spacing w:after="20"/>
              <w:ind w:left="20"/>
              <w:jc w:val="both"/>
            </w:pPr>
            <w:r>
              <w:rPr>
                <w:rFonts w:ascii="Times New Roman"/>
                <w:b w:val="false"/>
                <w:i w:val="false"/>
                <w:color w:val="000000"/>
                <w:sz w:val="20"/>
              </w:rPr>
              <w:t>
   1) политику в области качества (описывается в разделе 2 настоящего документа);</w:t>
            </w:r>
          </w:p>
          <w:p>
            <w:pPr>
              <w:spacing w:after="20"/>
              <w:ind w:left="20"/>
              <w:jc w:val="both"/>
            </w:pPr>
            <w:r>
              <w:rPr>
                <w:rFonts w:ascii="Times New Roman"/>
                <w:b w:val="false"/>
                <w:i w:val="false"/>
                <w:color w:val="000000"/>
                <w:sz w:val="20"/>
              </w:rPr>
              <w:t>
   2) сферу применения фармацевтической системы качества;</w:t>
            </w:r>
          </w:p>
          <w:p>
            <w:pPr>
              <w:spacing w:after="20"/>
              <w:ind w:left="20"/>
              <w:jc w:val="both"/>
            </w:pPr>
            <w:r>
              <w:rPr>
                <w:rFonts w:ascii="Times New Roman"/>
                <w:b w:val="false"/>
                <w:i w:val="false"/>
                <w:color w:val="000000"/>
                <w:sz w:val="20"/>
              </w:rPr>
              <w:t>
   3) определение процессов в рамках фармацевтической системы качества, а также их последовательности, взаимосвязи и взаимозависимости. Карты процессов и графики потоков могут быть полезными инструментами для облегчения описания их в графическом виде;</w:t>
            </w:r>
          </w:p>
          <w:p>
            <w:pPr>
              <w:spacing w:after="20"/>
              <w:ind w:left="20"/>
              <w:jc w:val="both"/>
            </w:pPr>
            <w:r>
              <w:rPr>
                <w:rFonts w:ascii="Times New Roman"/>
                <w:b w:val="false"/>
                <w:i w:val="false"/>
                <w:color w:val="000000"/>
                <w:sz w:val="20"/>
              </w:rPr>
              <w:t>
   4) ответственность руководства в рамках фармацевтической системы качества описана в разделе 2 настоящего документа;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Ответственность руководства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предприятия несет ответственность за установление и обеспечение выполнения обязательств относительно качества и эффективности фармацевтической системы качества на уровне предприятия в целом.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Обязанности руководства</w:t>
            </w:r>
          </w:p>
          <w:p>
            <w:pPr>
              <w:spacing w:after="20"/>
              <w:ind w:left="20"/>
              <w:jc w:val="both"/>
            </w:pPr>
            <w:r>
              <w:rPr>
                <w:rFonts w:ascii="Times New Roman"/>
                <w:b w:val="false"/>
                <w:i w:val="false"/>
                <w:color w:val="000000"/>
                <w:sz w:val="20"/>
              </w:rPr>
              <w:t xml:space="preserve">
   а) при достижении целей в сфере качества высшее руководство несет основную ответственность за обеспечение внедрения эффективной фармацевтической системы качества, определение обязанностей, ответственности и полномочий, доведение их до сведения персонала, а также их исполнение во всех подразделениях предприятия; </w:t>
            </w:r>
          </w:p>
          <w:p>
            <w:pPr>
              <w:spacing w:after="20"/>
              <w:ind w:left="20"/>
              <w:jc w:val="both"/>
            </w:pPr>
            <w:r>
              <w:rPr>
                <w:rFonts w:ascii="Times New Roman"/>
                <w:b w:val="false"/>
                <w:i w:val="false"/>
                <w:color w:val="000000"/>
                <w:sz w:val="20"/>
              </w:rPr>
              <w:t xml:space="preserve">
   2) руководство: </w:t>
            </w:r>
          </w:p>
          <w:p>
            <w:pPr>
              <w:spacing w:after="20"/>
              <w:ind w:left="20"/>
              <w:jc w:val="both"/>
            </w:pPr>
            <w:r>
              <w:rPr>
                <w:rFonts w:ascii="Times New Roman"/>
                <w:b w:val="false"/>
                <w:i w:val="false"/>
                <w:color w:val="000000"/>
                <w:sz w:val="20"/>
              </w:rPr>
              <w:t>
   3) участвовать в разработке, внедрении, мониторинге и поддержании фармацевтической системы качества;</w:t>
            </w:r>
          </w:p>
          <w:p>
            <w:pPr>
              <w:spacing w:after="20"/>
              <w:ind w:left="20"/>
              <w:jc w:val="both"/>
            </w:pPr>
            <w:r>
              <w:rPr>
                <w:rFonts w:ascii="Times New Roman"/>
                <w:b w:val="false"/>
                <w:i w:val="false"/>
                <w:color w:val="000000"/>
                <w:sz w:val="20"/>
              </w:rPr>
              <w:t xml:space="preserve">
   4) демонстрировать сильную и очевидную поддержку фармацевтической системы качества и гарантировать ее внедрение на всех уровнях предприятия; </w:t>
            </w:r>
          </w:p>
          <w:p>
            <w:pPr>
              <w:spacing w:after="20"/>
              <w:ind w:left="20"/>
              <w:jc w:val="both"/>
            </w:pPr>
            <w:r>
              <w:rPr>
                <w:rFonts w:ascii="Times New Roman"/>
                <w:b w:val="false"/>
                <w:i w:val="false"/>
                <w:color w:val="000000"/>
                <w:sz w:val="20"/>
              </w:rPr>
              <w:t xml:space="preserve">
   5) обеспечивать существование своевременных и эффективных средств связи и процедур распространения информации для доведения сведений о проблемах качества до руководства соответствующего уровня; </w:t>
            </w:r>
          </w:p>
          <w:p>
            <w:pPr>
              <w:spacing w:after="20"/>
              <w:ind w:left="20"/>
              <w:jc w:val="both"/>
            </w:pPr>
            <w:r>
              <w:rPr>
                <w:rFonts w:ascii="Times New Roman"/>
                <w:b w:val="false"/>
                <w:i w:val="false"/>
                <w:color w:val="000000"/>
                <w:sz w:val="20"/>
              </w:rPr>
              <w:t xml:space="preserve">
   6) определять персональные и коллективные обязанности, ответственность и полномочия, а также взаимосвязи всех структурных подразделений, имеющих отношение к фармацевтической системе качества. Гарантировать, что эти взаимосвязи установлены и поняты на всех уровнях организации. Требуется наличие независимого отдела/подразделения, ответственного за качество, имеющего полномочия на осуществление определенных обязанностей, связанных с фармацевтической системой качества; </w:t>
            </w:r>
          </w:p>
          <w:p>
            <w:pPr>
              <w:spacing w:after="20"/>
              <w:ind w:left="20"/>
              <w:jc w:val="both"/>
            </w:pPr>
            <w:r>
              <w:rPr>
                <w:rFonts w:ascii="Times New Roman"/>
                <w:b w:val="false"/>
                <w:i w:val="false"/>
                <w:color w:val="000000"/>
                <w:sz w:val="20"/>
              </w:rPr>
              <w:t>
   7) проводить проверки в отношении эффективности процесса и качества продукции, а также фармацевтической системы качества;</w:t>
            </w:r>
          </w:p>
          <w:p>
            <w:pPr>
              <w:spacing w:after="20"/>
              <w:ind w:left="20"/>
              <w:jc w:val="both"/>
            </w:pPr>
            <w:r>
              <w:rPr>
                <w:rFonts w:ascii="Times New Roman"/>
                <w:b w:val="false"/>
                <w:i w:val="false"/>
                <w:color w:val="000000"/>
                <w:sz w:val="20"/>
              </w:rPr>
              <w:t>
   8) поддерживать постоянное улучшение;</w:t>
            </w:r>
          </w:p>
          <w:p>
            <w:pPr>
              <w:spacing w:after="20"/>
              <w:ind w:left="20"/>
              <w:jc w:val="both"/>
            </w:pPr>
            <w:r>
              <w:rPr>
                <w:rFonts w:ascii="Times New Roman"/>
                <w:b w:val="false"/>
                <w:i w:val="false"/>
                <w:color w:val="000000"/>
                <w:sz w:val="20"/>
              </w:rPr>
              <w:t>
   9) выделять соответствующие ресурсы.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Политика в области качества</w:t>
            </w:r>
          </w:p>
          <w:p>
            <w:pPr>
              <w:spacing w:after="20"/>
              <w:ind w:left="20"/>
              <w:jc w:val="both"/>
            </w:pPr>
            <w:r>
              <w:rPr>
                <w:rFonts w:ascii="Times New Roman"/>
                <w:b w:val="false"/>
                <w:i w:val="false"/>
                <w:color w:val="000000"/>
                <w:sz w:val="20"/>
              </w:rPr>
              <w:t>
   1) высшее руководство устанавливает политику в области качества, которая описывает общие цели и направления деятельности предприятия в отношении качества;</w:t>
            </w:r>
          </w:p>
          <w:p>
            <w:pPr>
              <w:spacing w:after="20"/>
              <w:ind w:left="20"/>
              <w:jc w:val="both"/>
            </w:pPr>
            <w:r>
              <w:rPr>
                <w:rFonts w:ascii="Times New Roman"/>
                <w:b w:val="false"/>
                <w:i w:val="false"/>
                <w:color w:val="000000"/>
                <w:sz w:val="20"/>
              </w:rPr>
              <w:t>
   2) политика в области качества включает цели выполнения установленных нормативных требований, а также способствует постоянному улучшению фармацевтической системы качества;</w:t>
            </w:r>
          </w:p>
          <w:p>
            <w:pPr>
              <w:spacing w:after="20"/>
              <w:ind w:left="20"/>
              <w:jc w:val="both"/>
            </w:pPr>
            <w:r>
              <w:rPr>
                <w:rFonts w:ascii="Times New Roman"/>
                <w:b w:val="false"/>
                <w:i w:val="false"/>
                <w:color w:val="000000"/>
                <w:sz w:val="20"/>
              </w:rPr>
              <w:t>
   3) политика в области качества доводится до сведения и понимается персоналом на всех уровнях предприятия;</w:t>
            </w:r>
          </w:p>
          <w:p>
            <w:pPr>
              <w:spacing w:after="20"/>
              <w:ind w:left="20"/>
              <w:jc w:val="both"/>
            </w:pPr>
            <w:r>
              <w:rPr>
                <w:rFonts w:ascii="Times New Roman"/>
                <w:b w:val="false"/>
                <w:i w:val="false"/>
                <w:color w:val="000000"/>
                <w:sz w:val="20"/>
              </w:rPr>
              <w:t>
   4) для обеспечения постоянной эффективности политика в области качества периодически пересматривается.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Планирование качества</w:t>
            </w:r>
          </w:p>
          <w:p>
            <w:pPr>
              <w:spacing w:after="20"/>
              <w:ind w:left="20"/>
              <w:jc w:val="both"/>
            </w:pPr>
            <w:r>
              <w:rPr>
                <w:rFonts w:ascii="Times New Roman"/>
                <w:b w:val="false"/>
                <w:i w:val="false"/>
                <w:color w:val="000000"/>
                <w:sz w:val="20"/>
              </w:rPr>
              <w:t>
   1) высшее руководство обеспечивает определение и доведение до сведения целей качества, необходимых для внедрения политики в области качества;</w:t>
            </w:r>
          </w:p>
          <w:p>
            <w:pPr>
              <w:spacing w:after="20"/>
              <w:ind w:left="20"/>
              <w:jc w:val="both"/>
            </w:pPr>
            <w:r>
              <w:rPr>
                <w:rFonts w:ascii="Times New Roman"/>
                <w:b w:val="false"/>
                <w:i w:val="false"/>
                <w:color w:val="000000"/>
                <w:sz w:val="20"/>
              </w:rPr>
              <w:t>
   2) цели качества поддерживаются на всех соответствующих уровнях предприятия;</w:t>
            </w:r>
          </w:p>
          <w:p>
            <w:pPr>
              <w:spacing w:after="20"/>
              <w:ind w:left="20"/>
              <w:jc w:val="both"/>
            </w:pPr>
            <w:r>
              <w:rPr>
                <w:rFonts w:ascii="Times New Roman"/>
                <w:b w:val="false"/>
                <w:i w:val="false"/>
                <w:color w:val="000000"/>
                <w:sz w:val="20"/>
              </w:rPr>
              <w:t>
   3) цели качества соответствуют стратегическим планам предприятия и согласовываются с политикой в области качества;</w:t>
            </w:r>
          </w:p>
          <w:p>
            <w:pPr>
              <w:spacing w:after="20"/>
              <w:ind w:left="20"/>
              <w:jc w:val="both"/>
            </w:pPr>
            <w:r>
              <w:rPr>
                <w:rFonts w:ascii="Times New Roman"/>
                <w:b w:val="false"/>
                <w:i w:val="false"/>
                <w:color w:val="000000"/>
                <w:sz w:val="20"/>
              </w:rPr>
              <w:t>
   4) руководство предоставляет соответствующие ресурсы и обучение для достижения целей качества;</w:t>
            </w:r>
          </w:p>
          <w:p>
            <w:pPr>
              <w:spacing w:after="20"/>
              <w:ind w:left="20"/>
              <w:jc w:val="both"/>
            </w:pPr>
            <w:r>
              <w:rPr>
                <w:rFonts w:ascii="Times New Roman"/>
                <w:b w:val="false"/>
                <w:i w:val="false"/>
                <w:color w:val="000000"/>
                <w:sz w:val="20"/>
              </w:rPr>
              <w:t>
   5) следует устанавливать, контролировать, постоянно доводить до сведения и выполнять показатели эффективности, которые служат мерой достижения целей качества, как описано в разделе 4.1 настоящего документа.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Управление ресурсами</w:t>
            </w:r>
          </w:p>
          <w:p>
            <w:pPr>
              <w:spacing w:after="20"/>
              <w:ind w:left="20"/>
              <w:jc w:val="both"/>
            </w:pPr>
            <w:r>
              <w:rPr>
                <w:rFonts w:ascii="Times New Roman"/>
                <w:b w:val="false"/>
                <w:i w:val="false"/>
                <w:color w:val="000000"/>
                <w:sz w:val="20"/>
              </w:rPr>
              <w:t>
   1) руководство определяет и предоставляет соответствующие и достаточные ресурсы: человеческие, финансовые, материальные, помещения и оборудование для внедрения и поддержания фармацевтической системы качества и постоянного улучшения ее эффективности;</w:t>
            </w:r>
          </w:p>
          <w:p>
            <w:pPr>
              <w:spacing w:after="20"/>
              <w:ind w:left="20"/>
              <w:jc w:val="both"/>
            </w:pPr>
            <w:r>
              <w:rPr>
                <w:rFonts w:ascii="Times New Roman"/>
                <w:b w:val="false"/>
                <w:i w:val="false"/>
                <w:color w:val="000000"/>
                <w:sz w:val="20"/>
              </w:rPr>
              <w:t>
   2) руководство обеспечивает надлежащее использование ресурсов, соответствующих продукции, процессу или производственной площадке.</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Внутренний обмен информацией</w:t>
            </w:r>
          </w:p>
          <w:p>
            <w:pPr>
              <w:spacing w:after="20"/>
              <w:ind w:left="20"/>
              <w:jc w:val="both"/>
            </w:pPr>
            <w:r>
              <w:rPr>
                <w:rFonts w:ascii="Times New Roman"/>
                <w:b w:val="false"/>
                <w:i w:val="false"/>
                <w:color w:val="000000"/>
                <w:sz w:val="20"/>
              </w:rPr>
              <w:t xml:space="preserve">
   1) руководство обеспечивает установление и внедрение внутри предприятия механизмов соответствующего обмена информацией; </w:t>
            </w:r>
          </w:p>
          <w:p>
            <w:pPr>
              <w:spacing w:after="20"/>
              <w:ind w:left="20"/>
              <w:jc w:val="both"/>
            </w:pPr>
            <w:r>
              <w:rPr>
                <w:rFonts w:ascii="Times New Roman"/>
                <w:b w:val="false"/>
                <w:i w:val="false"/>
                <w:color w:val="000000"/>
                <w:sz w:val="20"/>
              </w:rPr>
              <w:t>
   2) процессы обмена информацией обеспечивают передачу потока соответствующей информации между всеми уровнями компании;</w:t>
            </w:r>
          </w:p>
          <w:p>
            <w:pPr>
              <w:spacing w:after="20"/>
              <w:ind w:left="20"/>
              <w:jc w:val="both"/>
            </w:pPr>
            <w:r>
              <w:rPr>
                <w:rFonts w:ascii="Times New Roman"/>
                <w:b w:val="false"/>
                <w:i w:val="false"/>
                <w:color w:val="000000"/>
                <w:sz w:val="20"/>
              </w:rPr>
              <w:t>
   3) процессы обмена информацией обеспечивают соответствующую и своевременную передачу информации об определенных проблемах с качеством продукции и с фармацевтической системой качества.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Проверка со стороны руководства</w:t>
            </w:r>
          </w:p>
          <w:p>
            <w:pPr>
              <w:spacing w:after="20"/>
              <w:ind w:left="20"/>
              <w:jc w:val="both"/>
            </w:pPr>
            <w:r>
              <w:rPr>
                <w:rFonts w:ascii="Times New Roman"/>
                <w:b w:val="false"/>
                <w:i w:val="false"/>
                <w:color w:val="000000"/>
                <w:sz w:val="20"/>
              </w:rPr>
              <w:t xml:space="preserve">
   1) высшее руководство посредством проведения проверок со своей стороны несет ответственность за управление фармацевтической системой качества для обеспечения ее эффективности и постоянного соответствия требованиям; </w:t>
            </w:r>
          </w:p>
          <w:p>
            <w:pPr>
              <w:spacing w:after="20"/>
              <w:ind w:left="20"/>
              <w:jc w:val="both"/>
            </w:pPr>
            <w:r>
              <w:rPr>
                <w:rFonts w:ascii="Times New Roman"/>
                <w:b w:val="false"/>
                <w:i w:val="false"/>
                <w:color w:val="000000"/>
                <w:sz w:val="20"/>
              </w:rPr>
              <w:t>
   2) руководство оценивает результаты периодических проверок эффективности процесса и качества продукции, а также фармацевтической системы качества, как описано в разделах 3 и 4 настоящего документа.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Управление работами по контракту и закупаемыми материалами</w:t>
            </w:r>
          </w:p>
          <w:p>
            <w:pPr>
              <w:spacing w:after="20"/>
              <w:ind w:left="20"/>
              <w:jc w:val="both"/>
            </w:pPr>
            <w:r>
              <w:rPr>
                <w:rFonts w:ascii="Times New Roman"/>
                <w:b w:val="false"/>
                <w:i w:val="false"/>
                <w:color w:val="000000"/>
                <w:sz w:val="20"/>
              </w:rPr>
              <w:t xml:space="preserve">
   Фармацевтическая система качества, включая описанную в этом разделе ответственность руководства, распространяется на контроль и проверку каких-либо работ по контракту и качество закупаемого исходного сырья и материалов. Производитель лекарственных средств несет ответственность за гарантию того, что процессы для обеспечения контроля работ по контракту и контроля качества закупаемых исходного сырья и материалов осуществляются. Эти процессы объединяются с управлением рисками для качества и включают: </w:t>
            </w:r>
          </w:p>
          <w:p>
            <w:pPr>
              <w:spacing w:after="20"/>
              <w:ind w:left="20"/>
              <w:jc w:val="both"/>
            </w:pPr>
            <w:r>
              <w:rPr>
                <w:rFonts w:ascii="Times New Roman"/>
                <w:b w:val="false"/>
                <w:i w:val="false"/>
                <w:color w:val="000000"/>
                <w:sz w:val="20"/>
              </w:rPr>
              <w:t xml:space="preserve">
   1) проведение оценки, например, путем проведения аудитов, контроля исходного сырья и материалов, проведения квалификации исполнителей работ по контракту и поставщиков сырья. Такая оценка проводится до проведения работ по контракту или до выбора поставщиков исходного сырья и материалов на предмет их пригодности и соответствия требованиям для выполнения таких работ или поставки исходного сырья и материалов с использованием установленной цепи поставок; </w:t>
            </w:r>
          </w:p>
          <w:p>
            <w:pPr>
              <w:spacing w:after="20"/>
              <w:ind w:left="20"/>
              <w:jc w:val="both"/>
            </w:pPr>
            <w:r>
              <w:rPr>
                <w:rFonts w:ascii="Times New Roman"/>
                <w:b w:val="false"/>
                <w:i w:val="false"/>
                <w:color w:val="000000"/>
                <w:sz w:val="20"/>
              </w:rPr>
              <w:t xml:space="preserve">
   2) определение сфер ответственности и процессов передачи информации в отношении работ, связанных с качеством, в которые вовлечены заинтересованные стороны. В отношении работ по контракту это включается в письменное соглашение между заказчиком и исполнителем; </w:t>
            </w:r>
          </w:p>
          <w:p>
            <w:pPr>
              <w:spacing w:after="20"/>
              <w:ind w:left="20"/>
              <w:jc w:val="both"/>
            </w:pPr>
            <w:r>
              <w:rPr>
                <w:rFonts w:ascii="Times New Roman"/>
                <w:b w:val="false"/>
                <w:i w:val="false"/>
                <w:color w:val="000000"/>
                <w:sz w:val="20"/>
              </w:rPr>
              <w:t xml:space="preserve">
   3) мониторинг и проверка деятельности исполнителя или качества исходного сырья и материалов от поставщика, а также определение и внедрение любых необходимых улучшений; </w:t>
            </w:r>
          </w:p>
          <w:p>
            <w:pPr>
              <w:spacing w:after="20"/>
              <w:ind w:left="20"/>
              <w:jc w:val="both"/>
            </w:pPr>
            <w:r>
              <w:rPr>
                <w:rFonts w:ascii="Times New Roman"/>
                <w:b w:val="false"/>
                <w:i w:val="false"/>
                <w:color w:val="000000"/>
                <w:sz w:val="20"/>
              </w:rPr>
              <w:t xml:space="preserve">
   4) мониторинг исходного сырья и материалов для гарантии того, что они получены из утвержденных источников с использованием согласованной цепи поставок.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Управление изменениями в праве собственности на продукцию</w:t>
            </w:r>
          </w:p>
          <w:p>
            <w:pPr>
              <w:spacing w:after="20"/>
              <w:ind w:left="20"/>
              <w:jc w:val="both"/>
            </w:pPr>
            <w:r>
              <w:rPr>
                <w:rFonts w:ascii="Times New Roman"/>
                <w:b w:val="false"/>
                <w:i w:val="false"/>
                <w:color w:val="000000"/>
                <w:sz w:val="20"/>
              </w:rPr>
              <w:t xml:space="preserve">
   Когда происходит изменение в праве собственности на продукцию, например, в результате покупки, руководство принимает во внимание сложность этого процесса и гарантирует, что: </w:t>
            </w:r>
          </w:p>
          <w:p>
            <w:pPr>
              <w:spacing w:after="20"/>
              <w:ind w:left="20"/>
              <w:jc w:val="both"/>
            </w:pPr>
            <w:r>
              <w:rPr>
                <w:rFonts w:ascii="Times New Roman"/>
                <w:b w:val="false"/>
                <w:i w:val="false"/>
                <w:color w:val="000000"/>
                <w:sz w:val="20"/>
              </w:rPr>
              <w:t>
   1) для каждой задействованной в процессе стороны определена текущая ответственность;</w:t>
            </w:r>
          </w:p>
          <w:p>
            <w:pPr>
              <w:spacing w:after="20"/>
              <w:ind w:left="20"/>
              <w:jc w:val="both"/>
            </w:pPr>
            <w:r>
              <w:rPr>
                <w:rFonts w:ascii="Times New Roman"/>
                <w:b w:val="false"/>
                <w:i w:val="false"/>
                <w:color w:val="000000"/>
                <w:sz w:val="20"/>
              </w:rPr>
              <w:t>
   2) передана вся необходимая информация.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Постоянное улучшение эффективности процесса и качества продукции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этом разделе описаны цели на различных этапах жизненного цикла продукции, а также четыре характерных элемента фармацевтической системы качества, которые расширяют требования настоящего Стандарта для достижения целей данного документа, определенных в разделе 1.5. Этот раздел не изменяет требования настоящего Стандарта.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Цели на этапах жизненного цикла продукции</w:t>
            </w:r>
          </w:p>
          <w:p>
            <w:pPr>
              <w:spacing w:after="20"/>
              <w:ind w:left="20"/>
              <w:jc w:val="both"/>
            </w:pPr>
            <w:r>
              <w:rPr>
                <w:rFonts w:ascii="Times New Roman"/>
                <w:b w:val="false"/>
                <w:i w:val="false"/>
                <w:color w:val="000000"/>
                <w:sz w:val="20"/>
              </w:rPr>
              <w:t xml:space="preserve">
   Ниже описаны цели каждого этапа жизненного цикла продукции.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Фармацевтическая разработка</w:t>
            </w:r>
          </w:p>
          <w:p>
            <w:pPr>
              <w:spacing w:after="20"/>
              <w:ind w:left="20"/>
              <w:jc w:val="both"/>
            </w:pPr>
            <w:r>
              <w:rPr>
                <w:rFonts w:ascii="Times New Roman"/>
                <w:b w:val="false"/>
                <w:i w:val="false"/>
                <w:color w:val="000000"/>
                <w:sz w:val="20"/>
              </w:rPr>
              <w:t>
   Целью деятельности по фармацевтической разработке является разработка продукции и процесса ее производства для постоянного обеспечения ожидаемых характеристик и удовлетворения потребностей пациентов, медицинских работников, требований уполномоченных органов и внутренних потребителей. Подходы к фармацевтической разработке описаны в соответствующих нормативных правовых актах. Результаты исследовательских работ и клинических исследований, которые не входят в сферу применения настоящего документа, являются исходными данными для фармацевтической разработки.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Перенос технологии</w:t>
            </w:r>
          </w:p>
          <w:p>
            <w:pPr>
              <w:spacing w:after="20"/>
              <w:ind w:left="20"/>
              <w:jc w:val="both"/>
            </w:pPr>
            <w:r>
              <w:rPr>
                <w:rFonts w:ascii="Times New Roman"/>
                <w:b w:val="false"/>
                <w:i w:val="false"/>
                <w:color w:val="000000"/>
                <w:sz w:val="20"/>
              </w:rPr>
              <w:t>
   Цель деятельности, связанной с переносом технологии – это передача знаний о продукции и процессе от разработчиков к производителям, а также внутри или между производственными площадками для производства продукции, соответствующей своему предназначению. Эти знания составляют основу процесса производства, стратегии контроля, подхода к процессу валидации и непрерывного улучшения.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Промышленное производство</w:t>
            </w:r>
          </w:p>
          <w:p>
            <w:pPr>
              <w:spacing w:after="20"/>
              <w:ind w:left="20"/>
              <w:jc w:val="both"/>
            </w:pPr>
            <w:r>
              <w:rPr>
                <w:rFonts w:ascii="Times New Roman"/>
                <w:b w:val="false"/>
                <w:i w:val="false"/>
                <w:color w:val="000000"/>
                <w:sz w:val="20"/>
              </w:rPr>
              <w:t>
   Цели промышленного производства включают производство продукции, соответствующей своему предназначению, установление и поддержание контролируемого состояния и способствование постоянному улучшению. Фармацевтическая система качества обеспечивает постоянное поддержание желаемого качества продукции, достижение необходимой эффективности процесса, соответствие различных средств контроля, определение и оценку возможностей улучшения, а также постоянное увеличение объема знаний.</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Прекращение производства продукции</w:t>
            </w:r>
          </w:p>
          <w:p>
            <w:pPr>
              <w:spacing w:after="20"/>
              <w:ind w:left="20"/>
              <w:jc w:val="both"/>
            </w:pPr>
            <w:r>
              <w:rPr>
                <w:rFonts w:ascii="Times New Roman"/>
                <w:b w:val="false"/>
                <w:i w:val="false"/>
                <w:color w:val="000000"/>
                <w:sz w:val="20"/>
              </w:rPr>
              <w:t xml:space="preserve">
   Цель мероприятий по прекращению производства продукции – эффективное управление конечным этапом жизненного цикла продукции. Для управления мероприятиями по прекращению производства продукции используются предварительно установленные подходы: хранение документации и образцов, постоянная оценка продукции, например, работа с претензиями и испытания стабильности; составление отчетов в соответствии с установленными требованиями.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Элементы фармацевтической системы качества</w:t>
            </w:r>
          </w:p>
          <w:p>
            <w:pPr>
              <w:spacing w:after="20"/>
              <w:ind w:left="20"/>
              <w:jc w:val="both"/>
            </w:pPr>
            <w:r>
              <w:rPr>
                <w:rFonts w:ascii="Times New Roman"/>
                <w:b w:val="false"/>
                <w:i w:val="false"/>
                <w:color w:val="000000"/>
                <w:sz w:val="20"/>
              </w:rPr>
              <w:t>
   Элементы, описанные ниже, частично входят в другие разделы и приложения настоящего Стандарта. Такая модель предназначена для усовершенствования этих элементов с целью содействия применению подхода к качеству, основанного на жизненном цикле продукции. Это следующие четыре элемента:</w:t>
            </w:r>
          </w:p>
          <w:p>
            <w:pPr>
              <w:spacing w:after="20"/>
              <w:ind w:left="20"/>
              <w:jc w:val="both"/>
            </w:pPr>
            <w:r>
              <w:rPr>
                <w:rFonts w:ascii="Times New Roman"/>
                <w:b w:val="false"/>
                <w:i w:val="false"/>
                <w:color w:val="000000"/>
                <w:sz w:val="20"/>
              </w:rPr>
              <w:t>
   система мониторинга эффективности процесса и качества продукции;</w:t>
            </w:r>
          </w:p>
          <w:p>
            <w:pPr>
              <w:spacing w:after="20"/>
              <w:ind w:left="20"/>
              <w:jc w:val="both"/>
            </w:pPr>
            <w:r>
              <w:rPr>
                <w:rFonts w:ascii="Times New Roman"/>
                <w:b w:val="false"/>
                <w:i w:val="false"/>
                <w:color w:val="000000"/>
                <w:sz w:val="20"/>
              </w:rPr>
              <w:t>
   система корректирующих и предупреждающих действий (далее - КАПА);</w:t>
            </w:r>
          </w:p>
          <w:p>
            <w:pPr>
              <w:spacing w:after="20"/>
              <w:ind w:left="20"/>
              <w:jc w:val="both"/>
            </w:pPr>
            <w:r>
              <w:rPr>
                <w:rFonts w:ascii="Times New Roman"/>
                <w:b w:val="false"/>
                <w:i w:val="false"/>
                <w:color w:val="000000"/>
                <w:sz w:val="20"/>
              </w:rPr>
              <w:t>
   система управления изменениями;</w:t>
            </w:r>
          </w:p>
          <w:p>
            <w:pPr>
              <w:spacing w:after="20"/>
              <w:ind w:left="20"/>
              <w:jc w:val="both"/>
            </w:pPr>
            <w:r>
              <w:rPr>
                <w:rFonts w:ascii="Times New Roman"/>
                <w:b w:val="false"/>
                <w:i w:val="false"/>
                <w:color w:val="000000"/>
                <w:sz w:val="20"/>
              </w:rPr>
              <w:t>
   проверка со стороны руководства эффективности процесса и качества продукции.</w:t>
            </w:r>
          </w:p>
          <w:p>
            <w:pPr>
              <w:spacing w:after="20"/>
              <w:ind w:left="20"/>
              <w:jc w:val="both"/>
            </w:pPr>
            <w:r>
              <w:rPr>
                <w:rFonts w:ascii="Times New Roman"/>
                <w:b w:val="false"/>
                <w:i w:val="false"/>
                <w:color w:val="000000"/>
                <w:sz w:val="20"/>
              </w:rPr>
              <w:t>
   Эти элементы применяются соответственно и пропорционально каждому из этапов жизненного цикла продукции с учетом различий между ними и различной цели каждого этапа. На каждом этапе жизненного цикла продукции предприятия оценивают перспективы для внедрения инновационных подходов по улучшению качества продукции.</w:t>
            </w:r>
          </w:p>
          <w:p>
            <w:pPr>
              <w:spacing w:after="20"/>
              <w:ind w:left="20"/>
              <w:jc w:val="both"/>
            </w:pPr>
            <w:r>
              <w:rPr>
                <w:rFonts w:ascii="Times New Roman"/>
                <w:b w:val="false"/>
                <w:i w:val="false"/>
                <w:color w:val="000000"/>
                <w:sz w:val="20"/>
              </w:rPr>
              <w:t>
   Описание каждого элемента завершается таблицей с примерами применения каждого элемента к конкретному этапу жизненного цикла продукции.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мониторинга эффективности процесса и качества продукции</w:t>
            </w:r>
          </w:p>
          <w:p>
            <w:pPr>
              <w:spacing w:after="20"/>
              <w:ind w:left="20"/>
              <w:jc w:val="both"/>
            </w:pPr>
            <w:r>
              <w:rPr>
                <w:rFonts w:ascii="Times New Roman"/>
                <w:b w:val="false"/>
                <w:i w:val="false"/>
                <w:color w:val="000000"/>
                <w:sz w:val="20"/>
              </w:rPr>
              <w:t xml:space="preserve">
   Производители лекарственных средств планируют и осуществляют систему мониторинга эффективности процесса и качества продукции, а также обеспечивают поддержание контролируемого состояния. Эффективность системы мониторинга предусматривает обеспечение постоянной производительности процессов и средств контроля для производства продукции желаемого качества и выявления сфер для постоянного улучшения. </w:t>
            </w:r>
          </w:p>
          <w:p>
            <w:pPr>
              <w:spacing w:after="20"/>
              <w:ind w:left="20"/>
              <w:jc w:val="both"/>
            </w:pPr>
            <w:r>
              <w:rPr>
                <w:rFonts w:ascii="Times New Roman"/>
                <w:b w:val="false"/>
                <w:i w:val="false"/>
                <w:color w:val="000000"/>
                <w:sz w:val="20"/>
              </w:rPr>
              <w:t>
   Система мониторинга эффективности процесса и качества продукции:</w:t>
            </w:r>
          </w:p>
          <w:p>
            <w:pPr>
              <w:spacing w:after="20"/>
              <w:ind w:left="20"/>
              <w:jc w:val="both"/>
            </w:pPr>
            <w:r>
              <w:rPr>
                <w:rFonts w:ascii="Times New Roman"/>
                <w:b w:val="false"/>
                <w:i w:val="false"/>
                <w:color w:val="000000"/>
                <w:sz w:val="20"/>
              </w:rPr>
              <w:t>
   1) использует управление рисками для качества для установления стратегии контроля. Такая стратегия включает параметры и характеристики, относящиеся к активным фармацевтическим субстанциям, исходному сырью и компонентам лекарственных препаратов, условиям эксплуатации помещений и оборудования, контролю в процессе производства, спецификациям на готовую продукцию, а также связанные методы и частоту проведения мониторинга и контроля. Стратегия контроля способствует своевременной обратной/прямой связи и соответствующим корректирующим и предупреждающим действиям;</w:t>
            </w:r>
          </w:p>
          <w:p>
            <w:pPr>
              <w:spacing w:after="20"/>
              <w:ind w:left="20"/>
              <w:jc w:val="both"/>
            </w:pPr>
            <w:r>
              <w:rPr>
                <w:rFonts w:ascii="Times New Roman"/>
                <w:b w:val="false"/>
                <w:i w:val="false"/>
                <w:color w:val="000000"/>
                <w:sz w:val="20"/>
              </w:rPr>
              <w:t xml:space="preserve">
   2) обеспечивает инструменты для измерения и анализа параметров и свойств, определенных в стратегии контроля, например, управление данными и статистические инструменты; </w:t>
            </w:r>
          </w:p>
          <w:p>
            <w:pPr>
              <w:spacing w:after="20"/>
              <w:ind w:left="20"/>
              <w:jc w:val="both"/>
            </w:pPr>
            <w:r>
              <w:rPr>
                <w:rFonts w:ascii="Times New Roman"/>
                <w:b w:val="false"/>
                <w:i w:val="false"/>
                <w:color w:val="000000"/>
                <w:sz w:val="20"/>
              </w:rPr>
              <w:t>
   3) анализирует параметры и характеристики, определенные в стратегии контроля, для подтверждения постоянной работы в контролируемом состоянии;</w:t>
            </w:r>
          </w:p>
          <w:p>
            <w:pPr>
              <w:spacing w:after="20"/>
              <w:ind w:left="20"/>
              <w:jc w:val="both"/>
            </w:pPr>
            <w:r>
              <w:rPr>
                <w:rFonts w:ascii="Times New Roman"/>
                <w:b w:val="false"/>
                <w:i w:val="false"/>
                <w:color w:val="000000"/>
                <w:sz w:val="20"/>
              </w:rPr>
              <w:t>
   4) определяет источники отклонений, которые влияют на эффективность процесса и качество продукции, с целью возможного постоянного улучшения, направленного на снижение или контроль изменчивости;</w:t>
            </w:r>
          </w:p>
          <w:p>
            <w:pPr>
              <w:spacing w:after="20"/>
              <w:ind w:left="20"/>
              <w:jc w:val="both"/>
            </w:pPr>
            <w:r>
              <w:rPr>
                <w:rFonts w:ascii="Times New Roman"/>
                <w:b w:val="false"/>
                <w:i w:val="false"/>
                <w:color w:val="000000"/>
                <w:sz w:val="20"/>
              </w:rPr>
              <w:t>
   5) содержит информацию о качестве продукции, поступившую в виде обратной связи как от внутренних, так и от внешних источников, например, претензии, отказы от продукции, несоответствия, отзывы продукции, отклонения, аудиторские проверки и инспекции уполномоченных органов и их заключения;</w:t>
            </w:r>
          </w:p>
          <w:p>
            <w:pPr>
              <w:spacing w:after="20"/>
              <w:ind w:left="20"/>
              <w:jc w:val="both"/>
            </w:pPr>
            <w:r>
              <w:rPr>
                <w:rFonts w:ascii="Times New Roman"/>
                <w:b w:val="false"/>
                <w:i w:val="false"/>
                <w:color w:val="000000"/>
                <w:sz w:val="20"/>
              </w:rPr>
              <w:t>
   6) обеспечивает знаниями для улучшения понимания процесса, расширяет пространство проектных параметров и дает возможность применения инновационных подходов к валидации процесса.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7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Таблица I. Применение системы мониторинга эффективности процесса и качества продукции на протяжении жизненного цикла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3545"/>
              <w:gridCol w:w="2520"/>
              <w:gridCol w:w="3408"/>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Фармацевтическая разработка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Перенос технологии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Промышленное производство</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Прекращение производства продукции</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знания о процессе и продукции и результаты их мониторинга, полученные в процессе разработки лекарственного препарата, используют для установления стратегии контроля на этапе производства.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при проведении работ по масштабированию обеспечивает предварительную оценку эффективности процесса и успешное внедрение в производство. Знания, полученные во время переноса технологий и масштабирования, полезны для дальнейшей разработки стратегии контроля.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определенная система мониторинга эффективности процесса и качества продукции применяется для обеспечения эффективности в контролируемом состоянии и для выявления сфер, требующих улучшения.</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прекращении производства мониторинг (такой как испытания стабильности) продолжается до завершения всех испытаний. В соответствии с установленными требованиями, испытания продолжаются на лекарственных препаратах, находящихся в обороте.</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корректирующих и предупреждающих действий</w:t>
            </w:r>
          </w:p>
          <w:p>
            <w:pPr>
              <w:spacing w:after="20"/>
              <w:ind w:left="20"/>
              <w:jc w:val="both"/>
            </w:pPr>
            <w:r>
              <w:rPr>
                <w:rFonts w:ascii="Times New Roman"/>
                <w:b w:val="false"/>
                <w:i w:val="false"/>
                <w:color w:val="000000"/>
                <w:sz w:val="20"/>
              </w:rPr>
              <w:t>
   Производитель лекарственных средств имеет систему по осуществлению корректирующих и предупреждающих действий, которые являются результатом расследования претензий, отказов от продукции, несоответствий, отзывов, отклонений, аудиторских заключений и инспекций уполномоченных органов, а также тенденций, выявленных при проведении мониторинга эффективности процесса и качества продукции. С целью выявления основной причины в процессе расследования используется структурированный подход. Уровень усилий, формализации и документального оформления расследования соразмерен уровню рисков согласно документу "Управление рисками для качества" части III настоящего Стандарта. Результатом методологии корректирующих и предупреждающих действий является улучшение продукции и процесса, а также улучшение понимания продукции и процесса.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Таблица II. Применение системы корректирующих и предупреждающих действий на протяжении жизненного цикла продукции</w:t>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2273"/>
              <w:gridCol w:w="1690"/>
              <w:gridCol w:w="4752"/>
            </w:tblGrid>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Фармацевтическая разработка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Перенос технологии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Промышленное Производство</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Прекращение производства продукции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Исследуют изменчивость продукции или процесса. Методология КАПА является полезной, когда корректирующие и предупреждающие действия внедрены в итеративную схему и процесс разработки.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 используется в качестве эффективной системы обратной связи, прямой связи и постоянного улучшения.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Следует использовать систему КАПА, при этом оценивается эффективность предпринятых действий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КАПА продолжает применяться после прекращения производства продукции. Учитывается влияние на продукцию, которая остается в обороте, а также на другую продукцию, на которую могло быть оказано влияние.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управления изменениями</w:t>
            </w:r>
          </w:p>
          <w:p>
            <w:pPr>
              <w:spacing w:after="20"/>
              <w:ind w:left="20"/>
              <w:jc w:val="both"/>
            </w:pPr>
            <w:r>
              <w:rPr>
                <w:rFonts w:ascii="Times New Roman"/>
                <w:b w:val="false"/>
                <w:i w:val="false"/>
                <w:color w:val="000000"/>
                <w:sz w:val="20"/>
              </w:rPr>
              <w:t>
   Инновации, постоянное улучшение, результаты мониторинга эффективности процесса и качества продукции и система КАПА приводят к изменениям. Для правильной оценки, утверждения и внедрения этих изменений предприятие имеет эффективную систему управления изменениями.</w:t>
            </w:r>
          </w:p>
          <w:p>
            <w:pPr>
              <w:spacing w:after="20"/>
              <w:ind w:left="20"/>
              <w:jc w:val="both"/>
            </w:pPr>
            <w:r>
              <w:rPr>
                <w:rFonts w:ascii="Times New Roman"/>
                <w:b w:val="false"/>
                <w:i w:val="false"/>
                <w:color w:val="000000"/>
                <w:sz w:val="20"/>
              </w:rPr>
              <w:t>
   В общем случае имеется разница в соблюдении формальной стороны процессов управления изменениями до первоначальной подачи документов в уполномоченный орган и после подачи, если изменения к поданным документам могут требоваться в соответствии с установленными нормами.</w:t>
            </w:r>
          </w:p>
          <w:p>
            <w:pPr>
              <w:spacing w:after="20"/>
              <w:ind w:left="20"/>
              <w:jc w:val="both"/>
            </w:pPr>
            <w:r>
              <w:rPr>
                <w:rFonts w:ascii="Times New Roman"/>
                <w:b w:val="false"/>
                <w:i w:val="false"/>
                <w:color w:val="000000"/>
                <w:sz w:val="20"/>
              </w:rPr>
              <w:t>
   Система управления изменениями обеспечивает осуществление постоянного, своевременного и эффективного улучшения. Она обеспечивает высокую степень уверенности в том, что изменение не приведет к непредсказуемым последствиям.</w:t>
            </w:r>
          </w:p>
          <w:p>
            <w:pPr>
              <w:spacing w:after="20"/>
              <w:ind w:left="20"/>
              <w:jc w:val="both"/>
            </w:pPr>
            <w:r>
              <w:rPr>
                <w:rFonts w:ascii="Times New Roman"/>
                <w:b w:val="false"/>
                <w:i w:val="false"/>
                <w:color w:val="000000"/>
                <w:sz w:val="20"/>
              </w:rPr>
              <w:t>
   Система управления изменениями в зависимости от этапов жизненного цикла продукции включает следующее:</w:t>
            </w:r>
          </w:p>
          <w:p>
            <w:pPr>
              <w:spacing w:after="20"/>
              <w:ind w:left="20"/>
              <w:jc w:val="both"/>
            </w:pPr>
            <w:r>
              <w:rPr>
                <w:rFonts w:ascii="Times New Roman"/>
                <w:b w:val="false"/>
                <w:i w:val="false"/>
                <w:color w:val="000000"/>
                <w:sz w:val="20"/>
              </w:rPr>
              <w:t>
   1) управление рисками для качества, которое используется для оценки предлагаемых изменений. Уровень усилий и соблюдение формальностей при оценке соответствует уровню рисков;</w:t>
            </w:r>
          </w:p>
          <w:p>
            <w:pPr>
              <w:spacing w:after="20"/>
              <w:ind w:left="20"/>
              <w:jc w:val="both"/>
            </w:pPr>
            <w:r>
              <w:rPr>
                <w:rFonts w:ascii="Times New Roman"/>
                <w:b w:val="false"/>
                <w:i w:val="false"/>
                <w:color w:val="000000"/>
                <w:sz w:val="20"/>
              </w:rPr>
              <w:t>
   2) оценку предлагаемых изменений в отношении регистрационного досье, включая пространство проектных параметров, если они установлены и (или) текущее понимание продукции и процессов. Проводится оценка для определения того, требуется ли внесение изменений в регистрационное досье в соответствии с установленными нормами. Работа внутри границ проектных параметров не считается изменением с точки зрения нормативных требований. Однако, с точки зрения фармацевтической системы качества, все изменения оцениваются с помощью системы управления изменениями на предприятии;</w:t>
            </w:r>
          </w:p>
          <w:p>
            <w:pPr>
              <w:spacing w:after="20"/>
              <w:ind w:left="20"/>
              <w:jc w:val="both"/>
            </w:pPr>
            <w:r>
              <w:rPr>
                <w:rFonts w:ascii="Times New Roman"/>
                <w:b w:val="false"/>
                <w:i w:val="false"/>
                <w:color w:val="000000"/>
                <w:sz w:val="20"/>
              </w:rPr>
              <w:t>
   3) предложенные изменения оцениваются группой экспертов, которые имеют необходимый опыт и знания в соответствующей области, например, в сфере фармацевтической разработки, производства, качества, медицины, взаимодействия с уполномоченными органами. Гарантируется, что изменения обоснованы с технической точки зрения. Для предлагаемого изменения следует установить будущие критерии оценки;</w:t>
            </w:r>
          </w:p>
          <w:p>
            <w:pPr>
              <w:spacing w:after="20"/>
              <w:ind w:left="20"/>
              <w:jc w:val="both"/>
            </w:pPr>
            <w:r>
              <w:rPr>
                <w:rFonts w:ascii="Times New Roman"/>
                <w:b w:val="false"/>
                <w:i w:val="false"/>
                <w:color w:val="000000"/>
                <w:sz w:val="20"/>
              </w:rPr>
              <w:t>
   4) оценку проведенных изменений после их внедрения для подтверждения того, что цель изменений была достигнута и что это не отразилось негативно на качестве продукции.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Таблица III. Применение системы управления изменениями на протяжении жизненного цикла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2638"/>
              <w:gridCol w:w="4545"/>
              <w:gridCol w:w="2003"/>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Фармацевтическая разработка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Перенос технологии</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Промышленное производство</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Прекращение производства продукции</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является неотъемлемой частью процесса разработки и оформляется документально. Степень формальности процесса управления изменениями соответствует стадии фармацевтической разработки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управления изменениями обеспечивает управление и документальное оформление поправок, внесенных в процесс при переносе технологии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промышленном производстве внедряется официальная система управления изменениями. Контроль, осуществляемый отделом качества, обеспечивает соответствующие оценки, основанные на научных знаниях и знаниях по анализу рисков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изменения после прекращения производства продукции проходят через соответствующую систему управления изменениями</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Проверка со стороны руководства эффективности процесса и качества продукции</w:t>
            </w:r>
          </w:p>
          <w:p>
            <w:pPr>
              <w:spacing w:after="20"/>
              <w:ind w:left="20"/>
              <w:jc w:val="both"/>
            </w:pPr>
            <w:r>
              <w:rPr>
                <w:rFonts w:ascii="Times New Roman"/>
                <w:b w:val="false"/>
                <w:i w:val="false"/>
                <w:color w:val="000000"/>
                <w:sz w:val="20"/>
              </w:rPr>
              <w:t>
   Проверка со стороны руководства гарантирует управление эффективностью процесса и качеством продукции на протяжении жизненного цикла продукции. В зависимости от размера и сложности структуры предприятия, проверка со стороны руководства может состоять из серии проверок на различных уровнях управления. Она включает своевременный и эффективный обмен информацией, а также механизмы доведения до сведения высшего руководства информации о соответствующих проблемах, связанных с качеством, для их оценки.</w:t>
            </w:r>
          </w:p>
          <w:p>
            <w:pPr>
              <w:spacing w:after="20"/>
              <w:ind w:left="20"/>
              <w:jc w:val="both"/>
            </w:pPr>
            <w:r>
              <w:rPr>
                <w:rFonts w:ascii="Times New Roman"/>
                <w:b w:val="false"/>
                <w:i w:val="false"/>
                <w:color w:val="000000"/>
                <w:sz w:val="20"/>
              </w:rPr>
              <w:t>
   Система проверок со стороны руководства включает:</w:t>
            </w:r>
          </w:p>
          <w:p>
            <w:pPr>
              <w:spacing w:after="20"/>
              <w:ind w:left="20"/>
              <w:jc w:val="both"/>
            </w:pPr>
            <w:r>
              <w:rPr>
                <w:rFonts w:ascii="Times New Roman"/>
                <w:b w:val="false"/>
                <w:i w:val="false"/>
                <w:color w:val="000000"/>
                <w:sz w:val="20"/>
              </w:rPr>
              <w:t>
   1) результаты инспекций уполномоченных органов и их заключения, аудиторские и другие оценки, обязательства перед уполномоченными органами;</w:t>
            </w:r>
          </w:p>
          <w:p>
            <w:pPr>
              <w:spacing w:after="20"/>
              <w:ind w:left="20"/>
              <w:jc w:val="both"/>
            </w:pPr>
            <w:r>
              <w:rPr>
                <w:rFonts w:ascii="Times New Roman"/>
                <w:b w:val="false"/>
                <w:i w:val="false"/>
                <w:color w:val="000000"/>
                <w:sz w:val="20"/>
              </w:rPr>
              <w:t>
   2) периодические обзоры качества продукции, которые включают:</w:t>
            </w:r>
          </w:p>
          <w:p>
            <w:pPr>
              <w:spacing w:after="20"/>
              <w:ind w:left="20"/>
              <w:jc w:val="both"/>
            </w:pPr>
            <w:r>
              <w:rPr>
                <w:rFonts w:ascii="Times New Roman"/>
                <w:b w:val="false"/>
                <w:i w:val="false"/>
                <w:color w:val="000000"/>
                <w:sz w:val="20"/>
              </w:rPr>
              <w:t>
   оценку степени удовлетворенности потребителей посредством расследования претензий и проведения отзывов продукции;</w:t>
            </w:r>
          </w:p>
          <w:p>
            <w:pPr>
              <w:spacing w:after="20"/>
              <w:ind w:left="20"/>
              <w:jc w:val="both"/>
            </w:pPr>
            <w:r>
              <w:rPr>
                <w:rFonts w:ascii="Times New Roman"/>
                <w:b w:val="false"/>
                <w:i w:val="false"/>
                <w:color w:val="000000"/>
                <w:sz w:val="20"/>
              </w:rPr>
              <w:t>
   заключения по результатам мониторинга эффективности процесса и качества продукции;</w:t>
            </w:r>
          </w:p>
          <w:p>
            <w:pPr>
              <w:spacing w:after="20"/>
              <w:ind w:left="20"/>
              <w:jc w:val="both"/>
            </w:pPr>
            <w:r>
              <w:rPr>
                <w:rFonts w:ascii="Times New Roman"/>
                <w:b w:val="false"/>
                <w:i w:val="false"/>
                <w:color w:val="000000"/>
                <w:sz w:val="20"/>
              </w:rPr>
              <w:t>
   эффективность изменений процесса и продукции, включая те, которые являются результатом корректирующих и предупреждающих действий.</w:t>
            </w:r>
          </w:p>
          <w:p>
            <w:pPr>
              <w:spacing w:after="20"/>
              <w:ind w:left="20"/>
              <w:jc w:val="both"/>
            </w:pPr>
            <w:r>
              <w:rPr>
                <w:rFonts w:ascii="Times New Roman"/>
                <w:b w:val="false"/>
                <w:i w:val="false"/>
                <w:color w:val="000000"/>
                <w:sz w:val="20"/>
              </w:rPr>
              <w:t>
   3) любые последующие мероприятия после проверок со стороны руководства.</w:t>
            </w:r>
          </w:p>
          <w:p>
            <w:pPr>
              <w:spacing w:after="20"/>
              <w:ind w:left="20"/>
              <w:jc w:val="both"/>
            </w:pPr>
            <w:r>
              <w:rPr>
                <w:rFonts w:ascii="Times New Roman"/>
                <w:b w:val="false"/>
                <w:i w:val="false"/>
                <w:color w:val="000000"/>
                <w:sz w:val="20"/>
              </w:rPr>
              <w:t>
   Система проверок со стороны руководства определяет соответствующие мероприятия, такие как:</w:t>
            </w:r>
          </w:p>
          <w:p>
            <w:pPr>
              <w:spacing w:after="20"/>
              <w:ind w:left="20"/>
              <w:jc w:val="both"/>
            </w:pPr>
            <w:r>
              <w:rPr>
                <w:rFonts w:ascii="Times New Roman"/>
                <w:b w:val="false"/>
                <w:i w:val="false"/>
                <w:color w:val="000000"/>
                <w:sz w:val="20"/>
              </w:rPr>
              <w:t>
   1) улучшение процесса производства и продукции;</w:t>
            </w:r>
          </w:p>
          <w:p>
            <w:pPr>
              <w:spacing w:after="20"/>
              <w:ind w:left="20"/>
              <w:jc w:val="both"/>
            </w:pPr>
            <w:r>
              <w:rPr>
                <w:rFonts w:ascii="Times New Roman"/>
                <w:b w:val="false"/>
                <w:i w:val="false"/>
                <w:color w:val="000000"/>
                <w:sz w:val="20"/>
              </w:rPr>
              <w:t>
   2) обеспечение ресурсами, организация обучения и (или) перераспределение ресурсов;</w:t>
            </w:r>
          </w:p>
          <w:p>
            <w:pPr>
              <w:spacing w:after="20"/>
              <w:ind w:left="20"/>
              <w:jc w:val="both"/>
            </w:pPr>
            <w:r>
              <w:rPr>
                <w:rFonts w:ascii="Times New Roman"/>
                <w:b w:val="false"/>
                <w:i w:val="false"/>
                <w:color w:val="000000"/>
                <w:sz w:val="20"/>
              </w:rPr>
              <w:t>
   3) приобретение и распространение знаний.</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Таблица IV. Применение проверок со стороны руководства эффективности процесса и качества продукции на протяжении жизненного цикла продукции</w:t>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4127"/>
              <w:gridCol w:w="3726"/>
              <w:gridCol w:w="232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Фармацевтическая разработка</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Перенос технологии</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Промышленное производство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Прекращение производства продукции</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основанные на проверках со стороны руководства, применяются</w:t>
                  </w:r>
                </w:p>
                <w:p>
                  <w:pPr>
                    <w:spacing w:after="20"/>
                    <w:ind w:left="20"/>
                    <w:jc w:val="both"/>
                  </w:pPr>
                  <w:r>
                    <w:rPr>
                      <w:rFonts w:ascii="Times New Roman"/>
                      <w:b w:val="false"/>
                      <w:i w:val="false"/>
                      <w:color w:val="000000"/>
                      <w:sz w:val="20"/>
                    </w:rPr>
                    <w:t>
для обеспечения соответствия разработки продукции и технологического процесса.</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Подходы, основанные на проверках со стороны руководства, применяются для обеспечения возможности производства разработанной продукции в промышленном масштабе.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со стороны руководства является структурированной системой, как это изложено выше, и содействует постоянному улучшению.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со стороны руководства </w:t>
                  </w:r>
                </w:p>
                <w:p>
                  <w:pPr>
                    <w:spacing w:after="20"/>
                    <w:ind w:left="20"/>
                    <w:jc w:val="both"/>
                  </w:pPr>
                  <w:r>
                    <w:rPr>
                      <w:rFonts w:ascii="Times New Roman"/>
                      <w:b w:val="false"/>
                      <w:i w:val="false"/>
                      <w:color w:val="000000"/>
                      <w:sz w:val="20"/>
                    </w:rPr>
                    <w:t xml:space="preserve">
включает такие элементы, </w:t>
                  </w:r>
                </w:p>
                <w:p>
                  <w:pPr>
                    <w:spacing w:after="20"/>
                    <w:ind w:left="20"/>
                    <w:jc w:val="both"/>
                  </w:pPr>
                  <w:r>
                    <w:rPr>
                      <w:rFonts w:ascii="Times New Roman"/>
                      <w:b w:val="false"/>
                      <w:i w:val="false"/>
                      <w:color w:val="000000"/>
                      <w:sz w:val="20"/>
                    </w:rPr>
                    <w:t>
как стабильность продукции и расследование претензий в отношении ее качества.</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Постоянное улучшение фармацевтической системы качества</w:t>
            </w:r>
          </w:p>
          <w:p>
            <w:pPr>
              <w:spacing w:after="20"/>
              <w:ind w:left="20"/>
              <w:jc w:val="both"/>
            </w:pPr>
            <w:r>
              <w:rPr>
                <w:rFonts w:ascii="Times New Roman"/>
                <w:b w:val="false"/>
                <w:i w:val="false"/>
                <w:color w:val="000000"/>
                <w:sz w:val="20"/>
              </w:rPr>
              <w:t>
   В этом разделе описаны мероприятия, которые необходимо осуществлять для управления и постоянного улучшения фармацевтической системы качества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Проверка фармацевтической системы качества со стороны руководства</w:t>
            </w:r>
          </w:p>
          <w:p>
            <w:pPr>
              <w:spacing w:after="20"/>
              <w:ind w:left="20"/>
              <w:jc w:val="both"/>
            </w:pPr>
            <w:r>
              <w:rPr>
                <w:rFonts w:ascii="Times New Roman"/>
                <w:b w:val="false"/>
                <w:i w:val="false"/>
                <w:color w:val="000000"/>
                <w:sz w:val="20"/>
              </w:rPr>
              <w:t>
   Руководство использует формальные процессы для проведения периодических проверок фармацевтической системы качества. Такие проверки включают:</w:t>
            </w:r>
          </w:p>
          <w:p>
            <w:pPr>
              <w:spacing w:after="20"/>
              <w:ind w:left="20"/>
              <w:jc w:val="both"/>
            </w:pPr>
            <w:r>
              <w:rPr>
                <w:rFonts w:ascii="Times New Roman"/>
                <w:b w:val="false"/>
                <w:i w:val="false"/>
                <w:color w:val="000000"/>
                <w:sz w:val="20"/>
              </w:rPr>
              <w:t>
   1) систему мер для достижения целей, связанных с фармацевтической системой качества;</w:t>
            </w:r>
          </w:p>
          <w:p>
            <w:pPr>
              <w:spacing w:after="20"/>
              <w:ind w:left="20"/>
              <w:jc w:val="both"/>
            </w:pPr>
            <w:r>
              <w:rPr>
                <w:rFonts w:ascii="Times New Roman"/>
                <w:b w:val="false"/>
                <w:i w:val="false"/>
                <w:color w:val="000000"/>
                <w:sz w:val="20"/>
              </w:rPr>
              <w:t>
   2) оценку показателей эффективности, которые могут использоваться для проверки эффективности процессов в рамках фармацевтической системы качества, таких как:</w:t>
            </w:r>
          </w:p>
          <w:p>
            <w:pPr>
              <w:spacing w:after="20"/>
              <w:ind w:left="20"/>
              <w:jc w:val="both"/>
            </w:pPr>
            <w:r>
              <w:rPr>
                <w:rFonts w:ascii="Times New Roman"/>
                <w:b w:val="false"/>
                <w:i w:val="false"/>
                <w:color w:val="000000"/>
                <w:sz w:val="20"/>
              </w:rPr>
              <w:t>
   - претензии, отклонения, КАПА и процессы управления изменениями;</w:t>
            </w:r>
          </w:p>
          <w:p>
            <w:pPr>
              <w:spacing w:after="20"/>
              <w:ind w:left="20"/>
              <w:jc w:val="both"/>
            </w:pPr>
            <w:r>
              <w:rPr>
                <w:rFonts w:ascii="Times New Roman"/>
                <w:b w:val="false"/>
                <w:i w:val="false"/>
                <w:color w:val="000000"/>
                <w:sz w:val="20"/>
              </w:rPr>
              <w:t>
   - обратная связь в отношении работ по контракту;</w:t>
            </w:r>
          </w:p>
          <w:p>
            <w:pPr>
              <w:spacing w:after="20"/>
              <w:ind w:left="20"/>
              <w:jc w:val="both"/>
            </w:pPr>
            <w:r>
              <w:rPr>
                <w:rFonts w:ascii="Times New Roman"/>
                <w:b w:val="false"/>
                <w:i w:val="false"/>
                <w:color w:val="000000"/>
                <w:sz w:val="20"/>
              </w:rPr>
              <w:t>
   - процессы самооценки, включая оценки рисков, анализ тенденций и аудиты;</w:t>
            </w:r>
          </w:p>
          <w:p>
            <w:pPr>
              <w:spacing w:after="20"/>
              <w:ind w:left="20"/>
              <w:jc w:val="both"/>
            </w:pPr>
            <w:r>
              <w:rPr>
                <w:rFonts w:ascii="Times New Roman"/>
                <w:b w:val="false"/>
                <w:i w:val="false"/>
                <w:color w:val="000000"/>
                <w:sz w:val="20"/>
              </w:rPr>
              <w:t xml:space="preserve">
   - внешние оценки, такие как инспекции уполномоченных органов и их заключения, а также аудиты потребителей.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Мониторинг внутренних и внешних факторов, которые влияют на фармацевтическую систему качества</w:t>
            </w:r>
          </w:p>
          <w:p>
            <w:pPr>
              <w:spacing w:after="20"/>
              <w:ind w:left="20"/>
              <w:jc w:val="both"/>
            </w:pPr>
            <w:r>
              <w:rPr>
                <w:rFonts w:ascii="Times New Roman"/>
                <w:b w:val="false"/>
                <w:i w:val="false"/>
                <w:color w:val="000000"/>
                <w:sz w:val="20"/>
              </w:rPr>
              <w:t>
   Факторы, проверяемые руководством, включают:</w:t>
            </w:r>
          </w:p>
          <w:p>
            <w:pPr>
              <w:spacing w:after="20"/>
              <w:ind w:left="20"/>
              <w:jc w:val="both"/>
            </w:pPr>
            <w:r>
              <w:rPr>
                <w:rFonts w:ascii="Times New Roman"/>
                <w:b w:val="false"/>
                <w:i w:val="false"/>
                <w:color w:val="000000"/>
                <w:sz w:val="20"/>
              </w:rPr>
              <w:t xml:space="preserve">
   1) новые нормативные требования, руководства и публикации относительно качества, которые могут влиять на фармацевтическую систему качества; </w:t>
            </w:r>
          </w:p>
          <w:p>
            <w:pPr>
              <w:spacing w:after="20"/>
              <w:ind w:left="20"/>
              <w:jc w:val="both"/>
            </w:pPr>
            <w:r>
              <w:rPr>
                <w:rFonts w:ascii="Times New Roman"/>
                <w:b w:val="false"/>
                <w:i w:val="false"/>
                <w:color w:val="000000"/>
                <w:sz w:val="20"/>
              </w:rPr>
              <w:t>
   2) инновации, способные улучшить фармацевтическую систему качества;</w:t>
            </w:r>
          </w:p>
          <w:p>
            <w:pPr>
              <w:spacing w:after="20"/>
              <w:ind w:left="20"/>
              <w:jc w:val="both"/>
            </w:pPr>
            <w:r>
              <w:rPr>
                <w:rFonts w:ascii="Times New Roman"/>
                <w:b w:val="false"/>
                <w:i w:val="false"/>
                <w:color w:val="000000"/>
                <w:sz w:val="20"/>
              </w:rPr>
              <w:t>
   3) изменения условий и целей деятельности;</w:t>
            </w:r>
          </w:p>
          <w:p>
            <w:pPr>
              <w:spacing w:after="20"/>
              <w:ind w:left="20"/>
              <w:jc w:val="both"/>
            </w:pPr>
            <w:r>
              <w:rPr>
                <w:rFonts w:ascii="Times New Roman"/>
                <w:b w:val="false"/>
                <w:i w:val="false"/>
                <w:color w:val="000000"/>
                <w:sz w:val="20"/>
              </w:rPr>
              <w:t>
   4) изменения в праве собственности на продукцию.</w:t>
            </w:r>
          </w:p>
          <w:p>
            <w:pPr>
              <w:spacing w:after="20"/>
              <w:ind w:left="20"/>
              <w:jc w:val="both"/>
            </w:pPr>
            <w:r>
              <w:rPr>
                <w:rFonts w:ascii="Times New Roman"/>
                <w:b w:val="false"/>
                <w:i w:val="false"/>
                <w:color w:val="000000"/>
                <w:sz w:val="20"/>
              </w:rPr>
              <w:t>
   </w:t>
            </w:r>
            <w:r>
              <w:rPr>
                <w:rFonts w:ascii="Times New Roman"/>
                <w:b/>
                <w:i w:val="false"/>
                <w:color w:val="000000"/>
                <w:sz w:val="20"/>
              </w:rPr>
              <w:t>4.3. Результаты проверки со стороны руководства и мониторинга</w:t>
            </w:r>
          </w:p>
          <w:p>
            <w:pPr>
              <w:spacing w:after="20"/>
              <w:ind w:left="20"/>
              <w:jc w:val="both"/>
            </w:pPr>
            <w:r>
              <w:rPr>
                <w:rFonts w:ascii="Times New Roman"/>
                <w:b w:val="false"/>
                <w:i w:val="false"/>
                <w:color w:val="000000"/>
                <w:sz w:val="20"/>
              </w:rPr>
              <w:t>
   Итоги проверки фармацевтической системы качества со стороны руководства и мониторинга внутренних и внешних факторов включать:</w:t>
            </w:r>
          </w:p>
          <w:p>
            <w:pPr>
              <w:spacing w:after="20"/>
              <w:ind w:left="20"/>
              <w:jc w:val="both"/>
            </w:pPr>
            <w:r>
              <w:rPr>
                <w:rFonts w:ascii="Times New Roman"/>
                <w:b w:val="false"/>
                <w:i w:val="false"/>
                <w:color w:val="000000"/>
                <w:sz w:val="20"/>
              </w:rPr>
              <w:t>
   1) улучшение фармацевтической системы качества и связанных процессов;</w:t>
            </w:r>
          </w:p>
          <w:p>
            <w:pPr>
              <w:spacing w:after="20"/>
              <w:ind w:left="20"/>
              <w:jc w:val="both"/>
            </w:pPr>
            <w:r>
              <w:rPr>
                <w:rFonts w:ascii="Times New Roman"/>
                <w:b w:val="false"/>
                <w:i w:val="false"/>
                <w:color w:val="000000"/>
                <w:sz w:val="20"/>
              </w:rPr>
              <w:t>
   2) распределение или перераспределение ресурсов и (или) обучение персонала;</w:t>
            </w:r>
          </w:p>
          <w:p>
            <w:pPr>
              <w:spacing w:after="20"/>
              <w:ind w:left="20"/>
              <w:jc w:val="both"/>
            </w:pPr>
            <w:r>
              <w:rPr>
                <w:rFonts w:ascii="Times New Roman"/>
                <w:b w:val="false"/>
                <w:i w:val="false"/>
                <w:color w:val="000000"/>
                <w:sz w:val="20"/>
              </w:rPr>
              <w:t>
   3) пересмотр политики в области качества и целей качества;</w:t>
            </w:r>
          </w:p>
          <w:p>
            <w:pPr>
              <w:spacing w:after="20"/>
              <w:ind w:left="20"/>
              <w:jc w:val="both"/>
            </w:pPr>
            <w:r>
              <w:rPr>
                <w:rFonts w:ascii="Times New Roman"/>
                <w:b w:val="false"/>
                <w:i w:val="false"/>
                <w:color w:val="000000"/>
                <w:sz w:val="20"/>
              </w:rPr>
              <w:t>
   4) документальное оформление результатов проверки со стороны руководства и предпринятых действий, а также своевременный и эффективный обмен информацией о них, включая информирование высшего руководства о соответствующих результатах.</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Термины и определения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ICH и ISO используются в настоящем документе там, где в них возникает необходимость. В контексте настоящего документа если слова "требование", "требования" или "необходимо" появляются в определении ISO, то они не обязательно отражают нормативные требования. Если не было возможности применить определения ICH или ISO, разрабатываются формулировки для использования их именно в настоящем документе.</w:t>
            </w:r>
          </w:p>
          <w:p>
            <w:pPr>
              <w:spacing w:after="20"/>
              <w:ind w:left="20"/>
              <w:jc w:val="both"/>
            </w:pPr>
            <w:r>
              <w:rPr>
                <w:rFonts w:ascii="Times New Roman"/>
                <w:b w:val="false"/>
                <w:i w:val="false"/>
                <w:color w:val="000000"/>
                <w:sz w:val="20"/>
              </w:rPr>
              <w:t>
   Возможность процесса - способность процесса создавать продукцию, которая будет соответствовать требованиям к этой продукции. Концепция возможности процесса также может определяться при помощи статистических терминов.</w:t>
            </w:r>
          </w:p>
          <w:p>
            <w:pPr>
              <w:spacing w:after="20"/>
              <w:ind w:left="20"/>
              <w:jc w:val="both"/>
            </w:pPr>
            <w:r>
              <w:rPr>
                <w:rFonts w:ascii="Times New Roman"/>
                <w:b w:val="false"/>
                <w:i w:val="false"/>
                <w:color w:val="000000"/>
                <w:sz w:val="20"/>
              </w:rPr>
              <w:t>
   Высшее руководство - лицо или лица, которые руководят и осуществляют на высшем уровне контроль за деятельностью предприятия или за его отдельной площадкой, а также имеют полномочия и ответственность, чтобы задействовать ресурсы предприятия или его отдельной площадки.</w:t>
            </w:r>
          </w:p>
          <w:p>
            <w:pPr>
              <w:spacing w:after="20"/>
              <w:ind w:left="20"/>
              <w:jc w:val="both"/>
            </w:pPr>
            <w:r>
              <w:rPr>
                <w:rFonts w:ascii="Times New Roman"/>
                <w:b w:val="false"/>
                <w:i w:val="false"/>
                <w:color w:val="000000"/>
                <w:sz w:val="20"/>
              </w:rPr>
              <w:t>
   Деятельность, передаваемая для выполнения другой организации - аутсорсинг - деятельность, осуществляемая подрядчиком по письменному договору с заказчиком.</w:t>
            </w:r>
          </w:p>
          <w:p>
            <w:pPr>
              <w:spacing w:after="20"/>
              <w:ind w:left="20"/>
              <w:jc w:val="both"/>
            </w:pPr>
            <w:r>
              <w:rPr>
                <w:rFonts w:ascii="Times New Roman"/>
                <w:b w:val="false"/>
                <w:i w:val="false"/>
                <w:color w:val="000000"/>
                <w:sz w:val="20"/>
              </w:rPr>
              <w:t xml:space="preserve">
   Инновация - внедрение новых технологий или методологий. </w:t>
            </w:r>
          </w:p>
          <w:p>
            <w:pPr>
              <w:spacing w:after="20"/>
              <w:ind w:left="20"/>
              <w:jc w:val="both"/>
            </w:pPr>
            <w:r>
              <w:rPr>
                <w:rFonts w:ascii="Times New Roman"/>
                <w:b w:val="false"/>
                <w:i w:val="false"/>
                <w:color w:val="000000"/>
                <w:sz w:val="20"/>
              </w:rPr>
              <w:t>
   Качество - степень, в которой совокупность неотъемлемых свойств продукции, системы или процесса соответствует требованиям.</w:t>
            </w:r>
          </w:p>
          <w:p>
            <w:pPr>
              <w:spacing w:after="20"/>
              <w:ind w:left="20"/>
              <w:jc w:val="both"/>
            </w:pPr>
            <w:r>
              <w:rPr>
                <w:rFonts w:ascii="Times New Roman"/>
                <w:b w:val="false"/>
                <w:i w:val="false"/>
                <w:color w:val="000000"/>
                <w:sz w:val="20"/>
              </w:rPr>
              <w:t>
   Контролируемое состояние - условие, при котором комплекс контрольных мероприятий постоянно обеспечивает стабильную эффективность процесса и качество продукции.</w:t>
            </w:r>
          </w:p>
          <w:p>
            <w:pPr>
              <w:spacing w:after="20"/>
              <w:ind w:left="20"/>
              <w:jc w:val="both"/>
            </w:pPr>
            <w:r>
              <w:rPr>
                <w:rFonts w:ascii="Times New Roman"/>
                <w:b w:val="false"/>
                <w:i w:val="false"/>
                <w:color w:val="000000"/>
                <w:sz w:val="20"/>
              </w:rPr>
              <w:t xml:space="preserve">
   Корректирующие действие - действие, направленное на устранение причины выявленного несоответствия или другой нежелательной ситуации. </w:t>
            </w:r>
          </w:p>
          <w:p>
            <w:pPr>
              <w:spacing w:after="20"/>
              <w:ind w:left="20"/>
              <w:jc w:val="both"/>
            </w:pPr>
            <w:r>
              <w:rPr>
                <w:rFonts w:ascii="Times New Roman"/>
                <w:b w:val="false"/>
                <w:i w:val="false"/>
                <w:color w:val="000000"/>
                <w:sz w:val="20"/>
              </w:rPr>
              <w:t>
   Корректирующее действие осуществляют для предотвращения повторного события, в то время как предупреждающее действие осуществляют для предотвращения события.</w:t>
            </w:r>
          </w:p>
          <w:p>
            <w:pPr>
              <w:spacing w:after="20"/>
              <w:ind w:left="20"/>
              <w:jc w:val="both"/>
            </w:pPr>
            <w:r>
              <w:rPr>
                <w:rFonts w:ascii="Times New Roman"/>
                <w:b w:val="false"/>
                <w:i w:val="false"/>
                <w:color w:val="000000"/>
                <w:sz w:val="20"/>
              </w:rPr>
              <w:t xml:space="preserve">
   Обратная или прямая связь - обратная связь – это модификация или контроль процесса или системы исходя из их результатов или эффективности. Прямая связь – это модификация или контроль процесса исходя из их ожидаемых результатов или эффективности. Обратную или прямую связь технически используют в стратегии контроля процесса и концептуально – в управлении качеством. </w:t>
            </w:r>
          </w:p>
          <w:p>
            <w:pPr>
              <w:spacing w:after="20"/>
              <w:ind w:left="20"/>
              <w:jc w:val="both"/>
            </w:pPr>
            <w:r>
              <w:rPr>
                <w:rFonts w:ascii="Times New Roman"/>
                <w:b w:val="false"/>
                <w:i w:val="false"/>
                <w:color w:val="000000"/>
                <w:sz w:val="20"/>
              </w:rPr>
              <w:t>
   Планирование качества - часть управления качеством, направленная на установление целей качества и определение необходимых операционных процессов и соответствующих ресурсов для достижения целей качества.</w:t>
            </w:r>
          </w:p>
          <w:p>
            <w:pPr>
              <w:spacing w:after="20"/>
              <w:ind w:left="20"/>
              <w:jc w:val="both"/>
            </w:pPr>
            <w:r>
              <w:rPr>
                <w:rFonts w:ascii="Times New Roman"/>
                <w:b w:val="false"/>
                <w:i w:val="false"/>
                <w:color w:val="000000"/>
                <w:sz w:val="20"/>
              </w:rPr>
              <w:t>
   Показатели эффективности - измеряемые значения, используемые для количественного выражения целей качества для отражения эффективности организации, процесса и системы; в некоторых регионах используется термин "метрика эффективности".</w:t>
            </w:r>
          </w:p>
          <w:p>
            <w:pPr>
              <w:spacing w:after="20"/>
              <w:ind w:left="20"/>
              <w:jc w:val="both"/>
            </w:pPr>
            <w:r>
              <w:rPr>
                <w:rFonts w:ascii="Times New Roman"/>
                <w:b w:val="false"/>
                <w:i w:val="false"/>
                <w:color w:val="000000"/>
                <w:sz w:val="20"/>
              </w:rPr>
              <w:t>
   Политика в области качества - общие цели и направление деятельности организации относительно качества, которые официально формулируются высшим руководством.</w:t>
            </w:r>
          </w:p>
          <w:p>
            <w:pPr>
              <w:spacing w:after="20"/>
              <w:ind w:left="20"/>
              <w:jc w:val="both"/>
            </w:pPr>
            <w:r>
              <w:rPr>
                <w:rFonts w:ascii="Times New Roman"/>
                <w:b w:val="false"/>
                <w:i w:val="false"/>
                <w:color w:val="000000"/>
                <w:sz w:val="20"/>
              </w:rPr>
              <w:t>
   Постоянное улучшение - постоянная деятельность, направленная на увеличение способности соответствовать требованиям.</w:t>
            </w:r>
          </w:p>
          <w:p>
            <w:pPr>
              <w:spacing w:after="20"/>
              <w:ind w:left="20"/>
              <w:jc w:val="both"/>
            </w:pPr>
            <w:r>
              <w:rPr>
                <w:rFonts w:ascii="Times New Roman"/>
                <w:b w:val="false"/>
                <w:i w:val="false"/>
                <w:color w:val="000000"/>
                <w:sz w:val="20"/>
              </w:rPr>
              <w:t xml:space="preserve">
   Предупреждающее действие - действие, направленное на устранение причин потенциальных несоответствий или других нежелательных ситуаций. </w:t>
            </w:r>
          </w:p>
          <w:p>
            <w:pPr>
              <w:spacing w:after="20"/>
              <w:ind w:left="20"/>
              <w:jc w:val="both"/>
            </w:pPr>
            <w:r>
              <w:rPr>
                <w:rFonts w:ascii="Times New Roman"/>
                <w:b w:val="false"/>
                <w:i w:val="false"/>
                <w:color w:val="000000"/>
                <w:sz w:val="20"/>
              </w:rPr>
              <w:t>
   Предупреждающее действие выполняется для предотвращения события, в то время как корректирующее действие – для предупреждения повторного события.</w:t>
            </w:r>
          </w:p>
          <w:p>
            <w:pPr>
              <w:spacing w:after="20"/>
              <w:ind w:left="20"/>
              <w:jc w:val="both"/>
            </w:pPr>
            <w:r>
              <w:rPr>
                <w:rFonts w:ascii="Times New Roman"/>
                <w:b w:val="false"/>
                <w:i w:val="false"/>
                <w:color w:val="000000"/>
                <w:sz w:val="20"/>
              </w:rPr>
              <w:t xml:space="preserve">
   Пространство проектных параметров - многомерная комбинация и взаимодействие различных исходных переменных, а также параметров процесса, при которых доказано обеспечение качества. </w:t>
            </w:r>
          </w:p>
          <w:p>
            <w:pPr>
              <w:spacing w:after="20"/>
              <w:ind w:left="20"/>
              <w:jc w:val="both"/>
            </w:pPr>
            <w:r>
              <w:rPr>
                <w:rFonts w:ascii="Times New Roman"/>
                <w:b w:val="false"/>
                <w:i w:val="false"/>
                <w:color w:val="000000"/>
                <w:sz w:val="20"/>
              </w:rPr>
              <w:t>
   Реализация продукции - достижение производства продукции с показателями качества, соответствующими потребностям пациентов, медицинских работников, уполномоченных органов (включая соответствие установленным требованиям), а также внутренних потребителей.</w:t>
            </w:r>
          </w:p>
          <w:p>
            <w:pPr>
              <w:spacing w:after="20"/>
              <w:ind w:left="20"/>
              <w:jc w:val="both"/>
            </w:pPr>
            <w:r>
              <w:rPr>
                <w:rFonts w:ascii="Times New Roman"/>
                <w:b w:val="false"/>
                <w:i w:val="false"/>
                <w:color w:val="000000"/>
                <w:sz w:val="20"/>
              </w:rPr>
              <w:t>
   Руководство по качеству - документ, излагающий систему управления качеством, применяемую в организации.</w:t>
            </w:r>
          </w:p>
          <w:p>
            <w:pPr>
              <w:spacing w:after="20"/>
              <w:ind w:left="20"/>
              <w:jc w:val="both"/>
            </w:pPr>
            <w:r>
              <w:rPr>
                <w:rFonts w:ascii="Times New Roman"/>
                <w:b w:val="false"/>
                <w:i w:val="false"/>
                <w:color w:val="000000"/>
                <w:sz w:val="20"/>
              </w:rPr>
              <w:t>
   Средство улучшения - инструмент или процесс, который обеспечивает средства для достижения цели.</w:t>
            </w:r>
          </w:p>
          <w:p>
            <w:pPr>
              <w:spacing w:after="20"/>
              <w:ind w:left="20"/>
              <w:jc w:val="both"/>
            </w:pPr>
            <w:r>
              <w:rPr>
                <w:rFonts w:ascii="Times New Roman"/>
                <w:b w:val="false"/>
                <w:i w:val="false"/>
                <w:color w:val="000000"/>
                <w:sz w:val="20"/>
              </w:rPr>
              <w:t>
   Стратегия контроля - запланированный комплекс мероприятий по контролю, основанный на понимании данной продукции и процесса, что обеспечивает эффективность процесса и качество продукции. Этот комплекс может включать контроль параметров и характеристик, относящихся к активным фармацевтическим субстанциям, исходному сырью и компонентам лекарственных препаратов, условиям эксплуатации помещений и оборудования, контролю в процессе производства, спецификациям на готовую продукцию, а также связанные методы и частоту проведения мониторинга и контроля.</w:t>
            </w:r>
          </w:p>
          <w:p>
            <w:pPr>
              <w:spacing w:after="20"/>
              <w:ind w:left="20"/>
              <w:jc w:val="both"/>
            </w:pPr>
            <w:r>
              <w:rPr>
                <w:rFonts w:ascii="Times New Roman"/>
                <w:b w:val="false"/>
                <w:i w:val="false"/>
                <w:color w:val="000000"/>
                <w:sz w:val="20"/>
              </w:rPr>
              <w:t>
   Управление знаниями - систематический подход к сбору, анализу, накоплению и распространению информации о продукции, производственных процессах и компонентах.</w:t>
            </w:r>
          </w:p>
          <w:p>
            <w:pPr>
              <w:spacing w:after="20"/>
              <w:ind w:left="20"/>
              <w:jc w:val="both"/>
            </w:pPr>
            <w:r>
              <w:rPr>
                <w:rFonts w:ascii="Times New Roman"/>
                <w:b w:val="false"/>
                <w:i w:val="false"/>
                <w:color w:val="000000"/>
                <w:sz w:val="20"/>
              </w:rPr>
              <w:t>
   Управление изменениями - систематический подход к предложению, оценке, утверждению, внедрению и проверке изменений.</w:t>
            </w:r>
          </w:p>
          <w:p>
            <w:pPr>
              <w:spacing w:after="20"/>
              <w:ind w:left="20"/>
              <w:jc w:val="both"/>
            </w:pPr>
            <w:r>
              <w:rPr>
                <w:rFonts w:ascii="Times New Roman"/>
                <w:b w:val="false"/>
                <w:i w:val="false"/>
                <w:color w:val="000000"/>
                <w:sz w:val="20"/>
              </w:rPr>
              <w:t>
   Управление рисками для качества - систематический процесс для общей оценки, контроля, передачи информации и обзора рисков для качества лекарственных препаратов на протяжении жизненного цикла продукции.</w:t>
            </w:r>
          </w:p>
          <w:p>
            <w:pPr>
              <w:spacing w:after="20"/>
              <w:ind w:left="20"/>
              <w:jc w:val="both"/>
            </w:pPr>
            <w:r>
              <w:rPr>
                <w:rFonts w:ascii="Times New Roman"/>
                <w:b w:val="false"/>
                <w:i w:val="false"/>
                <w:color w:val="000000"/>
                <w:sz w:val="20"/>
              </w:rPr>
              <w:t>
   Фармацевтическая система качества, ФСК - система управления для направления и контроля фармацевтической компании в отношении качества.</w:t>
            </w:r>
          </w:p>
          <w:p>
            <w:pPr>
              <w:spacing w:after="20"/>
              <w:ind w:left="20"/>
              <w:jc w:val="both"/>
            </w:pPr>
            <w:r>
              <w:rPr>
                <w:rFonts w:ascii="Times New Roman"/>
                <w:b w:val="false"/>
                <w:i w:val="false"/>
                <w:color w:val="000000"/>
                <w:sz w:val="20"/>
              </w:rPr>
              <w:t>
   Цели качества - средства преобразования политики в области качества и стратегий в измеряемую деятельность.</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Дополнение 1</w:t>
            </w:r>
          </w:p>
          <w:p>
            <w:pPr>
              <w:spacing w:after="20"/>
              <w:ind w:left="20"/>
              <w:jc w:val="both"/>
            </w:pPr>
            <w:r>
              <w:rPr>
                <w:rFonts w:ascii="Times New Roman"/>
                <w:b w:val="false"/>
                <w:i w:val="false"/>
                <w:color w:val="000000"/>
                <w:sz w:val="20"/>
              </w:rPr>
              <w:t>
</w:t>
            </w:r>
            <w:r>
              <w:rPr>
                <w:rFonts w:ascii="Times New Roman"/>
                <w:b/>
                <w:i w:val="false"/>
                <w:color w:val="000000"/>
                <w:sz w:val="20"/>
              </w:rPr>
              <w:t>Потенциальные возможности улучшения научных и  основанных на анализе рисков надзорных подходов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дополнение отражает потенциальные возможности улучшения подходов, которые применяются уполномоченными органами. Фактический надзорный процесс определяется соответствующим законодательством.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7"/>
              <w:gridCol w:w="6553"/>
            </w:tblGrid>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 действий</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Потенциальная возможность</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Соответствовать требованиям настоящего Стандарта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 обязательно</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Демонстрировать эффективную фармацевтическую систему качества, включая эффективное использование принципов управления рисками для качества.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для увеличения использования подходов, основанных на анализе рисков, при проведении инспекций уполномоченными органами.</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Демонстрировать понимание продукции и процесса, включая эффективное использование принципов управления рисками для качества.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для:</w:t>
                  </w:r>
                </w:p>
                <w:p>
                  <w:pPr>
                    <w:spacing w:after="20"/>
                    <w:ind w:left="20"/>
                    <w:jc w:val="both"/>
                  </w:pPr>
                  <w:r>
                    <w:rPr>
                      <w:rFonts w:ascii="Times New Roman"/>
                      <w:b w:val="false"/>
                      <w:i w:val="false"/>
                      <w:color w:val="000000"/>
                      <w:sz w:val="20"/>
                    </w:rPr>
                    <w:t>
содействия научно-обоснованной оценке фармацевтического качества;</w:t>
                  </w:r>
                </w:p>
                <w:p>
                  <w:pPr>
                    <w:spacing w:after="20"/>
                    <w:ind w:left="20"/>
                    <w:jc w:val="both"/>
                  </w:pPr>
                  <w:r>
                    <w:rPr>
                      <w:rFonts w:ascii="Times New Roman"/>
                      <w:b w:val="false"/>
                      <w:i w:val="false"/>
                      <w:color w:val="000000"/>
                      <w:sz w:val="20"/>
                    </w:rPr>
                    <w:t>
обеспечения возможности применения инновационных подходов к процессу валидации;</w:t>
                  </w:r>
                </w:p>
                <w:p>
                  <w:pPr>
                    <w:spacing w:after="20"/>
                    <w:ind w:left="20"/>
                    <w:jc w:val="both"/>
                  </w:pPr>
                  <w:r>
                    <w:rPr>
                      <w:rFonts w:ascii="Times New Roman"/>
                      <w:b w:val="false"/>
                      <w:i w:val="false"/>
                      <w:color w:val="000000"/>
                      <w:sz w:val="20"/>
                    </w:rPr>
                    <w:t>
внедрения механизмов выдачи разрешения на выпуск в реальном времени.</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Демонстрировать эффективную фармацевтическую систему качества и понимание продукции и процесса, включая эффективное использование принципов управления рисками для качества.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для:</w:t>
                  </w:r>
                </w:p>
                <w:p>
                  <w:pPr>
                    <w:spacing w:after="20"/>
                    <w:ind w:left="20"/>
                    <w:jc w:val="both"/>
                  </w:pPr>
                  <w:r>
                    <w:rPr>
                      <w:rFonts w:ascii="Times New Roman"/>
                      <w:b w:val="false"/>
                      <w:i w:val="false"/>
                      <w:color w:val="000000"/>
                      <w:sz w:val="20"/>
                    </w:rPr>
                    <w:t>
увеличения использования подходов, основанных на анализе рисков, при проведении инспекций уполномоченными органами;</w:t>
                  </w:r>
                </w:p>
                <w:p>
                  <w:pPr>
                    <w:spacing w:after="20"/>
                    <w:ind w:left="20"/>
                    <w:jc w:val="both"/>
                  </w:pPr>
                  <w:r>
                    <w:rPr>
                      <w:rFonts w:ascii="Times New Roman"/>
                      <w:b w:val="false"/>
                      <w:i w:val="false"/>
                      <w:color w:val="000000"/>
                      <w:sz w:val="20"/>
                    </w:rPr>
                    <w:t>
содействия научно-обоснованной оценке фармацевтического качества;</w:t>
                  </w:r>
                </w:p>
                <w:p>
                  <w:pPr>
                    <w:spacing w:after="20"/>
                    <w:ind w:left="20"/>
                    <w:jc w:val="both"/>
                  </w:pPr>
                  <w:r>
                    <w:rPr>
                      <w:rFonts w:ascii="Times New Roman"/>
                      <w:b w:val="false"/>
                      <w:i w:val="false"/>
                      <w:color w:val="000000"/>
                      <w:sz w:val="20"/>
                    </w:rPr>
                    <w:t>
оптимизации научно-обоснованных и основанных на анализе рисков процессов изменений, вносимых после регистрации лекарственных средств, для извлечения максимальной пользы от инноваций и постоянного улучшения;</w:t>
                  </w:r>
                </w:p>
                <w:p>
                  <w:pPr>
                    <w:spacing w:after="20"/>
                    <w:ind w:left="20"/>
                    <w:jc w:val="both"/>
                  </w:pPr>
                  <w:r>
                    <w:rPr>
                      <w:rFonts w:ascii="Times New Roman"/>
                      <w:b w:val="false"/>
                      <w:i w:val="false"/>
                      <w:color w:val="000000"/>
                      <w:sz w:val="20"/>
                    </w:rPr>
                    <w:t>
обеспечения возможности применения инновационных подходов к процессу валидации;</w:t>
                  </w:r>
                </w:p>
                <w:p>
                  <w:pPr>
                    <w:spacing w:after="20"/>
                    <w:ind w:left="20"/>
                    <w:jc w:val="both"/>
                  </w:pPr>
                  <w:r>
                    <w:rPr>
                      <w:rFonts w:ascii="Times New Roman"/>
                      <w:b w:val="false"/>
                      <w:i w:val="false"/>
                      <w:color w:val="000000"/>
                      <w:sz w:val="20"/>
                    </w:rPr>
                    <w:t>
внедрения механизмов выдачи разрешения на выпуск в реальном времени.</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Дополнение 2</w:t>
            </w:r>
          </w:p>
          <w:p>
            <w:pPr>
              <w:spacing w:after="20"/>
              <w:ind w:left="20"/>
              <w:jc w:val="both"/>
            </w:pPr>
            <w:r>
              <w:rPr>
                <w:rFonts w:ascii="Times New Roman"/>
                <w:b w:val="false"/>
                <w:i w:val="false"/>
                <w:color w:val="000000"/>
                <w:sz w:val="20"/>
              </w:rPr>
              <w:t>
</w:t>
            </w:r>
            <w:r>
              <w:rPr>
                <w:rFonts w:ascii="Times New Roman"/>
                <w:b/>
                <w:i w:val="false"/>
                <w:color w:val="000000"/>
                <w:sz w:val="20"/>
              </w:rPr>
              <w:t>Схема модели фармацевтической системы качества в соответствии с настоящим документом</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71120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0" cy="537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 представленной схеме показаны основные особенности модели фармацевтической системы качества (ФСК). Фармацевтическая система качества охватывает весь жизненный цикл продукции, включая фармацевтическую разработку, перенос технологии, промышленное производство и прекращение производства, как показано в верхней части схемы. Фармацевтическая система качества расширяет требования настоящего Стандарта, как показано на схеме. Схема также показывает то, что требования настоящего Стандарта распространяются на производство лекарственных препаратов для клинических исследований. </w:t>
            </w:r>
          </w:p>
          <w:p>
            <w:pPr>
              <w:spacing w:after="20"/>
              <w:ind w:left="20"/>
              <w:jc w:val="both"/>
            </w:pPr>
            <w:r>
              <w:rPr>
                <w:rFonts w:ascii="Times New Roman"/>
                <w:b w:val="false"/>
                <w:i w:val="false"/>
                <w:color w:val="000000"/>
                <w:sz w:val="20"/>
              </w:rPr>
              <w:t xml:space="preserve">
   Следующий горизонтальный блок иллюстрирует важность ответственности руководства в отношении всех этапов жизненного цикла продукции. В следующем за ним горизонтальном блоке приведен перечень элементов фармацевтической системы качества, которые являются опорными для модели ФСК. Эти элементы соответственно и пропорционально применяются к каждому этапу жизненного цикла, осознавая возможности выявления сфер для постоянного улучшения. </w:t>
            </w:r>
          </w:p>
          <w:p>
            <w:pPr>
              <w:spacing w:after="20"/>
              <w:ind w:left="20"/>
              <w:jc w:val="both"/>
            </w:pPr>
            <w:r>
              <w:rPr>
                <w:rFonts w:ascii="Times New Roman"/>
                <w:b w:val="false"/>
                <w:i w:val="false"/>
                <w:color w:val="000000"/>
                <w:sz w:val="20"/>
              </w:rPr>
              <w:t>
   В наборе горизонтальных блоков в нижней части схемы показаны средства улучшения: управление знаниями и управление рисками для качества, которые применяются на протяжении всех этапов жизненного цикла. Эти средства улучшения помогают при достижении целей фармацевтической системы качества в отношении производства продукции, соответствующей своему предназначению, установления и поддержания контролируемого состояния и содействуют постоянному улучшению.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Международные гармонизированные требования к сертификации серии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требования</w:t>
            </w:r>
          </w:p>
          <w:p>
            <w:pPr>
              <w:spacing w:after="20"/>
              <w:ind w:left="20"/>
              <w:jc w:val="both"/>
            </w:pPr>
            <w:r>
              <w:rPr>
                <w:rFonts w:ascii="Times New Roman"/>
                <w:b w:val="false"/>
                <w:i w:val="false"/>
                <w:color w:val="000000"/>
                <w:sz w:val="20"/>
              </w:rPr>
              <w:t>
   Каждую серию лекарственного средства, в том числе перемещаемую между странами, в которых соблюдаются требования надлежащего производства, необходимо сопровождать сертификатом серии, выданным производителем лекарственного средства.</w:t>
            </w:r>
          </w:p>
          <w:p>
            <w:pPr>
              <w:spacing w:after="20"/>
              <w:ind w:left="20"/>
              <w:jc w:val="both"/>
            </w:pPr>
            <w:r>
              <w:rPr>
                <w:rFonts w:ascii="Times New Roman"/>
                <w:b w:val="false"/>
                <w:i w:val="false"/>
                <w:color w:val="000000"/>
                <w:sz w:val="20"/>
              </w:rPr>
              <w:t>
   Такой сертификат выдается после полного качественного и количественного анализа всех действующих веществ и иных соответствующих ингредиентов для гарантии того, что качество лекарственного средства соответствует всем требованиям регистрационного досье. Сертификат серии подтверждает, что серия соответствует спецификациям и произведена в соответствии с регистрационным досье. В сертификате приводятся подробные спецификации на лекарственное средство, ссылки на аналитические методы, полученные результаты аналитических испытаний, а также содержится подтверждение того, что записи по производству, упаковке и контролю качества серии проверены и сделан вывод об их соответствии требованиям настоящего Стандарта. Сертификат серии подписывается лицом, ответственным за подтверждение того, что серия пригодна к выпуску в реализацию или для поставок/экспорта.</w:t>
            </w:r>
          </w:p>
          <w:p>
            <w:pPr>
              <w:spacing w:after="20"/>
              <w:ind w:left="20"/>
              <w:jc w:val="both"/>
            </w:pPr>
            <w:r>
              <w:rPr>
                <w:rFonts w:ascii="Times New Roman"/>
                <w:b w:val="false"/>
                <w:i w:val="false"/>
                <w:color w:val="000000"/>
                <w:sz w:val="20"/>
              </w:rPr>
              <w:t>
   Организация, реализующая лекарственное средство, получает и сохраняет выданный производителем сертификат. Обеспечивается доступность этого сертификата для сотрудников уполномоченных органов. Такой сертификат производителя о соответствии серии имеет особое значение для того, чтобы не проводить повторный контроль, если это разрешено соответствующими нормативными правовыми актами.</w:t>
            </w:r>
          </w:p>
          <w:p>
            <w:pPr>
              <w:spacing w:after="20"/>
              <w:ind w:left="20"/>
              <w:jc w:val="both"/>
            </w:pPr>
            <w:r>
              <w:rPr>
                <w:rFonts w:ascii="Times New Roman"/>
                <w:b w:val="false"/>
                <w:i w:val="false"/>
                <w:color w:val="000000"/>
                <w:sz w:val="20"/>
              </w:rPr>
              <w:t>
   При необходимости такой сертификат выдается для продукции, не являющейся готовым лекарственным препаратом, такой как промежуточная продукция, нерасфасованная или частично упакованная продукция.</w:t>
            </w:r>
          </w:p>
          <w:p>
            <w:pPr>
              <w:spacing w:after="20"/>
              <w:ind w:left="20"/>
              <w:jc w:val="both"/>
            </w:pPr>
            <w:r>
              <w:rPr>
                <w:rFonts w:ascii="Times New Roman"/>
                <w:b w:val="false"/>
                <w:i w:val="false"/>
                <w:color w:val="000000"/>
                <w:sz w:val="20"/>
              </w:rPr>
              <w:t>
   Такой сертификат выдается на активные фармацевтические субстанции и исследуемые лекарственные препараты, используемые в клинических исследованиях. Рекомендуется использовать терминологию, которая приведена в Словаре к данному Документу.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сертификата серии лекарственного средства</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Бланк производителя</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val="false"/>
                <w:i w:val="false"/>
                <w:color w:val="000000"/>
                <w:sz w:val="20"/>
              </w:rPr>
              <w:t>Название продукции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val="false"/>
                <w:i w:val="false"/>
                <w:color w:val="000000"/>
                <w:sz w:val="20"/>
              </w:rPr>
              <w:t>Страна – импортер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val="false"/>
                <w:i w:val="false"/>
                <w:color w:val="000000"/>
                <w:sz w:val="20"/>
              </w:rPr>
              <w:t xml:space="preserve">Номер регистрационного удостоверения или номер разрешения на проведение клинических исследований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val="false"/>
                <w:i w:val="false"/>
                <w:color w:val="000000"/>
                <w:sz w:val="20"/>
              </w:rPr>
              <w:t xml:space="preserve">Дозировка/активность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val="false"/>
                <w:i w:val="false"/>
                <w:color w:val="000000"/>
                <w:sz w:val="20"/>
              </w:rPr>
              <w:t>Лекарственная форма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val="false"/>
                <w:i w:val="false"/>
                <w:color w:val="000000"/>
                <w:sz w:val="20"/>
              </w:rPr>
              <w:t>Размер и тип упаковки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val="false"/>
                <w:i w:val="false"/>
                <w:color w:val="000000"/>
                <w:sz w:val="20"/>
              </w:rPr>
              <w:t>Номер серии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val="false"/>
                <w:i w:val="false"/>
                <w:color w:val="000000"/>
                <w:sz w:val="20"/>
              </w:rPr>
              <w:t>Дата производства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val="false"/>
                <w:i w:val="false"/>
                <w:color w:val="000000"/>
                <w:sz w:val="20"/>
              </w:rPr>
              <w:t>Дата окончания срока годности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val="false"/>
                <w:i w:val="false"/>
                <w:color w:val="000000"/>
                <w:sz w:val="20"/>
              </w:rPr>
              <w:t>Названия, адреса и номера лицензий всех производственных площадок и мест проведения контроля качества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val="false"/>
                <w:i w:val="false"/>
                <w:color w:val="000000"/>
                <w:sz w:val="20"/>
              </w:rPr>
              <w:t>Сертификаты соответствия требованиям настоящего Стандарта для всех площадок, приведенных в пункте 10</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val="false"/>
                <w:i w:val="false"/>
                <w:color w:val="000000"/>
                <w:sz w:val="20"/>
              </w:rPr>
              <w:t>Результаты анализов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13. </w:t>
            </w:r>
            <w:r>
              <w:rPr>
                <w:rFonts w:ascii="Times New Roman"/>
                <w:b w:val="false"/>
                <w:i w:val="false"/>
                <w:color w:val="000000"/>
                <w:sz w:val="20"/>
              </w:rPr>
              <w:t>Комментарии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val="false"/>
                <w:i w:val="false"/>
                <w:color w:val="000000"/>
                <w:sz w:val="20"/>
              </w:rPr>
              <w:t xml:space="preserve">Заявление о сертификации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val="false"/>
                <w:i w:val="false"/>
                <w:color w:val="000000"/>
                <w:sz w:val="20"/>
              </w:rPr>
              <w:t>Фамилия и должность/звание лица, выдавшего разрешение на выпуск серии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val="false"/>
                <w:i w:val="false"/>
                <w:color w:val="000000"/>
                <w:sz w:val="20"/>
              </w:rPr>
              <w:t xml:space="preserve">Подпись лица, выдавшего разрешение на выпуск серии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r>
              <w:rPr>
                <w:rFonts w:ascii="Times New Roman"/>
                <w:b w:val="false"/>
                <w:i w:val="false"/>
                <w:color w:val="000000"/>
                <w:sz w:val="20"/>
              </w:rPr>
              <w:t>Дата подписания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Пояснения и словарь терминов</w:t>
            </w:r>
          </w:p>
          <w:p>
            <w:pPr>
              <w:spacing w:after="20"/>
              <w:ind w:left="20"/>
              <w:jc w:val="both"/>
            </w:pPr>
            <w:r>
              <w:rPr>
                <w:rFonts w:ascii="Times New Roman"/>
                <w:b w:val="false"/>
                <w:i w:val="false"/>
                <w:color w:val="000000"/>
                <w:sz w:val="20"/>
              </w:rPr>
              <w:t>
   1. Название продукции.</w:t>
            </w:r>
          </w:p>
          <w:p>
            <w:pPr>
              <w:spacing w:after="20"/>
              <w:ind w:left="20"/>
              <w:jc w:val="both"/>
            </w:pPr>
            <w:r>
              <w:rPr>
                <w:rFonts w:ascii="Times New Roman"/>
                <w:b w:val="false"/>
                <w:i w:val="false"/>
                <w:color w:val="000000"/>
                <w:sz w:val="20"/>
              </w:rPr>
              <w:t>
   Патентованное название, торговое название или присвоенное название в стране-импортере (в зависимости от того, что применимо). В случае лекарственных препаратов для клинических исследований – номер кода, содержащийся в заявке на клинические исследования.</w:t>
            </w:r>
          </w:p>
          <w:p>
            <w:pPr>
              <w:spacing w:after="20"/>
              <w:ind w:left="20"/>
              <w:jc w:val="both"/>
            </w:pPr>
            <w:r>
              <w:rPr>
                <w:rFonts w:ascii="Times New Roman"/>
                <w:b w:val="false"/>
                <w:i w:val="false"/>
                <w:color w:val="000000"/>
                <w:sz w:val="20"/>
              </w:rPr>
              <w:t xml:space="preserve">
   2. Страна – импортер. </w:t>
            </w:r>
          </w:p>
          <w:p>
            <w:pPr>
              <w:spacing w:after="20"/>
              <w:ind w:left="20"/>
              <w:jc w:val="both"/>
            </w:pPr>
            <w:r>
              <w:rPr>
                <w:rFonts w:ascii="Times New Roman"/>
                <w:b w:val="false"/>
                <w:i w:val="false"/>
                <w:color w:val="000000"/>
                <w:sz w:val="20"/>
              </w:rPr>
              <w:t>
   3. Номер регистрационного удостоверения или номер разрешения на проведение клинических исследований.</w:t>
            </w:r>
          </w:p>
          <w:p>
            <w:pPr>
              <w:spacing w:after="20"/>
              <w:ind w:left="20"/>
              <w:jc w:val="both"/>
            </w:pPr>
            <w:r>
              <w:rPr>
                <w:rFonts w:ascii="Times New Roman"/>
                <w:b w:val="false"/>
                <w:i w:val="false"/>
                <w:color w:val="000000"/>
                <w:sz w:val="20"/>
              </w:rPr>
              <w:t>
   Номер регистрационного удостоверения на лекарственное средство в стране-импортере. В случае лекарственных препаратов для клинических исследований – номер разрешения на проведение клинических исследований или ссылка на исследования (при наличии).</w:t>
            </w:r>
          </w:p>
          <w:p>
            <w:pPr>
              <w:spacing w:after="20"/>
              <w:ind w:left="20"/>
              <w:jc w:val="both"/>
            </w:pPr>
            <w:r>
              <w:rPr>
                <w:rFonts w:ascii="Times New Roman"/>
                <w:b w:val="false"/>
                <w:i w:val="false"/>
                <w:color w:val="000000"/>
                <w:sz w:val="20"/>
              </w:rPr>
              <w:t>
   4. Дозировка/активность.</w:t>
            </w:r>
          </w:p>
          <w:p>
            <w:pPr>
              <w:spacing w:after="20"/>
              <w:ind w:left="20"/>
              <w:jc w:val="both"/>
            </w:pPr>
            <w:r>
              <w:rPr>
                <w:rFonts w:ascii="Times New Roman"/>
                <w:b w:val="false"/>
                <w:i w:val="false"/>
                <w:color w:val="000000"/>
                <w:sz w:val="20"/>
              </w:rPr>
              <w:t>
   Название и количество в единице лекарственной формы всех активных фармацевтических субстанций/компонентов. В случае лекарственных препаратов для клинических исследований, включая плацебо, способ предоставления такой информации не должен способствовать раскодированию "слепого" исследования.</w:t>
            </w:r>
          </w:p>
          <w:p>
            <w:pPr>
              <w:spacing w:after="20"/>
              <w:ind w:left="20"/>
              <w:jc w:val="both"/>
            </w:pPr>
            <w:r>
              <w:rPr>
                <w:rFonts w:ascii="Times New Roman"/>
                <w:b w:val="false"/>
                <w:i w:val="false"/>
                <w:color w:val="000000"/>
                <w:sz w:val="20"/>
              </w:rPr>
              <w:t>
   5. Лекарственная форма, например, таблетки, капсулы, мази.</w:t>
            </w:r>
          </w:p>
          <w:p>
            <w:pPr>
              <w:spacing w:after="20"/>
              <w:ind w:left="20"/>
              <w:jc w:val="both"/>
            </w:pPr>
            <w:r>
              <w:rPr>
                <w:rFonts w:ascii="Times New Roman"/>
                <w:b w:val="false"/>
                <w:i w:val="false"/>
                <w:color w:val="000000"/>
                <w:sz w:val="20"/>
              </w:rPr>
              <w:t>
   6. Размер и тип упаковки.</w:t>
            </w:r>
          </w:p>
          <w:p>
            <w:pPr>
              <w:spacing w:after="20"/>
              <w:ind w:left="20"/>
              <w:jc w:val="both"/>
            </w:pPr>
            <w:r>
              <w:rPr>
                <w:rFonts w:ascii="Times New Roman"/>
                <w:b w:val="false"/>
                <w:i w:val="false"/>
                <w:color w:val="000000"/>
                <w:sz w:val="20"/>
              </w:rPr>
              <w:t xml:space="preserve">
   Указывается вместимость контейнера и его тип. </w:t>
            </w:r>
          </w:p>
          <w:p>
            <w:pPr>
              <w:spacing w:after="20"/>
              <w:ind w:left="20"/>
              <w:jc w:val="both"/>
            </w:pPr>
            <w:r>
              <w:rPr>
                <w:rFonts w:ascii="Times New Roman"/>
                <w:b w:val="false"/>
                <w:i w:val="false"/>
                <w:color w:val="000000"/>
                <w:sz w:val="20"/>
              </w:rPr>
              <w:t>
   7. Номер серии.</w:t>
            </w:r>
          </w:p>
          <w:p>
            <w:pPr>
              <w:spacing w:after="20"/>
              <w:ind w:left="20"/>
              <w:jc w:val="both"/>
            </w:pPr>
            <w:r>
              <w:rPr>
                <w:rFonts w:ascii="Times New Roman"/>
                <w:b w:val="false"/>
                <w:i w:val="false"/>
                <w:color w:val="000000"/>
                <w:sz w:val="20"/>
              </w:rPr>
              <w:t>
   Или номер партии, относящийся к продукции. Уникальная комбинация цифр, букв или символов, идентифицирующая серию, по которой прослеживается история производства и оптовой торговли серии.</w:t>
            </w:r>
          </w:p>
          <w:p>
            <w:pPr>
              <w:spacing w:after="20"/>
              <w:ind w:left="20"/>
              <w:jc w:val="both"/>
            </w:pPr>
            <w:r>
              <w:rPr>
                <w:rFonts w:ascii="Times New Roman"/>
                <w:b w:val="false"/>
                <w:i w:val="false"/>
                <w:color w:val="000000"/>
                <w:sz w:val="20"/>
              </w:rPr>
              <w:t>
   8. Дата производства.</w:t>
            </w:r>
          </w:p>
          <w:p>
            <w:pPr>
              <w:spacing w:after="20"/>
              <w:ind w:left="20"/>
              <w:jc w:val="both"/>
            </w:pPr>
            <w:r>
              <w:rPr>
                <w:rFonts w:ascii="Times New Roman"/>
                <w:b w:val="false"/>
                <w:i w:val="false"/>
                <w:color w:val="000000"/>
                <w:sz w:val="20"/>
              </w:rPr>
              <w:t>
   В соответствии с требованиями страны-импортера.</w:t>
            </w:r>
          </w:p>
          <w:p>
            <w:pPr>
              <w:spacing w:after="20"/>
              <w:ind w:left="20"/>
              <w:jc w:val="both"/>
            </w:pPr>
            <w:r>
              <w:rPr>
                <w:rFonts w:ascii="Times New Roman"/>
                <w:b w:val="false"/>
                <w:i w:val="false"/>
                <w:color w:val="000000"/>
                <w:sz w:val="20"/>
              </w:rPr>
              <w:t>
   9. Дата окончания срока годности.</w:t>
            </w:r>
          </w:p>
          <w:p>
            <w:pPr>
              <w:spacing w:after="20"/>
              <w:ind w:left="20"/>
              <w:jc w:val="both"/>
            </w:pPr>
            <w:r>
              <w:rPr>
                <w:rFonts w:ascii="Times New Roman"/>
                <w:b w:val="false"/>
                <w:i w:val="false"/>
                <w:color w:val="000000"/>
                <w:sz w:val="20"/>
              </w:rPr>
              <w:t xml:space="preserve">
   Размещенная на контейнере или этикетке дата, для определения времени, на протяжении которого ожидается, что продукция при ее хранении в требуемых условиях соответствует утвержденным в стране-импортере спецификациям, действующим в течение всего срока годности; после этой даты продукцию применять не следует. </w:t>
            </w:r>
          </w:p>
          <w:p>
            <w:pPr>
              <w:spacing w:after="20"/>
              <w:ind w:left="20"/>
              <w:jc w:val="both"/>
            </w:pPr>
            <w:r>
              <w:rPr>
                <w:rFonts w:ascii="Times New Roman"/>
                <w:b w:val="false"/>
                <w:i w:val="false"/>
                <w:color w:val="000000"/>
                <w:sz w:val="20"/>
              </w:rPr>
              <w:t>
   10. Названия, адреса и номера лицензий всех производственных площадок и мест проведения контроля качества.</w:t>
            </w:r>
          </w:p>
          <w:p>
            <w:pPr>
              <w:spacing w:after="20"/>
              <w:ind w:left="20"/>
              <w:jc w:val="both"/>
            </w:pPr>
            <w:r>
              <w:rPr>
                <w:rFonts w:ascii="Times New Roman"/>
                <w:b w:val="false"/>
                <w:i w:val="false"/>
                <w:color w:val="000000"/>
                <w:sz w:val="20"/>
              </w:rPr>
              <w:t xml:space="preserve">
   Следует указать все производственные площадки, связанные с данным производством, включая упаковку/маркировку и контроль качества серии с указанием названия, адреса и номера лицензии. Названия и адреса соответствуют указанным в лицензии на производство. </w:t>
            </w:r>
          </w:p>
          <w:p>
            <w:pPr>
              <w:spacing w:after="20"/>
              <w:ind w:left="20"/>
              <w:jc w:val="both"/>
            </w:pPr>
            <w:r>
              <w:rPr>
                <w:rFonts w:ascii="Times New Roman"/>
                <w:b w:val="false"/>
                <w:i w:val="false"/>
                <w:color w:val="000000"/>
                <w:sz w:val="20"/>
              </w:rPr>
              <w:t>
   11. Сертификаты соответствия требованиям настоящего Стандарта для всех площадок, приведенных в пункте 10.</w:t>
            </w:r>
          </w:p>
          <w:p>
            <w:pPr>
              <w:spacing w:after="20"/>
              <w:ind w:left="20"/>
              <w:jc w:val="both"/>
            </w:pPr>
            <w:r>
              <w:rPr>
                <w:rFonts w:ascii="Times New Roman"/>
                <w:b w:val="false"/>
                <w:i w:val="false"/>
                <w:color w:val="000000"/>
                <w:sz w:val="20"/>
              </w:rPr>
              <w:t xml:space="preserve">
   Следует указать номера сертификатов. </w:t>
            </w:r>
          </w:p>
          <w:p>
            <w:pPr>
              <w:spacing w:after="20"/>
              <w:ind w:left="20"/>
              <w:jc w:val="both"/>
            </w:pPr>
            <w:r>
              <w:rPr>
                <w:rFonts w:ascii="Times New Roman"/>
                <w:b w:val="false"/>
                <w:i w:val="false"/>
                <w:color w:val="000000"/>
                <w:sz w:val="20"/>
              </w:rPr>
              <w:t>
   12. Результаты анализов.</w:t>
            </w:r>
          </w:p>
          <w:p>
            <w:pPr>
              <w:spacing w:after="20"/>
              <w:ind w:left="20"/>
              <w:jc w:val="both"/>
            </w:pPr>
            <w:r>
              <w:rPr>
                <w:rFonts w:ascii="Times New Roman"/>
                <w:b w:val="false"/>
                <w:i w:val="false"/>
                <w:color w:val="000000"/>
                <w:sz w:val="20"/>
              </w:rPr>
              <w:t>
   Следует привести утвержденные спецификации, все полученные результаты и ссылки на примененные методы.</w:t>
            </w:r>
          </w:p>
          <w:p>
            <w:pPr>
              <w:spacing w:after="20"/>
              <w:ind w:left="20"/>
              <w:jc w:val="both"/>
            </w:pPr>
            <w:r>
              <w:rPr>
                <w:rFonts w:ascii="Times New Roman"/>
                <w:b w:val="false"/>
                <w:i w:val="false"/>
                <w:color w:val="000000"/>
                <w:sz w:val="20"/>
              </w:rPr>
              <w:t>
   13. Комментарии.</w:t>
            </w:r>
          </w:p>
          <w:p>
            <w:pPr>
              <w:spacing w:after="20"/>
              <w:ind w:left="20"/>
              <w:jc w:val="both"/>
            </w:pPr>
            <w:r>
              <w:rPr>
                <w:rFonts w:ascii="Times New Roman"/>
                <w:b w:val="false"/>
                <w:i w:val="false"/>
                <w:color w:val="000000"/>
                <w:sz w:val="20"/>
              </w:rPr>
              <w:t xml:space="preserve">
   Какая-либо дополнительная информация, которая может быть полезной для импортера и (или) инспектора, подтверждающего соответствие серии, например, специальные условия хранения или транспортирования. </w:t>
            </w:r>
          </w:p>
          <w:p>
            <w:pPr>
              <w:spacing w:after="20"/>
              <w:ind w:left="20"/>
              <w:jc w:val="both"/>
            </w:pPr>
            <w:r>
              <w:rPr>
                <w:rFonts w:ascii="Times New Roman"/>
                <w:b w:val="false"/>
                <w:i w:val="false"/>
                <w:color w:val="000000"/>
                <w:sz w:val="20"/>
              </w:rPr>
              <w:t>
   14. Заявление о сертификации.</w:t>
            </w:r>
          </w:p>
          <w:p>
            <w:pPr>
              <w:spacing w:after="20"/>
              <w:ind w:left="20"/>
              <w:jc w:val="both"/>
            </w:pPr>
            <w:r>
              <w:rPr>
                <w:rFonts w:ascii="Times New Roman"/>
                <w:b w:val="false"/>
                <w:i w:val="false"/>
                <w:color w:val="000000"/>
                <w:sz w:val="20"/>
              </w:rPr>
              <w:t xml:space="preserve">
   Заявление охватывает производство, включая упаковку/маркировку и контроль качества. Необходимо использовать следующий текст: "Настоящим я подтверждаю, что приведенная выше информация является достоверной и точной. Эта серия продукции произведена, включая упаковку и (или) маркировку и контроль качества, на вышеуказанной производственной площадке или площадках в полном соответствии с требованиями Правил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 медицинских изделий, утвержденных в соответствии с пунктом 3 </w:t>
            </w:r>
            <w:r>
              <w:rPr>
                <w:rFonts w:ascii="Times New Roman"/>
                <w:b w:val="false"/>
                <w:i w:val="false"/>
                <w:color w:val="000000"/>
                <w:sz w:val="20"/>
              </w:rPr>
              <w:t>статьи 67</w:t>
            </w:r>
            <w:r>
              <w:rPr>
                <w:rFonts w:ascii="Times New Roman"/>
                <w:b w:val="false"/>
                <w:i w:val="false"/>
                <w:color w:val="000000"/>
                <w:sz w:val="20"/>
              </w:rPr>
              <w:t xml:space="preserve"> Кодекса Республики Казахстан "О здоровье народа и системе здравоохранения", а также в соответствии со спецификациями, содержащимися в регистрационном досье страны-импортера или в досье спецификаций на лекарственный препарат в случае лекарственных препаратов для клинических исследований. Записи по производству, упаковке и анализу проверены и установлено их соответствие требованиям Стандарта надлежащей производственной практики.</w:t>
            </w:r>
          </w:p>
          <w:p>
            <w:pPr>
              <w:spacing w:after="20"/>
              <w:ind w:left="20"/>
              <w:jc w:val="both"/>
            </w:pPr>
            <w:r>
              <w:rPr>
                <w:rFonts w:ascii="Times New Roman"/>
                <w:b w:val="false"/>
                <w:i w:val="false"/>
                <w:color w:val="000000"/>
                <w:sz w:val="20"/>
              </w:rPr>
              <w:t>
   15. Фамилия и должность/звание лица, выдавшего разрешение на выпуск серии.</w:t>
            </w:r>
          </w:p>
          <w:p>
            <w:pPr>
              <w:spacing w:after="20"/>
              <w:ind w:left="20"/>
              <w:jc w:val="both"/>
            </w:pPr>
            <w:r>
              <w:rPr>
                <w:rFonts w:ascii="Times New Roman"/>
                <w:b w:val="false"/>
                <w:i w:val="false"/>
                <w:color w:val="000000"/>
                <w:sz w:val="20"/>
              </w:rPr>
              <w:t>
   Включая название и адрес площадки, если в пункте 10 приведено больше одной площадки.</w:t>
            </w:r>
          </w:p>
          <w:p>
            <w:pPr>
              <w:spacing w:after="20"/>
              <w:ind w:left="20"/>
              <w:jc w:val="both"/>
            </w:pPr>
            <w:r>
              <w:rPr>
                <w:rFonts w:ascii="Times New Roman"/>
                <w:b w:val="false"/>
                <w:i w:val="false"/>
                <w:color w:val="000000"/>
                <w:sz w:val="20"/>
              </w:rPr>
              <w:t>
   16. Подпись лица, выдавшего разрешение на выпуск серии.</w:t>
            </w:r>
          </w:p>
          <w:p>
            <w:pPr>
              <w:spacing w:after="20"/>
              <w:ind w:left="20"/>
              <w:jc w:val="both"/>
            </w:pPr>
            <w:r>
              <w:rPr>
                <w:rFonts w:ascii="Times New Roman"/>
                <w:b w:val="false"/>
                <w:i w:val="false"/>
                <w:color w:val="000000"/>
                <w:sz w:val="20"/>
              </w:rPr>
              <w:t>
   17. Дата подписания.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Словарь эквивалентных терминов, используемых в сертификате</w:t>
            </w:r>
          </w:p>
          <w:p>
            <w:pPr>
              <w:spacing w:after="20"/>
              <w:ind w:left="20"/>
              <w:jc w:val="both"/>
            </w:pPr>
            <w:r>
              <w:rPr>
                <w:rFonts w:ascii="Times New Roman"/>
                <w:b w:val="false"/>
                <w:i w:val="false"/>
                <w:color w:val="000000"/>
                <w:sz w:val="20"/>
              </w:rPr>
              <w:t>
   Действующие вещества = активные фармацевтические субстанции/компоненты (active substances = active pharmaceutical ingredients/constituents).</w:t>
            </w:r>
          </w:p>
          <w:p>
            <w:pPr>
              <w:spacing w:after="20"/>
              <w:ind w:left="20"/>
              <w:jc w:val="both"/>
            </w:pPr>
            <w:r>
              <w:rPr>
                <w:rFonts w:ascii="Times New Roman"/>
                <w:b w:val="false"/>
                <w:i w:val="false"/>
                <w:color w:val="000000"/>
                <w:sz w:val="20"/>
              </w:rPr>
              <w:t>
   Серия = партия (batch = lot).</w:t>
            </w:r>
          </w:p>
          <w:p>
            <w:pPr>
              <w:spacing w:after="20"/>
              <w:ind w:left="20"/>
              <w:jc w:val="both"/>
            </w:pPr>
            <w:r>
              <w:rPr>
                <w:rFonts w:ascii="Times New Roman"/>
                <w:b w:val="false"/>
                <w:i w:val="false"/>
                <w:color w:val="000000"/>
                <w:sz w:val="20"/>
              </w:rPr>
              <w:t>
   Лекарственная форма (dosage form = pharmaceutical form).</w:t>
            </w:r>
          </w:p>
          <w:p>
            <w:pPr>
              <w:spacing w:after="20"/>
              <w:ind w:left="20"/>
              <w:jc w:val="both"/>
            </w:pPr>
            <w:r>
              <w:rPr>
                <w:rFonts w:ascii="Times New Roman"/>
                <w:b w:val="false"/>
                <w:i w:val="false"/>
                <w:color w:val="000000"/>
                <w:sz w:val="20"/>
              </w:rPr>
              <w:t>
   Производитель (manufacturer = fabricator).</w:t>
            </w:r>
          </w:p>
          <w:p>
            <w:pPr>
              <w:spacing w:after="20"/>
              <w:ind w:left="20"/>
              <w:jc w:val="both"/>
            </w:pPr>
            <w:r>
              <w:rPr>
                <w:rFonts w:ascii="Times New Roman"/>
                <w:b w:val="false"/>
                <w:i w:val="false"/>
                <w:color w:val="000000"/>
                <w:sz w:val="20"/>
              </w:rPr>
              <w:t>
   Производство (manufacturing/manufacture = fabrication).</w:t>
            </w:r>
          </w:p>
          <w:p>
            <w:pPr>
              <w:spacing w:after="20"/>
              <w:ind w:left="20"/>
              <w:jc w:val="both"/>
            </w:pPr>
            <w:r>
              <w:rPr>
                <w:rFonts w:ascii="Times New Roman"/>
                <w:b w:val="false"/>
                <w:i w:val="false"/>
                <w:color w:val="000000"/>
                <w:sz w:val="20"/>
              </w:rPr>
              <w:t>
   Лицензия на производство (manufacturing authorisation = establishment license).</w:t>
            </w:r>
          </w:p>
          <w:p>
            <w:pPr>
              <w:spacing w:after="20"/>
              <w:ind w:left="20"/>
              <w:jc w:val="both"/>
            </w:pPr>
            <w:r>
              <w:rPr>
                <w:rFonts w:ascii="Times New Roman"/>
                <w:b w:val="false"/>
                <w:i w:val="false"/>
                <w:color w:val="000000"/>
                <w:sz w:val="20"/>
              </w:rPr>
              <w:t>
   Лекарственное средство (medicinal product = pharmaceutical product = drug product).</w:t>
            </w:r>
          </w:p>
          <w:p>
            <w:pPr>
              <w:spacing w:after="20"/>
              <w:ind w:left="20"/>
              <w:jc w:val="both"/>
            </w:pPr>
            <w:r>
              <w:rPr>
                <w:rFonts w:ascii="Times New Roman"/>
                <w:b w:val="false"/>
                <w:i w:val="false"/>
                <w:color w:val="000000"/>
                <w:sz w:val="20"/>
              </w:rPr>
              <w:t xml:space="preserve">
   Контроль качества = испытания (quality control = testing). </w:t>
            </w:r>
          </w:p>
          <w:p>
            <w:pPr>
              <w:spacing w:after="20"/>
              <w:ind w:left="20"/>
              <w:jc w:val="both"/>
            </w:pPr>
            <w:r>
              <w:rPr>
                <w:rFonts w:ascii="Times New Roman"/>
                <w:b w:val="false"/>
                <w:i w:val="false"/>
                <w:color w:val="000000"/>
                <w:sz w:val="20"/>
              </w:rPr>
              <w:t>
   Данный словарь не является исчерпывающим.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стерильных лекарственных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xml:space="preserve">
   К производству стерильных лекарственных средств предъявляются особые требования для сведения к минимуму риск контаминации микроорганизмами, частицами и пирогенами. При этом многое зависит от квалификации производственного персонала, его обучения и отношения к работе. Особо важное значение имеет обеспечение качества; при производстве стерильных препаратов придерживаются тщательно разработанных и валидированных способов производства и процедур. </w:t>
            </w:r>
          </w:p>
          <w:p>
            <w:pPr>
              <w:spacing w:after="20"/>
              <w:ind w:left="20"/>
              <w:jc w:val="both"/>
            </w:pPr>
            <w:r>
              <w:rPr>
                <w:rFonts w:ascii="Times New Roman"/>
                <w:b w:val="false"/>
                <w:i w:val="false"/>
                <w:color w:val="000000"/>
                <w:sz w:val="20"/>
              </w:rPr>
              <w:t>
   Настоящий Стандарт не устанавливает детальные методы определения чистоты, в том числе воздуха, поверхностей по микроорганизмам и частицам. Дополнительную информацию получают из других нормативных и технических документов. </w:t>
            </w:r>
          </w:p>
          <w:p>
            <w:pPr>
              <w:spacing w:after="20"/>
              <w:ind w:left="20"/>
              <w:jc w:val="both"/>
            </w:pPr>
            <w:r>
              <w:rPr>
                <w:rFonts w:ascii="Times New Roman"/>
                <w:b w:val="false"/>
                <w:i w:val="false"/>
                <w:color w:val="000000"/>
                <w:sz w:val="20"/>
              </w:rPr>
              <w:t>
   </w:t>
            </w:r>
            <w:r>
              <w:rPr>
                <w:rFonts w:ascii="Times New Roman"/>
                <w:b/>
                <w:i w:val="false"/>
                <w:color w:val="000000"/>
                <w:sz w:val="20"/>
              </w:rPr>
              <w:t>Общие требования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Стерильную продукцию производят в чистых зонах, доступ в которые персонала и (или) поступление оборудования, исходного сырья и материалов осуществляется через воздушные шлюзы. В чистых помещениях (зонах) поддерживается уровень чистоты, отвечающий соответствующему стандарту чистоты, в них необходимо подавать воздух, который прошел через фильтры соответствующей эффективности. </w:t>
            </w:r>
          </w:p>
          <w:p>
            <w:pPr>
              <w:spacing w:after="20"/>
              <w:ind w:left="20"/>
              <w:jc w:val="both"/>
            </w:pPr>
            <w:r>
              <w:rPr>
                <w:rFonts w:ascii="Times New Roman"/>
                <w:b w:val="false"/>
                <w:i w:val="false"/>
                <w:color w:val="000000"/>
                <w:sz w:val="20"/>
              </w:rPr>
              <w:t xml:space="preserve">
   2. Различные операции по подготовке компонентов, приготовлению продукции и наполнению осуществляют в отдельных зонах (помещениях) внутри чистой зоны (помещения). Технологические операции делятся на две категории: первая, когда продукцию подвергают финишной стерилизации в первичной упаковке, и вторая, когда операции на нескольких или всех стадиях выполняют в асептических условиях. </w:t>
            </w:r>
          </w:p>
          <w:p>
            <w:pPr>
              <w:spacing w:after="20"/>
              <w:ind w:left="20"/>
              <w:jc w:val="both"/>
            </w:pPr>
            <w:r>
              <w:rPr>
                <w:rFonts w:ascii="Times New Roman"/>
                <w:b w:val="false"/>
                <w:i w:val="false"/>
                <w:color w:val="000000"/>
                <w:sz w:val="20"/>
              </w:rPr>
              <w:t>
   3. Чистые зоны (помещения) для производства стерильной продукции классифицируются в соответствии с требуемыми характеристиками производственной среды. Каждая производственная операция требует определенного уровня чистоты производственной среды в эксплуатируемом состоянии с целью сведения к минимуму риска контаминации частицами или микроорганизмами продукта или обрабатываемого исходного сырья и материалов.</w:t>
            </w:r>
          </w:p>
          <w:p>
            <w:pPr>
              <w:spacing w:after="20"/>
              <w:ind w:left="20"/>
              <w:jc w:val="both"/>
            </w:pPr>
            <w:r>
              <w:rPr>
                <w:rFonts w:ascii="Times New Roman"/>
                <w:b w:val="false"/>
                <w:i w:val="false"/>
                <w:color w:val="000000"/>
                <w:sz w:val="20"/>
              </w:rPr>
              <w:t>
   Для обеспечения соответствия требованиям в "эксплуатируемом" состоянии, эти зоны (помещения) проектируются так, чтобы обеспечить точно определенный уровень чистоты воздуха в "оснащенном" состоянии. "Оснащенное" состояние - состояние, в котором чистое помещение построено и функционирует, технологическое оборудование полностью укомплектовано, но персонал отсутствует. "Эксплуатируемое" состояние - это состояние, при котором чистое помещение и технологическое оборудование функционируют в требуемом режиме с заданным количеством работающего персонала.</w:t>
            </w:r>
          </w:p>
          <w:p>
            <w:pPr>
              <w:spacing w:after="20"/>
              <w:ind w:left="20"/>
              <w:jc w:val="both"/>
            </w:pPr>
            <w:r>
              <w:rPr>
                <w:rFonts w:ascii="Times New Roman"/>
                <w:b w:val="false"/>
                <w:i w:val="false"/>
                <w:color w:val="000000"/>
                <w:sz w:val="20"/>
              </w:rPr>
              <w:t>
   Требования к "оснащенному" и "эксплуатируемому" состоянию устанавливаются для каждого чистого помещения или комплекса чистых помещений.</w:t>
            </w:r>
          </w:p>
          <w:p>
            <w:pPr>
              <w:spacing w:after="20"/>
              <w:ind w:left="20"/>
              <w:jc w:val="both"/>
            </w:pPr>
            <w:r>
              <w:rPr>
                <w:rFonts w:ascii="Times New Roman"/>
                <w:b w:val="false"/>
                <w:i w:val="false"/>
                <w:color w:val="000000"/>
                <w:sz w:val="20"/>
              </w:rPr>
              <w:t>
   Чистые зоны (помещения) при производстве стерильных лекарственных средств подразделяются на четыре класса.</w:t>
            </w:r>
          </w:p>
          <w:p>
            <w:pPr>
              <w:spacing w:after="20"/>
              <w:ind w:left="20"/>
              <w:jc w:val="both"/>
            </w:pPr>
            <w:r>
              <w:rPr>
                <w:rFonts w:ascii="Times New Roman"/>
                <w:b w:val="false"/>
                <w:i w:val="false"/>
                <w:color w:val="000000"/>
                <w:sz w:val="20"/>
              </w:rPr>
              <w:t>
   Класс A - локальная зона для проведения операций, представляющих высокий риск для качества продукции, такие как зоны наполнения, укупорки; зоны, где ампулы и флаконы находятся в открытом состоянии и выполняются соединения частей оборудования в асептических условиях. Такие условия обеспечиваются ламинарным потоком воздуха на рабочем месте. Системы ламинарного потока воздуха обеспечивают равномерную скорость воздуха в диапазоне 0,36-0,54 м/с в рабочей зоне открытого чистого помещения. Поддержание ламинарности доказывается и валидируется. В закрытых изоляторах и боксах с перчатками допускается использовать однонаправленный поток воздуха с меньшими скоростями.</w:t>
            </w:r>
          </w:p>
          <w:p>
            <w:pPr>
              <w:spacing w:after="20"/>
              <w:ind w:left="20"/>
              <w:jc w:val="both"/>
            </w:pPr>
            <w:r>
              <w:rPr>
                <w:rFonts w:ascii="Times New Roman"/>
                <w:b w:val="false"/>
                <w:i w:val="false"/>
                <w:color w:val="000000"/>
                <w:sz w:val="20"/>
              </w:rPr>
              <w:t>
   Класс B - зона, непосредственно окружающая зону класса A, предназначенную для асептического приготовления и наполнения.</w:t>
            </w:r>
          </w:p>
          <w:p>
            <w:pPr>
              <w:spacing w:after="20"/>
              <w:ind w:left="20"/>
              <w:jc w:val="both"/>
            </w:pPr>
            <w:r>
              <w:rPr>
                <w:rFonts w:ascii="Times New Roman"/>
                <w:b w:val="false"/>
                <w:i w:val="false"/>
                <w:color w:val="000000"/>
                <w:sz w:val="20"/>
              </w:rPr>
              <w:t>
   Классы C и D - чистые зоны для выполнения менее критичных стадий производства стерильной продукции. </w:t>
            </w:r>
          </w:p>
          <w:p>
            <w:pPr>
              <w:spacing w:after="20"/>
              <w:ind w:left="20"/>
              <w:jc w:val="both"/>
            </w:pPr>
            <w:r>
              <w:rPr>
                <w:rFonts w:ascii="Times New Roman"/>
                <w:b w:val="false"/>
                <w:i w:val="false"/>
                <w:color w:val="000000"/>
                <w:sz w:val="20"/>
              </w:rPr>
              <w:t>
   </w:t>
            </w:r>
            <w:r>
              <w:rPr>
                <w:rFonts w:ascii="Times New Roman"/>
                <w:b/>
                <w:i w:val="false"/>
                <w:color w:val="000000"/>
                <w:sz w:val="20"/>
              </w:rPr>
              <w:t>Классификация чистых помещений и чистых зон</w:t>
            </w:r>
          </w:p>
          <w:p>
            <w:pPr>
              <w:spacing w:after="20"/>
              <w:ind w:left="20"/>
              <w:jc w:val="both"/>
            </w:pPr>
            <w:r>
              <w:rPr>
                <w:rFonts w:ascii="Times New Roman"/>
                <w:b w:val="false"/>
                <w:i w:val="false"/>
                <w:color w:val="000000"/>
                <w:sz w:val="20"/>
              </w:rPr>
              <w:t>
   4. Чистые помещения и чистые зоны классифицируются по ГОСТ ИСО 14644-1. Подтверждение класса чистоты четко отделяется от мониторинга производственной среды при проведении процесса. Максимально допустимая концентрация аэрозольных частиц для каждого класса приведена в таблице.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3335"/>
              <w:gridCol w:w="2388"/>
              <w:gridCol w:w="3336"/>
              <w:gridCol w:w="2390"/>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число частиц в 1 куб. м воздуха при размере частиц, равном или большем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оснащенном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эксплуатируемом состоянии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мкм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мкм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мкм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мкм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3 520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3 520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3 520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352 000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352 000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3 520 000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29 000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3 520 000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29 000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регламентируется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регламентируется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Для подтверждения соответствия классу А минимальный объем отбираемой пробы воздуха составляет не менее 1м</w:t>
            </w:r>
            <w:r>
              <w:rPr>
                <w:rFonts w:ascii="Times New Roman"/>
                <w:b w:val="false"/>
                <w:i w:val="false"/>
                <w:color w:val="000000"/>
                <w:vertAlign w:val="superscript"/>
              </w:rPr>
              <w:t>3</w:t>
            </w:r>
            <w:r>
              <w:rPr>
                <w:rFonts w:ascii="Times New Roman"/>
                <w:b w:val="false"/>
                <w:i w:val="false"/>
                <w:color w:val="000000"/>
                <w:sz w:val="20"/>
              </w:rPr>
              <w:t xml:space="preserve"> для каждой точки отбора проб. Класс А соответствует классу ИСО 4.8 по показателю предельного количества частиц в воздухе размером </w:t>
            </w:r>
            <w:r>
              <w:rPr>
                <w:rFonts w:ascii="Times New Roman"/>
                <w:b w:val="false"/>
                <w:i w:val="false"/>
                <w:color w:val="000000"/>
                <w:sz w:val="20"/>
                <w:u w:val="single"/>
              </w:rPr>
              <w:t>&gt;</w:t>
            </w:r>
            <w:r>
              <w:rPr>
                <w:rFonts w:ascii="Times New Roman"/>
                <w:b w:val="false"/>
                <w:i w:val="false"/>
                <w:color w:val="000000"/>
                <w:sz w:val="20"/>
              </w:rPr>
              <w:t xml:space="preserve"> 5,0 мкм. Класс B (в оснащенном состоянии) по количеству аэрозольных частиц соответствует классу ИСО 5 по количеству частиц обоих указанных размеров. Класс C (в оснащенном и эксплуатируемом состояниях) по количеству аэрозольных частиц соответствует классу ИСО 7 и ИСО 8 соответственно. Класс D (в оснащенном состоянии) по количеству аэрозольных частиц соответствует классу ИСО 8. Для подтверждения класса в стандарте ГОСТ ИСО 14644-1 установлена методика, в которой регламентированы как минимальное количество точек для отбора проб, так и объем пробы с учетом пределов данного класса для количества частиц наибольшего из указанных размеров, а также метод оценки полученных данных.</w:t>
            </w:r>
          </w:p>
          <w:p>
            <w:pPr>
              <w:spacing w:after="20"/>
              <w:ind w:left="20"/>
              <w:jc w:val="both"/>
            </w:pPr>
            <w:r>
              <w:rPr>
                <w:rFonts w:ascii="Times New Roman"/>
                <w:b w:val="false"/>
                <w:i w:val="false"/>
                <w:color w:val="000000"/>
                <w:sz w:val="20"/>
              </w:rPr>
              <w:t xml:space="preserve">
   6. Для подтверждения класса следует использовать портативные счетчики частиц с короткими трубками для отбора проб из-за относительно высокого уровня осаждения частиц размером </w:t>
            </w:r>
            <w:r>
              <w:rPr>
                <w:rFonts w:ascii="Times New Roman"/>
                <w:b w:val="false"/>
                <w:i w:val="false"/>
                <w:color w:val="000000"/>
                <w:sz w:val="20"/>
                <w:u w:val="single"/>
              </w:rPr>
              <w:t>&gt;</w:t>
            </w:r>
            <w:r>
              <w:rPr>
                <w:rFonts w:ascii="Times New Roman"/>
                <w:b w:val="false"/>
                <w:i w:val="false"/>
                <w:color w:val="000000"/>
                <w:sz w:val="20"/>
              </w:rPr>
              <w:t xml:space="preserve"> 5,0 мкм в дистанционных системах для отбора проб с длинными трубками. В случае систем однонаправленного потока воздуха следует использовать изокинетические насадки для отбора проб.</w:t>
            </w:r>
          </w:p>
          <w:p>
            <w:pPr>
              <w:spacing w:after="20"/>
              <w:ind w:left="20"/>
              <w:jc w:val="both"/>
            </w:pPr>
            <w:r>
              <w:rPr>
                <w:rFonts w:ascii="Times New Roman"/>
                <w:b w:val="false"/>
                <w:i w:val="false"/>
                <w:color w:val="000000"/>
                <w:sz w:val="20"/>
              </w:rPr>
              <w:t>
   7. Подтверждение класса в эксплуатируемом состоянии проводят во время работы или при моделировании рабочих операций, или при наполнении питательными средами, как того требует моделирование "наихудшего случая". Указания по проведению испытаний для подтверждения постоянного соответствия заданному классу чистоты приведены в стандарте ISO 14644-2. </w:t>
            </w:r>
          </w:p>
          <w:p>
            <w:pPr>
              <w:spacing w:after="20"/>
              <w:ind w:left="20"/>
              <w:jc w:val="both"/>
            </w:pPr>
            <w:r>
              <w:rPr>
                <w:rFonts w:ascii="Times New Roman"/>
                <w:b w:val="false"/>
                <w:i w:val="false"/>
                <w:color w:val="000000"/>
                <w:sz w:val="20"/>
              </w:rPr>
              <w:t>
   </w:t>
            </w:r>
            <w:r>
              <w:rPr>
                <w:rFonts w:ascii="Times New Roman"/>
                <w:b/>
                <w:i w:val="false"/>
                <w:color w:val="000000"/>
                <w:sz w:val="20"/>
              </w:rPr>
              <w:t>Мониторинг чистых помещений и чистых зон</w:t>
            </w:r>
          </w:p>
          <w:p>
            <w:pPr>
              <w:spacing w:after="20"/>
              <w:ind w:left="20"/>
              <w:jc w:val="both"/>
            </w:pPr>
            <w:r>
              <w:rPr>
                <w:rFonts w:ascii="Times New Roman"/>
                <w:b w:val="false"/>
                <w:i w:val="false"/>
                <w:color w:val="000000"/>
                <w:sz w:val="20"/>
              </w:rPr>
              <w:t>
   8. Проводится текущий мониторинг чистых помещений и чистых зон в период их эксплуатации. Точки отбора проб для текущего мониторинга выбирают на основе анализа рисков и результатов, полученных при классификации чистых помещений и (или) чистых зон.</w:t>
            </w:r>
          </w:p>
          <w:p>
            <w:pPr>
              <w:spacing w:after="20"/>
              <w:ind w:left="20"/>
              <w:jc w:val="both"/>
            </w:pPr>
            <w:r>
              <w:rPr>
                <w:rFonts w:ascii="Times New Roman"/>
                <w:b w:val="false"/>
                <w:i w:val="false"/>
                <w:color w:val="000000"/>
                <w:sz w:val="20"/>
              </w:rPr>
              <w:t xml:space="preserve">
   9. Для зон класса А мониторинг частиц проводится непрерывно на всем протяжении критического процесса, включая сборку оборудования. При надлежащем обосновании исключение составляют процессы с применением загрязняющих веществ, которые могут повредить счетчик частиц или представлять собой опасность, например, живые организмы или радиоактивные вещества. В таких случаях мониторинг осуществляют во время обычных операций по настройке оборудования до момента появления риска. Также проводится мониторинг во время моделирования операций. В зонах класса А проводится мониторинг с такой частотой и при таком объеме отбираемых проб, чтобы зафиксировать все вмешательства, случайные события и любые повреждения системы, а в случае выхода за предел предупреждения - поднять тревогу. Признано, что не всегда возможно продемонстрировать низкие уровни частиц размером </w:t>
            </w:r>
            <w:r>
              <w:rPr>
                <w:rFonts w:ascii="Times New Roman"/>
                <w:b w:val="false"/>
                <w:i w:val="false"/>
                <w:color w:val="000000"/>
                <w:sz w:val="20"/>
                <w:u w:val="single"/>
              </w:rPr>
              <w:t>&gt;</w:t>
            </w:r>
            <w:r>
              <w:rPr>
                <w:rFonts w:ascii="Times New Roman"/>
                <w:b w:val="false"/>
                <w:i w:val="false"/>
                <w:color w:val="000000"/>
                <w:sz w:val="20"/>
              </w:rPr>
              <w:t xml:space="preserve"> 5,0 мкм непосредственно в месте наполнения в процессе наполнения из-за образования частиц или капель из самого продукта.</w:t>
            </w:r>
          </w:p>
          <w:p>
            <w:pPr>
              <w:spacing w:after="20"/>
              <w:ind w:left="20"/>
              <w:jc w:val="both"/>
            </w:pPr>
            <w:r>
              <w:rPr>
                <w:rFonts w:ascii="Times New Roman"/>
                <w:b w:val="false"/>
                <w:i w:val="false"/>
                <w:color w:val="000000"/>
                <w:sz w:val="20"/>
              </w:rPr>
              <w:t>
   10. Рекомендуется, чтобы такая же система применялась для зон класса В, хотя частота отбора проб может быть меньшей. Важность системы мониторинга частиц определяется эффективностью разделения между расположенными рядом зонами классов А и В. В зонах класса В проводится мониторинг с такой частотой и соответствующим объемом отбираемых проб, чтобы зафиксировать изменения уровня контаминации и любые ухудшения работы системы, а в случае выхода за уровень тревоги - принять экстренные меры.</w:t>
            </w:r>
          </w:p>
          <w:p>
            <w:pPr>
              <w:spacing w:after="20"/>
              <w:ind w:left="20"/>
              <w:jc w:val="both"/>
            </w:pPr>
            <w:r>
              <w:rPr>
                <w:rFonts w:ascii="Times New Roman"/>
                <w:b w:val="false"/>
                <w:i w:val="false"/>
                <w:color w:val="000000"/>
                <w:sz w:val="20"/>
              </w:rPr>
              <w:t>
   11. Системы мониторинга аэрозольных частиц могут состоять из независимых счетчиков частиц, из системы последовательно расположенных точек отбора проб, присоединенных трубопроводом к одному счетчику частиц, или объединять эти два подхода. При выборе систем контроля учитывают требования к размерам частиц. При использовании удаленных систем отбора проб учитывают длину трубок и радиусы изгибов трубок с учетом возможности оседания частиц в трубках. При выборе системы мониторинга также учитывать любой риск, исходящий от материалов, используемых в технологическом процессе, например, наличие живых микроорганизмов или радиоактивных лекарственных препаратов.</w:t>
            </w:r>
          </w:p>
          <w:p>
            <w:pPr>
              <w:spacing w:after="20"/>
              <w:ind w:left="20"/>
              <w:jc w:val="both"/>
            </w:pPr>
            <w:r>
              <w:rPr>
                <w:rFonts w:ascii="Times New Roman"/>
                <w:b w:val="false"/>
                <w:i w:val="false"/>
                <w:color w:val="000000"/>
                <w:sz w:val="20"/>
              </w:rPr>
              <w:t>
   12. При использовании автоматизированной системы текущего мониторинга объем проб зависит от скорости отбора проб используемой системы. Объем проб при текущем мониторинге отличается от объема проб при проведении квалификации чистых помещений и чистых зон.</w:t>
            </w:r>
          </w:p>
          <w:p>
            <w:pPr>
              <w:spacing w:after="20"/>
              <w:ind w:left="20"/>
              <w:jc w:val="both"/>
            </w:pPr>
            <w:r>
              <w:rPr>
                <w:rFonts w:ascii="Times New Roman"/>
                <w:b w:val="false"/>
                <w:i w:val="false"/>
                <w:color w:val="000000"/>
                <w:sz w:val="20"/>
              </w:rPr>
              <w:t xml:space="preserve">
   13. В зонах класса А и В мониторинг концентрации частиц размером </w:t>
            </w:r>
            <w:r>
              <w:rPr>
                <w:rFonts w:ascii="Times New Roman"/>
                <w:b w:val="false"/>
                <w:i w:val="false"/>
                <w:color w:val="000000"/>
                <w:sz w:val="20"/>
                <w:u w:val="single"/>
              </w:rPr>
              <w:t>&gt;</w:t>
            </w:r>
            <w:r>
              <w:rPr>
                <w:rFonts w:ascii="Times New Roman"/>
                <w:b w:val="false"/>
                <w:i w:val="false"/>
                <w:color w:val="000000"/>
                <w:sz w:val="20"/>
              </w:rPr>
              <w:t xml:space="preserve"> 5.0 мкм имеет особое значение, поскольку это является важным инструментом диагностики для раннего выявления несоответствия. Иногда показатели количества частиц размером </w:t>
            </w:r>
            <w:r>
              <w:rPr>
                <w:rFonts w:ascii="Times New Roman"/>
                <w:b w:val="false"/>
                <w:i w:val="false"/>
                <w:color w:val="000000"/>
                <w:sz w:val="20"/>
                <w:u w:val="single"/>
              </w:rPr>
              <w:t>&gt;</w:t>
            </w:r>
            <w:r>
              <w:rPr>
                <w:rFonts w:ascii="Times New Roman"/>
                <w:b w:val="false"/>
                <w:i w:val="false"/>
                <w:color w:val="000000"/>
                <w:sz w:val="20"/>
              </w:rPr>
              <w:t xml:space="preserve"> 5.0 мкм могут быть ошибочными из-за электронного шума, постороннего света, случайного стечения обстоятельств и т.п. Однако если счетчик последовательно и систематически регистрирует малое число частиц, то это указывает на возможность контаминации, что требует расследования. Такие случаи могут заблаговременно указывать на неисправность системы вентиляции и кондиционирования, установки наполнения или свидетельствовать о нарушении правил во время наладки оборудования или его эксплуатации.</w:t>
            </w:r>
          </w:p>
          <w:p>
            <w:pPr>
              <w:spacing w:after="20"/>
              <w:ind w:left="20"/>
              <w:jc w:val="both"/>
            </w:pPr>
            <w:r>
              <w:rPr>
                <w:rFonts w:ascii="Times New Roman"/>
                <w:b w:val="false"/>
                <w:i w:val="false"/>
                <w:color w:val="000000"/>
                <w:sz w:val="20"/>
              </w:rPr>
              <w:t>
   14. Допустимое количество частиц для оснащенного состояния, указанное в таблице, достигается после короткого периода восстановления 15-20 мин (нормативное значение) при отсутствии персонала после завершения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0009"/>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Примеры операций для продукции, подлежащей финишной </w:t>
                  </w:r>
                </w:p>
                <w:p>
                  <w:pPr>
                    <w:spacing w:after="20"/>
                    <w:ind w:left="20"/>
                    <w:jc w:val="both"/>
                  </w:pPr>
                  <w:r>
                    <w:rPr>
                      <w:rFonts w:ascii="Times New Roman"/>
                      <w:b w:val="false"/>
                      <w:i w:val="false"/>
                      <w:color w:val="000000"/>
                      <w:sz w:val="20"/>
                    </w:rPr>
                    <w:t xml:space="preserve">
стерилизации (см. пункты 28-30 данного Приложения)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продукции, которую нельзя подвергать риску контаминации</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Приготовление растворов, которые нельзя подвергать риску контаминации. Наполнение продукции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и подготовка первичной упаковки, материалов для последующего наполнения</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Мониторинг зон класса C и D в эксплуатируемом состоянии следует осуществлять в соответствии с принципами управления рисками для качества. Требования к уровню тревоги и уровню действия будут зависеть от характера выполняемых операций, однако достигается рекомендованное значение "периода восстановления".</w:t>
            </w:r>
          </w:p>
          <w:p>
            <w:pPr>
              <w:spacing w:after="20"/>
              <w:ind w:left="20"/>
              <w:jc w:val="both"/>
            </w:pPr>
            <w:r>
              <w:rPr>
                <w:rFonts w:ascii="Times New Roman"/>
                <w:b w:val="false"/>
                <w:i w:val="false"/>
                <w:color w:val="000000"/>
                <w:sz w:val="20"/>
              </w:rPr>
              <w:t>
   16. Другие показатели, такие как температура и относительная влажность, зависят от продукции и характера выполняемых операций. Эти параметры не влияют на установленные нормативы чистоты.</w:t>
            </w:r>
          </w:p>
          <w:p>
            <w:pPr>
              <w:spacing w:after="20"/>
              <w:ind w:left="20"/>
              <w:jc w:val="both"/>
            </w:pPr>
            <w:r>
              <w:rPr>
                <w:rFonts w:ascii="Times New Roman"/>
                <w:b w:val="false"/>
                <w:i w:val="false"/>
                <w:color w:val="000000"/>
                <w:sz w:val="20"/>
              </w:rPr>
              <w:t>
   17. Примеры операций, которые следует выполнять в зонах с разными классами чистоты, приведены ниже в таблице (см. также пункты 28-35 данного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9909"/>
            </w:tblGrid>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операций для приготовления в асептических условиях</w:t>
                  </w:r>
                </w:p>
                <w:p>
                  <w:pPr>
                    <w:spacing w:after="20"/>
                    <w:ind w:left="20"/>
                    <w:jc w:val="both"/>
                  </w:pPr>
                  <w:r>
                    <w:rPr>
                      <w:rFonts w:ascii="Times New Roman"/>
                      <w:b w:val="false"/>
                      <w:i w:val="false"/>
                      <w:color w:val="000000"/>
                      <w:sz w:val="20"/>
                    </w:rPr>
                    <w:t>
(см. пункты 31-35 данного Приложения)</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Асептическое приготовление и наполнение</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Приготовление растворов, подлежащих фильтрации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с материалами после мойки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18. При выполнении асептических процессов необходимо часто проводить микробиологический мониторинг с использованием седиментационного и аспирационного методов отбора проб воздуха, отбора проб с поверхностей методом смывов тампоном и с использованием контактных пластин. Методы отбора проб, используемые в эксплуатируемом состоянии, не наносят вред защите зоны. Результаты мониторинга следует учитывать при проведении обзора записей производства серии (досье на серию) для выдачи разрешения на выпуск готовой продукции. После выполнения критических операций следует проводить мониторинг поверхностей и персонала. Следует также проводить дополнительный микробиологический мониторинг вне технологического процесса, например, после валидации систем, очистки и дезинфекции.</w:t>
            </w:r>
          </w:p>
          <w:p>
            <w:pPr>
              <w:spacing w:after="20"/>
              <w:ind w:left="20"/>
              <w:jc w:val="both"/>
            </w:pPr>
            <w:r>
              <w:rPr>
                <w:rFonts w:ascii="Times New Roman"/>
                <w:b w:val="false"/>
                <w:i w:val="false"/>
                <w:color w:val="000000"/>
                <w:sz w:val="20"/>
              </w:rPr>
              <w:t>
   19. Рекомендуемые пределы при микробиологическом мониторинге чистых зон в эксплуатируемом состоянии приведены в таблице.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937"/>
              <w:gridCol w:w="4916"/>
              <w:gridCol w:w="2193"/>
              <w:gridCol w:w="2110"/>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пределы микробной контаминации (1)</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воздухе, </w:t>
                  </w:r>
                </w:p>
                <w:p>
                  <w:pPr>
                    <w:spacing w:after="20"/>
                    <w:ind w:left="20"/>
                    <w:jc w:val="both"/>
                  </w:pPr>
                  <w:r>
                    <w:rPr>
                      <w:rFonts w:ascii="Times New Roman"/>
                      <w:b w:val="false"/>
                      <w:i w:val="false"/>
                      <w:color w:val="000000"/>
                      <w:sz w:val="20"/>
                    </w:rPr>
                    <w:t>
КОЕ/куб. м</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Седиментация на </w:t>
                  </w:r>
                </w:p>
                <w:p>
                  <w:pPr>
                    <w:spacing w:after="20"/>
                    <w:ind w:left="20"/>
                    <w:jc w:val="both"/>
                  </w:pPr>
                  <w:r>
                    <w:rPr>
                      <w:rFonts w:ascii="Times New Roman"/>
                      <w:b w:val="false"/>
                      <w:i w:val="false"/>
                      <w:color w:val="000000"/>
                      <w:sz w:val="20"/>
                    </w:rPr>
                    <w:t xml:space="preserve">
чашку диаметром </w:t>
                  </w:r>
                </w:p>
                <w:p>
                  <w:pPr>
                    <w:spacing w:after="20"/>
                    <w:ind w:left="20"/>
                    <w:jc w:val="both"/>
                  </w:pPr>
                  <w:r>
                    <w:rPr>
                      <w:rFonts w:ascii="Times New Roman"/>
                      <w:b w:val="false"/>
                      <w:i w:val="false"/>
                      <w:color w:val="000000"/>
                      <w:sz w:val="20"/>
                    </w:rPr>
                    <w:t>
90 мм, КОЕ за 4 ч (2)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пластины </w:t>
                  </w:r>
                </w:p>
                <w:p>
                  <w:pPr>
                    <w:spacing w:after="20"/>
                    <w:ind w:left="20"/>
                    <w:jc w:val="both"/>
                  </w:pPr>
                  <w:r>
                    <w:rPr>
                      <w:rFonts w:ascii="Times New Roman"/>
                      <w:b w:val="false"/>
                      <w:i w:val="false"/>
                      <w:color w:val="000000"/>
                      <w:sz w:val="20"/>
                    </w:rPr>
                    <w:t xml:space="preserve">
диаметром 55 мм, </w:t>
                  </w:r>
                </w:p>
                <w:p>
                  <w:pPr>
                    <w:spacing w:after="20"/>
                    <w:ind w:left="20"/>
                    <w:jc w:val="both"/>
                  </w:pPr>
                  <w:r>
                    <w:rPr>
                      <w:rFonts w:ascii="Times New Roman"/>
                      <w:b w:val="false"/>
                      <w:i w:val="false"/>
                      <w:color w:val="000000"/>
                      <w:sz w:val="20"/>
                    </w:rPr>
                    <w:t>
КОЕ/пластина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Отпечаток перчатки </w:t>
                  </w:r>
                </w:p>
                <w:p>
                  <w:pPr>
                    <w:spacing w:after="20"/>
                    <w:ind w:left="20"/>
                    <w:jc w:val="both"/>
                  </w:pPr>
                  <w:r>
                    <w:rPr>
                      <w:rFonts w:ascii="Times New Roman"/>
                      <w:b w:val="false"/>
                      <w:i w:val="false"/>
                      <w:color w:val="000000"/>
                      <w:sz w:val="20"/>
                    </w:rPr>
                    <w:t xml:space="preserve">
(5 пальцев), </w:t>
                  </w:r>
                </w:p>
                <w:p>
                  <w:pPr>
                    <w:spacing w:after="20"/>
                    <w:ind w:left="20"/>
                    <w:jc w:val="both"/>
                  </w:pPr>
                  <w:r>
                    <w:rPr>
                      <w:rFonts w:ascii="Times New Roman"/>
                      <w:b w:val="false"/>
                      <w:i w:val="false"/>
                      <w:color w:val="000000"/>
                      <w:sz w:val="20"/>
                    </w:rPr>
                    <w:t>
КОЕ/перчатка</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p>
                  <w:pPr>
                    <w:spacing w:after="20"/>
                    <w:ind w:left="20"/>
                    <w:jc w:val="both"/>
                  </w:pPr>
                  <w:r>
                    <w:rPr>
                      <w:rFonts w:ascii="Times New Roman"/>
                      <w:b w:val="false"/>
                      <w:i w:val="false"/>
                      <w:color w:val="000000"/>
                      <w:sz w:val="20"/>
                    </w:rPr>
                    <w:t xml:space="preserve">
   (1) Приведены средние значения. </w:t>
                  </w:r>
                </w:p>
                <w:p>
                  <w:pPr>
                    <w:spacing w:after="20"/>
                    <w:ind w:left="20"/>
                    <w:jc w:val="both"/>
                  </w:pPr>
                  <w:r>
                    <w:rPr>
                      <w:rFonts w:ascii="Times New Roman"/>
                      <w:b w:val="false"/>
                      <w:i w:val="false"/>
                      <w:color w:val="000000"/>
                      <w:sz w:val="20"/>
                    </w:rPr>
                    <w:t>
   (2) Отдельные пластины для седиментации могут экспонироваться менее 4 часов.</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 По результатам мониторинга частиц и микроорганизмов устанавливаются соответствующие пределы: уровень тревоги и уровень действия. В операционных процедурах описываются корректирующие действия в случае превышения этих пределов.</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
        <w:gridCol w:w="12177"/>
        <w:gridCol w:w="62"/>
      </w:tblGrid>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Изолирующая технология</w:t>
            </w:r>
          </w:p>
          <w:p>
            <w:pPr>
              <w:spacing w:after="20"/>
              <w:ind w:left="20"/>
              <w:jc w:val="both"/>
            </w:pPr>
            <w:r>
              <w:rPr>
                <w:rFonts w:ascii="Times New Roman"/>
                <w:b w:val="false"/>
                <w:i w:val="false"/>
                <w:color w:val="000000"/>
                <w:sz w:val="20"/>
              </w:rPr>
              <w:t>
   21. Использование изолирующей технологии сводит к минимуму вмешательство человека в производственных зонах, в результате чего значительно снижается риск микробной контаминации продукции, произведенной в асептических условиях, из производственной среды. Существует много типов изоляторов и передаточных устройств. Изолятор и его комплектующие конструируются таким образом, чтобы в соответствующей зоне обеспечивалось необходимое качество воздуха. Изоляторы, изготовленные из разных материалов, в большей или меньшей степени подвержены повреждению изоляции и разгерметизации. Передаточные устройства могут быть разными: от конструкций с одинарной или двойной дверью до полностью герметизированных систем, включающих устройства для стерилизации.</w:t>
            </w:r>
          </w:p>
          <w:p>
            <w:pPr>
              <w:spacing w:after="20"/>
              <w:ind w:left="20"/>
              <w:jc w:val="both"/>
            </w:pPr>
            <w:r>
              <w:rPr>
                <w:rFonts w:ascii="Times New Roman"/>
                <w:b w:val="false"/>
                <w:i w:val="false"/>
                <w:color w:val="000000"/>
                <w:sz w:val="20"/>
              </w:rPr>
              <w:t>
   22. Передача материалов внутрь и наружу изолятора является одним из самых больших потенциальных источников контаминации. Обычно пространство внутри изолятора является ограниченной зоной для проведения операций, представляющих высокие риски для качества продукции. В то же время допускается, что в рабочей зоне всех таких устройств может отсутствовать ламинарный поток воздуха.</w:t>
            </w:r>
          </w:p>
          <w:p>
            <w:pPr>
              <w:spacing w:after="20"/>
              <w:ind w:left="20"/>
              <w:jc w:val="both"/>
            </w:pPr>
            <w:r>
              <w:rPr>
                <w:rFonts w:ascii="Times New Roman"/>
                <w:b w:val="false"/>
                <w:i w:val="false"/>
                <w:color w:val="000000"/>
                <w:sz w:val="20"/>
              </w:rPr>
              <w:t>
   23. Требования к чистоте воздуха в среде, окружающей изолятор, зависят от конструкции изолятора и его назначения. Чистоту этой среды следует контролировать, и для асептического производства она соответствует, по крайней мере, классу чистоты D.</w:t>
            </w:r>
          </w:p>
          <w:p>
            <w:pPr>
              <w:spacing w:after="20"/>
              <w:ind w:left="20"/>
              <w:jc w:val="both"/>
            </w:pPr>
            <w:r>
              <w:rPr>
                <w:rFonts w:ascii="Times New Roman"/>
                <w:b w:val="false"/>
                <w:i w:val="false"/>
                <w:color w:val="000000"/>
                <w:sz w:val="20"/>
              </w:rPr>
              <w:t>
   24. Изоляторы могут быть введены в эксплуатацию только после проведения соответствующей валидации. Валидация учитывает все критические факторы изолирующей технологии, например, качество воздуха внутри и снаружи изолятора, порядок дезинфекции изолятора, процессы передачи и целостность изолятора.</w:t>
            </w:r>
          </w:p>
          <w:p>
            <w:pPr>
              <w:spacing w:after="20"/>
              <w:ind w:left="20"/>
              <w:jc w:val="both"/>
            </w:pPr>
            <w:r>
              <w:rPr>
                <w:rFonts w:ascii="Times New Roman"/>
                <w:b w:val="false"/>
                <w:i w:val="false"/>
                <w:color w:val="000000"/>
                <w:sz w:val="20"/>
              </w:rPr>
              <w:t>
   25. Необходимо проводить непрерывный мониторинг, включающий в себя частые испытания герметичности изолятора и узлов "перчатки – рукава".</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Технология "выдувания/наполнения/герметизации"</w:t>
            </w:r>
          </w:p>
          <w:p>
            <w:pPr>
              <w:spacing w:after="20"/>
              <w:ind w:left="20"/>
              <w:jc w:val="both"/>
            </w:pPr>
            <w:r>
              <w:rPr>
                <w:rFonts w:ascii="Times New Roman"/>
                <w:b w:val="false"/>
                <w:i w:val="false"/>
                <w:color w:val="000000"/>
                <w:sz w:val="20"/>
              </w:rPr>
              <w:t xml:space="preserve">
   26. Устройство "выдувание/наполнение/герметизация" представляет собой устройство специальной конструкции, где в одном автоматическом комплексе в течение одного непрерывного технологического цикла из термопластичного гранулята формируются упаковки, которые наполняются продуктом и герметизируются. Устройство "выдувание /наполнение/герметизация", используемое в асептическом производстве и имеющее зону класса A с эффективным потоком воздуха, может быть установлено, по крайней мере, в зоне класса C при условии использования одежды, применяемой в зонах для классов A/B. Производственная среда в оснащенном состоянии соответствовует установленным нормативам по частицам и микроорганизмам, а в эксплуатируемом состоянии - только по микроорганизмам. Устройство "выдувание/наполнение/герметизация", используемое в производстве продукции, подлежащей финишной стерилизации, устанавливается, по крайней мере, в зоне класса D. </w:t>
            </w:r>
          </w:p>
          <w:p>
            <w:pPr>
              <w:spacing w:after="20"/>
              <w:ind w:left="20"/>
              <w:jc w:val="both"/>
            </w:pPr>
            <w:r>
              <w:rPr>
                <w:rFonts w:ascii="Times New Roman"/>
                <w:b w:val="false"/>
                <w:i w:val="false"/>
                <w:color w:val="000000"/>
                <w:sz w:val="20"/>
              </w:rPr>
              <w:t>
   27. Учитывая особенности этой технологии, следует обратить особое внимание на:</w:t>
            </w:r>
          </w:p>
          <w:p>
            <w:pPr>
              <w:spacing w:after="20"/>
              <w:ind w:left="20"/>
              <w:jc w:val="both"/>
            </w:pPr>
            <w:r>
              <w:rPr>
                <w:rFonts w:ascii="Times New Roman"/>
                <w:b w:val="false"/>
                <w:i w:val="false"/>
                <w:color w:val="000000"/>
                <w:sz w:val="20"/>
              </w:rPr>
              <w:t>
   конструкцию и квалификацию оборудования;</w:t>
            </w:r>
          </w:p>
          <w:p>
            <w:pPr>
              <w:spacing w:after="20"/>
              <w:ind w:left="20"/>
              <w:jc w:val="both"/>
            </w:pPr>
            <w:r>
              <w:rPr>
                <w:rFonts w:ascii="Times New Roman"/>
                <w:b w:val="false"/>
                <w:i w:val="false"/>
                <w:color w:val="000000"/>
                <w:sz w:val="20"/>
              </w:rPr>
              <w:t>
   валидацию и воспроизводимость процессов "очистка на месте" и "стерилизация на месте";</w:t>
            </w:r>
          </w:p>
          <w:p>
            <w:pPr>
              <w:spacing w:after="20"/>
              <w:ind w:left="20"/>
              <w:jc w:val="both"/>
            </w:pPr>
            <w:r>
              <w:rPr>
                <w:rFonts w:ascii="Times New Roman"/>
                <w:b w:val="false"/>
                <w:i w:val="false"/>
                <w:color w:val="000000"/>
                <w:sz w:val="20"/>
              </w:rPr>
              <w:t>
   пространство чистого помещения, которое является производственной средой для размещенного там оборудования;</w:t>
            </w:r>
          </w:p>
          <w:p>
            <w:pPr>
              <w:spacing w:after="20"/>
              <w:ind w:left="20"/>
              <w:jc w:val="both"/>
            </w:pPr>
            <w:r>
              <w:rPr>
                <w:rFonts w:ascii="Times New Roman"/>
                <w:b w:val="false"/>
                <w:i w:val="false"/>
                <w:color w:val="000000"/>
                <w:sz w:val="20"/>
              </w:rPr>
              <w:t>
   обучение операторов и их одежду;</w:t>
            </w:r>
          </w:p>
          <w:p>
            <w:pPr>
              <w:spacing w:after="20"/>
              <w:ind w:left="20"/>
              <w:jc w:val="both"/>
            </w:pPr>
            <w:r>
              <w:rPr>
                <w:rFonts w:ascii="Times New Roman"/>
                <w:b w:val="false"/>
                <w:i w:val="false"/>
                <w:color w:val="000000"/>
                <w:sz w:val="20"/>
              </w:rPr>
              <w:t>
   действия в критической зоне оборудования, включая выполнение подсоединений и сборки в асептических условиях до начала наполнения.</w:t>
            </w:r>
          </w:p>
          <w:p>
            <w:pPr>
              <w:spacing w:after="20"/>
              <w:ind w:left="20"/>
              <w:jc w:val="both"/>
            </w:pPr>
            <w:r>
              <w:rPr>
                <w:rFonts w:ascii="Times New Roman"/>
                <w:b w:val="false"/>
                <w:i w:val="false"/>
                <w:color w:val="000000"/>
                <w:sz w:val="20"/>
              </w:rPr>
              <w:t>
   </w:t>
            </w:r>
            <w:r>
              <w:rPr>
                <w:rFonts w:ascii="Times New Roman"/>
                <w:b/>
                <w:i w:val="false"/>
                <w:color w:val="000000"/>
                <w:sz w:val="20"/>
              </w:rPr>
              <w:t>Продукция, подвергаемая финишной стерилизации</w:t>
            </w:r>
          </w:p>
          <w:p>
            <w:pPr>
              <w:spacing w:after="20"/>
              <w:ind w:left="20"/>
              <w:jc w:val="both"/>
            </w:pPr>
            <w:r>
              <w:rPr>
                <w:rFonts w:ascii="Times New Roman"/>
                <w:b w:val="false"/>
                <w:i w:val="false"/>
                <w:color w:val="000000"/>
                <w:sz w:val="20"/>
              </w:rPr>
              <w:t>
   28. Подготовка компонентов первичной упаковки и других материалов и производство большинства видов продукции проводится в производственной среде, по крайней мере, класса D, чтобы обеспечить достаточно низкий уровень рисков контаминации частицами и микроорганизмами, подходящий для фильтрации и стерилизации. Если микробная контаминация представляет высокие или особенные риски для продукции (например, когда продукция является хорошей питательной средой для роста микроорганизмов либо ее стерилизации предшествует длительный период времени, либо технологический процесс ведется по большей части в открытых емкостях), приготовление следует осуществлять в производственной среде класса С.</w:t>
            </w:r>
          </w:p>
          <w:p>
            <w:pPr>
              <w:spacing w:after="20"/>
              <w:ind w:left="20"/>
              <w:jc w:val="both"/>
            </w:pPr>
            <w:r>
              <w:rPr>
                <w:rFonts w:ascii="Times New Roman"/>
                <w:b w:val="false"/>
                <w:i w:val="false"/>
                <w:color w:val="000000"/>
                <w:sz w:val="20"/>
              </w:rPr>
              <w:t>
   29. Наполнение продуктами, подлежащими финишной стерилизации, проводится в производственной среде, по крайней мере, класса C.</w:t>
            </w:r>
          </w:p>
          <w:p>
            <w:pPr>
              <w:spacing w:after="20"/>
              <w:ind w:left="20"/>
              <w:jc w:val="both"/>
            </w:pPr>
            <w:r>
              <w:rPr>
                <w:rFonts w:ascii="Times New Roman"/>
                <w:b w:val="false"/>
                <w:i w:val="false"/>
                <w:color w:val="000000"/>
                <w:sz w:val="20"/>
              </w:rPr>
              <w:t xml:space="preserve">
   30. При повышенном риске контаминации продукта от производственной среды, например, если операции наполнения проходят медленно или упаковки имеют широкое горло, или их необходимо держать открытыми более нескольких секунд до герметизации, наполнение проводится в зоне класса A с производственной средой, по крайней мере, класса C. Приготовление и фасовку мазей, кремов, суспензий и эмульсий перед финишной стерилизацией необходимо осуществлять в производственной среде класса С. </w:t>
            </w:r>
          </w:p>
          <w:p>
            <w:pPr>
              <w:spacing w:after="20"/>
              <w:ind w:left="20"/>
              <w:jc w:val="both"/>
            </w:pPr>
            <w:r>
              <w:rPr>
                <w:rFonts w:ascii="Times New Roman"/>
                <w:b w:val="false"/>
                <w:i w:val="false"/>
                <w:color w:val="000000"/>
                <w:sz w:val="20"/>
              </w:rPr>
              <w:t>
   </w:t>
            </w:r>
            <w:r>
              <w:rPr>
                <w:rFonts w:ascii="Times New Roman"/>
                <w:b/>
                <w:i w:val="false"/>
                <w:color w:val="000000"/>
                <w:sz w:val="20"/>
              </w:rPr>
              <w:t>Асептическое производство</w:t>
            </w:r>
          </w:p>
          <w:p>
            <w:pPr>
              <w:spacing w:after="20"/>
              <w:ind w:left="20"/>
              <w:jc w:val="both"/>
            </w:pPr>
            <w:r>
              <w:rPr>
                <w:rFonts w:ascii="Times New Roman"/>
                <w:b w:val="false"/>
                <w:i w:val="false"/>
                <w:color w:val="000000"/>
                <w:sz w:val="20"/>
              </w:rPr>
              <w:t xml:space="preserve">
   31. Операции с компонентами первичной упаковки и другими материалами после мойки проводятся в производственной среде, по крайней мере, класса D. Обработку стерильного исходного сырья и компонентов, если в дальнейшем не предусмотрена стерилизация или стерилизующая фильтрация, следует осуществлять в рабочей зоне класса А с производственной средой класса В. </w:t>
            </w:r>
          </w:p>
          <w:p>
            <w:pPr>
              <w:spacing w:after="20"/>
              <w:ind w:left="20"/>
              <w:jc w:val="both"/>
            </w:pPr>
            <w:r>
              <w:rPr>
                <w:rFonts w:ascii="Times New Roman"/>
                <w:b w:val="false"/>
                <w:i w:val="false"/>
                <w:color w:val="000000"/>
                <w:sz w:val="20"/>
              </w:rPr>
              <w:t xml:space="preserve">
   32. Приготовление растворов, которые в ходе технологического процесса подлежат стерилизующей фильтрации, проводится в производственной среде класса C. Если стерилизующая фильтрация не проводится, то подготовку материалов и производство продукции необходимо осуществлять в рабочей зоне класса А с производственной средой класса В. </w:t>
            </w:r>
          </w:p>
          <w:p>
            <w:pPr>
              <w:spacing w:after="20"/>
              <w:ind w:left="20"/>
              <w:jc w:val="both"/>
            </w:pPr>
            <w:r>
              <w:rPr>
                <w:rFonts w:ascii="Times New Roman"/>
                <w:b w:val="false"/>
                <w:i w:val="false"/>
                <w:color w:val="000000"/>
                <w:sz w:val="20"/>
              </w:rPr>
              <w:t xml:space="preserve">
   33. Проводить обработку и наполнение продукции, приготовленной в асептических условиях, следует в рабочей зоне класса А с производственной средой класса В. </w:t>
            </w:r>
          </w:p>
          <w:p>
            <w:pPr>
              <w:spacing w:after="20"/>
              <w:ind w:left="20"/>
              <w:jc w:val="both"/>
            </w:pPr>
            <w:r>
              <w:rPr>
                <w:rFonts w:ascii="Times New Roman"/>
                <w:b w:val="false"/>
                <w:i w:val="false"/>
                <w:color w:val="000000"/>
                <w:sz w:val="20"/>
              </w:rPr>
              <w:t xml:space="preserve">
   34. Передачу (транспортирование) не окончательно укупоренных первичных упаковок с продукцией, например, лиофилизированной, до завершения процесса укупорки необходимо осуществлять или в зоне класса А, находящейся в производственной среде класса B, или в герметичных передаточных контейнерах в производственной среде класса B. </w:t>
            </w:r>
          </w:p>
          <w:p>
            <w:pPr>
              <w:spacing w:after="20"/>
              <w:ind w:left="20"/>
              <w:jc w:val="both"/>
            </w:pPr>
            <w:r>
              <w:rPr>
                <w:rFonts w:ascii="Times New Roman"/>
                <w:b w:val="false"/>
                <w:i w:val="false"/>
                <w:color w:val="000000"/>
                <w:sz w:val="20"/>
              </w:rPr>
              <w:t xml:space="preserve">
35. Приготовление и наполнение стерильных мазей, кремов, суспензий и эмульсий необходимо осуществлять в зоне класса А, находящейся в производственной среде класса B, если продукция находится в открытых емкостях и в дальнейшем не подвергается стерилизующей фильтрации. </w:t>
            </w:r>
          </w:p>
          <w:p>
            <w:pPr>
              <w:spacing w:after="20"/>
              <w:ind w:left="20"/>
              <w:jc w:val="both"/>
            </w:pPr>
            <w:r>
              <w:rPr>
                <w:rFonts w:ascii="Times New Roman"/>
                <w:b w:val="false"/>
                <w:i w:val="false"/>
                <w:color w:val="000000"/>
                <w:sz w:val="20"/>
              </w:rPr>
              <w:t>
   </w:t>
            </w:r>
            <w:r>
              <w:rPr>
                <w:rFonts w:ascii="Times New Roman"/>
                <w:b/>
                <w:i w:val="false"/>
                <w:color w:val="000000"/>
                <w:sz w:val="20"/>
              </w:rPr>
              <w:t>Персонал</w:t>
            </w:r>
          </w:p>
          <w:p>
            <w:pPr>
              <w:spacing w:after="20"/>
              <w:ind w:left="20"/>
              <w:jc w:val="both"/>
            </w:pPr>
            <w:r>
              <w:rPr>
                <w:rFonts w:ascii="Times New Roman"/>
                <w:b w:val="false"/>
                <w:i w:val="false"/>
                <w:color w:val="000000"/>
                <w:sz w:val="20"/>
              </w:rPr>
              <w:t>
   36. В чистых зонах допускается нахождение только минимально необходимого количества персонала; это особенно важно для асептического производства. Проверки и контрольные операции следует, по возможности, проводить, находясь за пределами чистых зон.</w:t>
            </w:r>
          </w:p>
          <w:p>
            <w:pPr>
              <w:spacing w:after="20"/>
              <w:ind w:left="20"/>
              <w:jc w:val="both"/>
            </w:pPr>
            <w:r>
              <w:rPr>
                <w:rFonts w:ascii="Times New Roman"/>
                <w:b w:val="false"/>
                <w:i w:val="false"/>
                <w:color w:val="000000"/>
                <w:sz w:val="20"/>
              </w:rPr>
              <w:t>
   37. Весь персонал (в том числе персонал, занятый очисткой и техническим обслуживанием), работающий в таких зонах, проходит регулярное обучение по вопросам надлежащего производства стерильной продукции, включая вопросы гигиены и основы микробиологии. Если необходимо, чтобы посторонние сотрудники, не прошедшие такого обучения (например, работающие по контракту строители или наладчики оборудования), находились в чистом помещении, то они подробно инструктируются, и за ними устанавливается строгое наблюдение.</w:t>
            </w:r>
          </w:p>
          <w:p>
            <w:pPr>
              <w:spacing w:after="20"/>
              <w:ind w:left="20"/>
              <w:jc w:val="both"/>
            </w:pPr>
            <w:r>
              <w:rPr>
                <w:rFonts w:ascii="Times New Roman"/>
                <w:b w:val="false"/>
                <w:i w:val="false"/>
                <w:color w:val="000000"/>
                <w:sz w:val="20"/>
              </w:rPr>
              <w:t>
   38. Не допускается вход в зоны стерильного производства персонала, работающего с сырьем из тканей животных или культурами микроорганизмов, которые не используются в текущем технологическом процессе, если персонал не придерживается строгих и четко установленных процедур в отношении входа.</w:t>
            </w:r>
          </w:p>
          <w:p>
            <w:pPr>
              <w:spacing w:after="20"/>
              <w:ind w:left="20"/>
              <w:jc w:val="both"/>
            </w:pPr>
            <w:r>
              <w:rPr>
                <w:rFonts w:ascii="Times New Roman"/>
                <w:b w:val="false"/>
                <w:i w:val="false"/>
                <w:color w:val="000000"/>
                <w:sz w:val="20"/>
              </w:rPr>
              <w:t xml:space="preserve">
   39. Необходимо выполнять требования к личной гигиене и чистоте. Персонал, занятый в производстве стерильных лекарственных средств, инструктируется о том, что он обязан сообщать о любых обстоятельствах, которые могут быть причиной распространения аномального количества или видов контаминантов; при возникновении таких обстоятельств необходимы периодические медицинские осмотры сотрудников. Действия, которые необходимо предпринять в отношении персонала, который может стать источником микробной контаминации, определяются специально назначенным компетентным лицом. </w:t>
            </w:r>
          </w:p>
          <w:p>
            <w:pPr>
              <w:spacing w:after="20"/>
              <w:ind w:left="20"/>
              <w:jc w:val="both"/>
            </w:pPr>
            <w:r>
              <w:rPr>
                <w:rFonts w:ascii="Times New Roman"/>
                <w:b w:val="false"/>
                <w:i w:val="false"/>
                <w:color w:val="000000"/>
                <w:sz w:val="20"/>
              </w:rPr>
              <w:t>
   40. В чистых зонах запрещается носить наручные часы и ювелирные украшения, а также использовать косметику.</w:t>
            </w:r>
          </w:p>
          <w:p>
            <w:pPr>
              <w:spacing w:after="20"/>
              <w:ind w:left="20"/>
              <w:jc w:val="both"/>
            </w:pPr>
            <w:r>
              <w:rPr>
                <w:rFonts w:ascii="Times New Roman"/>
                <w:b w:val="false"/>
                <w:i w:val="false"/>
                <w:color w:val="000000"/>
                <w:sz w:val="20"/>
              </w:rPr>
              <w:t xml:space="preserve">
   41. Переодеваться и мыться необходимо в соответствии с письменными инструкциями, разработанными так, чтобы свести к минимуму риск контаминации одежды для работы в чистых зонах или внесения контаминантов в чистые зоны. </w:t>
            </w:r>
          </w:p>
          <w:p>
            <w:pPr>
              <w:spacing w:after="20"/>
              <w:ind w:left="20"/>
              <w:jc w:val="both"/>
            </w:pPr>
            <w:r>
              <w:rPr>
                <w:rFonts w:ascii="Times New Roman"/>
                <w:b w:val="false"/>
                <w:i w:val="false"/>
                <w:color w:val="000000"/>
                <w:sz w:val="20"/>
              </w:rPr>
              <w:t>
   42. Одежда и ее качество соответствуют технологическому процессу и классу рабочей зоны. Ее нужно носить так, чтобы обеспечить защиту продукции от контаминации.</w:t>
            </w:r>
          </w:p>
          <w:p>
            <w:pPr>
              <w:spacing w:after="20"/>
              <w:ind w:left="20"/>
              <w:jc w:val="both"/>
            </w:pPr>
            <w:r>
              <w:rPr>
                <w:rFonts w:ascii="Times New Roman"/>
                <w:b w:val="false"/>
                <w:i w:val="false"/>
                <w:color w:val="000000"/>
                <w:sz w:val="20"/>
              </w:rPr>
              <w:t>
   43. Описание необходимой одежды для каждого класса:</w:t>
            </w:r>
          </w:p>
          <w:p>
            <w:pPr>
              <w:spacing w:after="20"/>
              <w:ind w:left="20"/>
              <w:jc w:val="both"/>
            </w:pPr>
            <w:r>
              <w:rPr>
                <w:rFonts w:ascii="Times New Roman"/>
                <w:b w:val="false"/>
                <w:i w:val="false"/>
                <w:color w:val="000000"/>
                <w:sz w:val="20"/>
              </w:rPr>
              <w:t xml:space="preserve">
   Класс D: волосы, борода и усы (при наличии) закрываются. Следует носить обычный защитный костюм и соответствующую обувь или бахилы. Принимаются соответствующие меры для предотвращения любой контаминации чистой зоны извне. </w:t>
            </w:r>
          </w:p>
          <w:p>
            <w:pPr>
              <w:spacing w:after="20"/>
              <w:ind w:left="20"/>
              <w:jc w:val="both"/>
            </w:pPr>
            <w:r>
              <w:rPr>
                <w:rFonts w:ascii="Times New Roman"/>
                <w:b w:val="false"/>
                <w:i w:val="false"/>
                <w:color w:val="000000"/>
                <w:sz w:val="20"/>
              </w:rPr>
              <w:t xml:space="preserve">
   Класс С: волосы, а также борода и усы (при их наличии) закрываются. Необходимо носить комбинезон или брючный костюм, плотно облегающий запястья и имеющий высокий воротник, а также соответствующую обувь или бахилы. От одежды и обуви волокна или частицы практически не отделяются. </w:t>
            </w:r>
          </w:p>
          <w:p>
            <w:pPr>
              <w:spacing w:after="20"/>
              <w:ind w:left="20"/>
              <w:jc w:val="both"/>
            </w:pPr>
            <w:r>
              <w:rPr>
                <w:rFonts w:ascii="Times New Roman"/>
                <w:b w:val="false"/>
                <w:i w:val="false"/>
                <w:color w:val="000000"/>
                <w:sz w:val="20"/>
              </w:rPr>
              <w:t>
   Класс А/В: головной убор полностью закрывает волосы, а также бороду и усы (при их наличии); он вставляется в воротник костюма; необходимо на лице носить маску для предотвращения распространения капелек. Следует носить соответствующим образом простерилизованные и неопудренные резиновые или пластиковые перчатки и простерилизованную или продезинфицированную обувь. Нижние края штанин заправляются внутрь обуви, а рукава одежды – в перчатки. Защитная одежда волокна или частицы практически не выделяет и задерживает частицы, отделяющиеся от тела.</w:t>
            </w:r>
          </w:p>
          <w:p>
            <w:pPr>
              <w:spacing w:after="20"/>
              <w:ind w:left="20"/>
              <w:jc w:val="both"/>
            </w:pPr>
            <w:r>
              <w:rPr>
                <w:rFonts w:ascii="Times New Roman"/>
                <w:b w:val="false"/>
                <w:i w:val="false"/>
                <w:color w:val="000000"/>
                <w:sz w:val="20"/>
              </w:rPr>
              <w:t>
   44. Уличную одежду запрещается вносить в комнаты для переодевания, которые ведут в помещения классов В и С. Каждый работник в зоне класса А/В обеспечивается чистой стерильной (простерилизованной или прошедшей соответствующую санитарную обработку) защитной одеждой на каждую рабочую смену. Перчатки во время работы необходимо регулярно дезинфицировать. Маски и перчатки необходимо менять, по крайней мере, каждую смену.</w:t>
            </w:r>
          </w:p>
          <w:p>
            <w:pPr>
              <w:spacing w:after="20"/>
              <w:ind w:left="20"/>
              <w:jc w:val="both"/>
            </w:pPr>
            <w:r>
              <w:rPr>
                <w:rFonts w:ascii="Times New Roman"/>
                <w:b w:val="false"/>
                <w:i w:val="false"/>
                <w:color w:val="000000"/>
                <w:sz w:val="20"/>
              </w:rPr>
              <w:t xml:space="preserve">
   45. Одежду для чистых помещений необходимо очищать и обрабатывать таким образом, чтобы она впоследствии не становилась причиной контаминации. Эти операции следует выполнять в соответствии с письменными инструкциями. Для подготовки такой одежды желательно иметь отдельные прачечные. Неправильная обработка одежды повреждает волокна ткани, что увеличивает риск отделения частиц.       </w:t>
            </w:r>
          </w:p>
          <w:p>
            <w:pPr>
              <w:spacing w:after="20"/>
              <w:ind w:left="20"/>
              <w:jc w:val="both"/>
            </w:pPr>
            <w:r>
              <w:rPr>
                <w:rFonts w:ascii="Times New Roman"/>
                <w:b w:val="false"/>
                <w:i w:val="false"/>
                <w:color w:val="000000"/>
                <w:sz w:val="20"/>
              </w:rPr>
              <w:t>
   </w:t>
            </w:r>
            <w:r>
              <w:rPr>
                <w:rFonts w:ascii="Times New Roman"/>
                <w:b/>
                <w:i w:val="false"/>
                <w:color w:val="000000"/>
                <w:sz w:val="20"/>
              </w:rPr>
              <w:t>Помещения</w:t>
            </w:r>
          </w:p>
          <w:p>
            <w:pPr>
              <w:spacing w:after="20"/>
              <w:ind w:left="20"/>
              <w:jc w:val="both"/>
            </w:pPr>
            <w:r>
              <w:rPr>
                <w:rFonts w:ascii="Times New Roman"/>
                <w:b w:val="false"/>
                <w:i w:val="false"/>
                <w:color w:val="000000"/>
                <w:sz w:val="20"/>
              </w:rPr>
              <w:t xml:space="preserve">
   46. В чистых зонах все открытые поверхности гладкие, непроницаемые и неповрежденные, чтобы свести к минимуму образование и накопление частиц или микроорганизмов, а также позволять многократно применять моющие и, при необходимости, дезинфицирующие средства. </w:t>
            </w:r>
          </w:p>
          <w:p>
            <w:pPr>
              <w:spacing w:after="20"/>
              <w:ind w:left="20"/>
              <w:jc w:val="both"/>
            </w:pPr>
            <w:r>
              <w:rPr>
                <w:rFonts w:ascii="Times New Roman"/>
                <w:b w:val="false"/>
                <w:i w:val="false"/>
                <w:color w:val="000000"/>
                <w:sz w:val="20"/>
              </w:rPr>
              <w:t xml:space="preserve">
   47. Для уменьшения накопления пыли и облегчения уборки в помещениях не имеется не поддающихся очистке углублений и минимизировано количество выступающих краев, полок, шкафов и оборудования. Двери сконструированы без углублений, недоступных для очистки; по этой же причине не используются раздвижные двери. </w:t>
            </w:r>
          </w:p>
          <w:p>
            <w:pPr>
              <w:spacing w:after="20"/>
              <w:ind w:left="20"/>
              <w:jc w:val="both"/>
            </w:pPr>
            <w:r>
              <w:rPr>
                <w:rFonts w:ascii="Times New Roman"/>
                <w:b w:val="false"/>
                <w:i w:val="false"/>
                <w:color w:val="000000"/>
                <w:sz w:val="20"/>
              </w:rPr>
              <w:t>
   48. Подвесные потолки герметичные с целью предотвращения попадания контаминантов из пространства над ними.</w:t>
            </w:r>
          </w:p>
          <w:p>
            <w:pPr>
              <w:spacing w:after="20"/>
              <w:ind w:left="20"/>
              <w:jc w:val="both"/>
            </w:pPr>
            <w:r>
              <w:rPr>
                <w:rFonts w:ascii="Times New Roman"/>
                <w:b w:val="false"/>
                <w:i w:val="false"/>
                <w:color w:val="000000"/>
                <w:sz w:val="20"/>
              </w:rPr>
              <w:t xml:space="preserve">
   49. Монтаж трубопроводов, воздуховодов и другого оборудования следует выполнять так, чтобы не было углублений и незакрытых отверстий, а также отсутствовали поверхности, не доступные для очистки. </w:t>
            </w:r>
          </w:p>
          <w:p>
            <w:pPr>
              <w:spacing w:after="20"/>
              <w:ind w:left="20"/>
              <w:jc w:val="both"/>
            </w:pPr>
            <w:r>
              <w:rPr>
                <w:rFonts w:ascii="Times New Roman"/>
                <w:b w:val="false"/>
                <w:i w:val="false"/>
                <w:color w:val="000000"/>
                <w:sz w:val="20"/>
              </w:rPr>
              <w:t>
   50. Запрещается устанавливать раковины и сливы в зонах класса A/B, используемых для асептического производства. В других зонах следует предусматривать разрыв струи между оборудованием и канализационной трубой (воронкой). Стоки в полу в чистых комнатах с более низким классом чистоты обеспечиваются сифонами или гидрозатворами для предотвращения обратного потока.</w:t>
            </w:r>
          </w:p>
          <w:p>
            <w:pPr>
              <w:spacing w:after="20"/>
              <w:ind w:left="20"/>
              <w:jc w:val="both"/>
            </w:pPr>
            <w:r>
              <w:rPr>
                <w:rFonts w:ascii="Times New Roman"/>
                <w:b w:val="false"/>
                <w:i w:val="false"/>
                <w:color w:val="000000"/>
                <w:sz w:val="20"/>
              </w:rPr>
              <w:t xml:space="preserve">
   51. Комнаты для переодевания конструируются как воздушные шлюзы и используются для обеспечения физического разделения разных этапов смены одежды и, таким образом, сводить к минимуму контаминацию защитной одежды микроорганизмами и частицами. Они эффективно обтекаются отфильтрованным воздухом. Зона перед выходом из комнаты (помещения) для переодевания в оснащенном состоянии имеет тот же класс чистоты, что и зона, в которую она ведет. В некоторых случаях для входа в чистые зоны и выхода из них целесообразно иметь отдельные комнаты (помещения) для переодевания. Устройства для мытья рук обычно устанавливают в начале комнат для переодевания. </w:t>
            </w:r>
          </w:p>
          <w:p>
            <w:pPr>
              <w:spacing w:after="20"/>
              <w:ind w:left="20"/>
              <w:jc w:val="both"/>
            </w:pPr>
            <w:r>
              <w:rPr>
                <w:rFonts w:ascii="Times New Roman"/>
                <w:b w:val="false"/>
                <w:i w:val="false"/>
                <w:color w:val="000000"/>
                <w:sz w:val="20"/>
              </w:rPr>
              <w:t>
   52. Обе двери воздушного шлюза не могут быть открыты одновременно. Для предотвращения одновременного открывания более одной двери предусматривается блокировочная система или система визуального и (или) звукового предупреждения.</w:t>
            </w:r>
          </w:p>
          <w:p>
            <w:pPr>
              <w:spacing w:after="20"/>
              <w:ind w:left="20"/>
              <w:jc w:val="both"/>
            </w:pPr>
            <w:r>
              <w:rPr>
                <w:rFonts w:ascii="Times New Roman"/>
                <w:b w:val="false"/>
                <w:i w:val="false"/>
                <w:color w:val="000000"/>
                <w:sz w:val="20"/>
              </w:rPr>
              <w:t>
  53. Подача отфильтрованного воздуха поддерживает положительный перепад давления относительно производственных зон с более низким классом при всех рабочих условиях, а воздушный поток эффективно обтекает зону. Смежные помещения с разными классами чистоты имеют разницу в давлении 10-15 Па (нормативное значение). Особое внимание уделяется защите зоны наибольших рисков для качества продукции, то есть производственной среде, непосредственному влиянию которой подвергается продукция или очищенные компоненты, контактирующие с продукцией. Допускаются разные варианты в отношении подачи воздуха и перепада давлений, которые могут потребоваться из-за присутствия некоторых материалов, например, патогенных, высокотоксичных, радиоактивных или живых вирусов или бактериальных материалов, или препаратов из них. Для некоторых операций предусматривается деконтаминация помещений и оборудования и обработка воздуха, удаляемого из чистой зоны.</w:t>
            </w:r>
          </w:p>
          <w:p>
            <w:pPr>
              <w:spacing w:after="20"/>
              <w:ind w:left="20"/>
              <w:jc w:val="both"/>
            </w:pPr>
            <w:r>
              <w:rPr>
                <w:rFonts w:ascii="Times New Roman"/>
                <w:b w:val="false"/>
                <w:i w:val="false"/>
                <w:color w:val="000000"/>
                <w:sz w:val="20"/>
              </w:rPr>
              <w:t>
   54. Наглядно демонстрируется, что направление воздушных потоков не представляет рисков для контаминации продукта, например, следует удостовериться, что в зону, представляющую наибольшие риски для качества продукта, с воздушным потоком не поступают частицы, источниками выделения которых являются обслуживающий персонал, выполняемая операция или оборудование.</w:t>
            </w:r>
          </w:p>
          <w:p>
            <w:pPr>
              <w:spacing w:after="20"/>
              <w:ind w:left="20"/>
              <w:jc w:val="both"/>
            </w:pPr>
            <w:r>
              <w:rPr>
                <w:rFonts w:ascii="Times New Roman"/>
                <w:b w:val="false"/>
                <w:i w:val="false"/>
                <w:color w:val="000000"/>
                <w:sz w:val="20"/>
              </w:rPr>
              <w:t>
   55. Следует предусмотреть систему аварийного оповещения об отказе системы вентиляции. Если разница в давлении между двумя помещениями является критичной, между ними необходимо установить датчики перепада давления. Значения перепада давления необходимо регулярно записывать или оформлять документально иным способом.</w:t>
            </w:r>
          </w:p>
          <w:p>
            <w:pPr>
              <w:spacing w:after="20"/>
              <w:ind w:left="20"/>
              <w:jc w:val="both"/>
            </w:pPr>
            <w:r>
              <w:rPr>
                <w:rFonts w:ascii="Times New Roman"/>
                <w:b w:val="false"/>
                <w:i w:val="false"/>
                <w:color w:val="000000"/>
                <w:sz w:val="20"/>
              </w:rPr>
              <w:t>
   </w:t>
            </w:r>
            <w:r>
              <w:rPr>
                <w:rFonts w:ascii="Times New Roman"/>
                <w:b/>
                <w:i w:val="false"/>
                <w:color w:val="000000"/>
                <w:sz w:val="20"/>
              </w:rPr>
              <w:t>Оборудование</w:t>
            </w:r>
          </w:p>
          <w:p>
            <w:pPr>
              <w:spacing w:after="20"/>
              <w:ind w:left="20"/>
              <w:jc w:val="both"/>
            </w:pPr>
            <w:r>
              <w:rPr>
                <w:rFonts w:ascii="Times New Roman"/>
                <w:b w:val="false"/>
                <w:i w:val="false"/>
                <w:color w:val="000000"/>
                <w:sz w:val="20"/>
              </w:rPr>
              <w:t xml:space="preserve">
   56. Не допускается, чтобы через перегородку, отделяющую зону класса А или В от производственной зоны с более низкой чистотой воздуха, проходила лента конвейера за исключением случаев, когда сама лента подвергается непрерывной стерилизации (например, в стерилизационном туннеле). </w:t>
            </w:r>
          </w:p>
          <w:p>
            <w:pPr>
              <w:spacing w:after="20"/>
              <w:ind w:left="20"/>
              <w:jc w:val="both"/>
            </w:pPr>
            <w:r>
              <w:rPr>
                <w:rFonts w:ascii="Times New Roman"/>
                <w:b w:val="false"/>
                <w:i w:val="false"/>
                <w:color w:val="000000"/>
                <w:sz w:val="20"/>
              </w:rPr>
              <w:t xml:space="preserve">
   57. Насколько это возможно практически, оборудование, фитинги (места соединения) и зоны обслуживания проектируются и устанавливаются таким образом, чтобы работы с оборудованием, его техническое обслуживание и ремонт проводить снаружи чистой зоны. Если необходима стерилизация, то она проводится после максимально полной сборки оборудования. </w:t>
            </w:r>
          </w:p>
          <w:p>
            <w:pPr>
              <w:spacing w:after="20"/>
              <w:ind w:left="20"/>
              <w:jc w:val="both"/>
            </w:pPr>
            <w:r>
              <w:rPr>
                <w:rFonts w:ascii="Times New Roman"/>
                <w:b w:val="false"/>
                <w:i w:val="false"/>
                <w:color w:val="000000"/>
                <w:sz w:val="20"/>
              </w:rPr>
              <w:t>
   58. Если техническое обслуживание оборудования было проведено внутри чистой зоны и необходимые нормы чистоты и (или) асептики были нарушены во время этой работы, то зона очищается, дезинфицируется и (или) простерилизована (в зависимости от того, что подходит) до возобновления процесса.</w:t>
            </w:r>
          </w:p>
          <w:p>
            <w:pPr>
              <w:spacing w:after="20"/>
              <w:ind w:left="20"/>
              <w:jc w:val="both"/>
            </w:pPr>
            <w:r>
              <w:rPr>
                <w:rFonts w:ascii="Times New Roman"/>
                <w:b w:val="false"/>
                <w:i w:val="false"/>
                <w:color w:val="000000"/>
                <w:sz w:val="20"/>
              </w:rPr>
              <w:t>
   59. Установки для подготовки воды и системы ее распределения следует проектировать, конструировать и эксплуатировать так, чтобы обеспечить надежное обеспечение водой соответствующего качества. Их нельзя эксплуатировать сверх проектной мощности. Воду для инъекций необходимо производить, хранить и распределять таким образом, чтобы предотвратить рост микроорганизмов, например, за счет ее постоянной циркуляции при температуре выше 70</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60. Все оборудование, такое как стерилизаторы, системы обработки и фильтрации воздуха, воздушные и газовые фильтры, системы обработки, получения, хранения и распределения воды подлежат валидации и плановому техническому обслуживанию, на их повторное введение в эксплуатацию выдается разрешение.</w:t>
            </w:r>
          </w:p>
          <w:p>
            <w:pPr>
              <w:spacing w:after="20"/>
              <w:ind w:left="20"/>
              <w:jc w:val="both"/>
            </w:pPr>
            <w:r>
              <w:rPr>
                <w:rFonts w:ascii="Times New Roman"/>
                <w:b w:val="false"/>
                <w:i w:val="false"/>
                <w:color w:val="000000"/>
                <w:sz w:val="20"/>
              </w:rPr>
              <w:t>
   </w:t>
            </w:r>
            <w:r>
              <w:rPr>
                <w:rFonts w:ascii="Times New Roman"/>
                <w:b/>
                <w:i w:val="false"/>
                <w:color w:val="000000"/>
                <w:sz w:val="20"/>
              </w:rPr>
              <w:t>Санитария</w:t>
            </w:r>
          </w:p>
          <w:p>
            <w:pPr>
              <w:spacing w:after="20"/>
              <w:ind w:left="20"/>
              <w:jc w:val="both"/>
            </w:pPr>
            <w:r>
              <w:rPr>
                <w:rFonts w:ascii="Times New Roman"/>
                <w:b w:val="false"/>
                <w:i w:val="false"/>
                <w:color w:val="000000"/>
                <w:sz w:val="20"/>
              </w:rPr>
              <w:t xml:space="preserve">
   61. Санитарная обработка чистых зон имеет особо важное значение. Зоны необходимо тщательно очищать в соответствии с письменной инструкцией. В случае проведения дезинфекции следует применять несколько типов дезинфицирующих средств. Для выявления развития резистентных штаммов микроорганизмов следует проводить регулярный контроль. </w:t>
            </w:r>
          </w:p>
          <w:p>
            <w:pPr>
              <w:spacing w:after="20"/>
              <w:ind w:left="20"/>
              <w:jc w:val="both"/>
            </w:pPr>
            <w:r>
              <w:rPr>
                <w:rFonts w:ascii="Times New Roman"/>
                <w:b w:val="false"/>
                <w:i w:val="false"/>
                <w:color w:val="000000"/>
                <w:sz w:val="20"/>
              </w:rPr>
              <w:t xml:space="preserve">
   62. Моющие и дезинфицирующие средства необходимо контролировать в отношении микробиологической чистоты. Их растворы следует держать в предварительно очищенных контейнерах (таре) и хранить лишь на протяжении установленных сроков, за исключением тех растворов, которые простерилизованы. Моющие и дезинфицирующие средства, используемые в зонах классов А и B, перед использованием стерилизуются. </w:t>
            </w:r>
          </w:p>
          <w:p>
            <w:pPr>
              <w:spacing w:after="20"/>
              <w:ind w:left="20"/>
              <w:jc w:val="both"/>
            </w:pPr>
            <w:r>
              <w:rPr>
                <w:rFonts w:ascii="Times New Roman"/>
                <w:b w:val="false"/>
                <w:i w:val="false"/>
                <w:color w:val="000000"/>
                <w:sz w:val="20"/>
              </w:rPr>
              <w:t>
   63. Для снижения микробной контаминации в недоступных местах применяется фумигация чистых зон.</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Технологический процесс</w:t>
            </w:r>
          </w:p>
          <w:p>
            <w:pPr>
              <w:spacing w:after="20"/>
              <w:ind w:left="20"/>
              <w:jc w:val="both"/>
            </w:pPr>
            <w:r>
              <w:rPr>
                <w:rFonts w:ascii="Times New Roman"/>
                <w:b w:val="false"/>
                <w:i w:val="false"/>
                <w:color w:val="000000"/>
                <w:sz w:val="20"/>
              </w:rPr>
              <w:t>
   64. На всех стадиях производства, в том числе на стадиях, предшествующих стерилизации, необходимо принимать меры, сводящие к минимуму контаминацию.</w:t>
            </w:r>
          </w:p>
          <w:p>
            <w:pPr>
              <w:spacing w:after="20"/>
              <w:ind w:left="20"/>
              <w:jc w:val="both"/>
            </w:pPr>
            <w:r>
              <w:rPr>
                <w:rFonts w:ascii="Times New Roman"/>
                <w:b w:val="false"/>
                <w:i w:val="false"/>
                <w:color w:val="000000"/>
                <w:sz w:val="20"/>
              </w:rPr>
              <w:t>
   65. Не допускается производство лекарственных средств микробиологического происхождения или наполнение ими в зонах, используемых для производства других лекарственных средств; однако вакцины, содержащие убитые микроорганизмы или бактериальные экстракты, после инактивации могут быть расфасованы в тех же помещениях, что и другие стерильные лекарственные средства.</w:t>
            </w:r>
          </w:p>
          <w:p>
            <w:pPr>
              <w:spacing w:after="20"/>
              <w:ind w:left="20"/>
              <w:jc w:val="both"/>
            </w:pPr>
            <w:r>
              <w:rPr>
                <w:rFonts w:ascii="Times New Roman"/>
                <w:b w:val="false"/>
                <w:i w:val="false"/>
                <w:color w:val="000000"/>
                <w:sz w:val="20"/>
              </w:rPr>
              <w:t xml:space="preserve">
   66. Валидация процессов, проводимых в асептических условиях, включает моделирование процесса с использованием питательной среды (наполнение питательными средами). Питательную среду следует выбирать с учетом лекарственной формы лекарственного препарата, а также селективности, прозрачности, концентрации и пригодности питательной среды для стерилизации. </w:t>
            </w:r>
          </w:p>
          <w:p>
            <w:pPr>
              <w:spacing w:after="20"/>
              <w:ind w:left="20"/>
              <w:jc w:val="both"/>
            </w:pPr>
            <w:r>
              <w:rPr>
                <w:rFonts w:ascii="Times New Roman"/>
                <w:b w:val="false"/>
                <w:i w:val="false"/>
                <w:color w:val="000000"/>
                <w:sz w:val="20"/>
              </w:rPr>
              <w:t>
   67. Моделирование процесса наиболее точно имитирует серийный процесс асептического производства и включает в себя его последовательные критические стадии. Также учитываются различные вмешательства, которые возникают во время обычного производственного процесса, а также ситуации "наихудшего случая".</w:t>
            </w:r>
          </w:p>
          <w:p>
            <w:pPr>
              <w:spacing w:after="20"/>
              <w:ind w:left="20"/>
              <w:jc w:val="both"/>
            </w:pPr>
            <w:r>
              <w:rPr>
                <w:rFonts w:ascii="Times New Roman"/>
                <w:b w:val="false"/>
                <w:i w:val="false"/>
                <w:color w:val="000000"/>
                <w:sz w:val="20"/>
              </w:rPr>
              <w:t>
   68. Моделирование процесса при первоначальной валидации включает три последовательных удовлетворительных испытания для каждой смены операторов. В дальнейшем их следует повторять через установленные промежутки времени, а также после любого существенного изменения в системе вентиляции и кондиционирования воздуха, в оборудовании, процессе или количестве смен. Моделирующие процесс испытания следует повторять дважды в год для каждой смены операторов и каждого процесса.</w:t>
            </w:r>
          </w:p>
          <w:p>
            <w:pPr>
              <w:spacing w:after="20"/>
              <w:ind w:left="20"/>
              <w:jc w:val="both"/>
            </w:pPr>
            <w:r>
              <w:rPr>
                <w:rFonts w:ascii="Times New Roman"/>
                <w:b w:val="false"/>
                <w:i w:val="false"/>
                <w:color w:val="000000"/>
                <w:sz w:val="20"/>
              </w:rPr>
              <w:t>
   69. Имеется достаточное количество контейнеров (первичных упаковок), предназначенных для фасовки питательных сред, для обеспечения достоверной оценки. В случае небольших серий количество контейнеров для фасовки питательных сред соответствует размеру серии продукции. Необходимо стремиться к отсутствию роста микроорганизмов, при этом следует применять такие нормы:</w:t>
            </w:r>
          </w:p>
          <w:p>
            <w:pPr>
              <w:spacing w:after="20"/>
              <w:ind w:left="20"/>
              <w:jc w:val="both"/>
            </w:pPr>
            <w:r>
              <w:rPr>
                <w:rFonts w:ascii="Times New Roman"/>
                <w:b w:val="false"/>
                <w:i w:val="false"/>
                <w:color w:val="000000"/>
                <w:sz w:val="20"/>
              </w:rPr>
              <w:t>
   1) если наполняли менее 5 000 единиц продукции, не должно быть ни одной контаминированной единицы.</w:t>
            </w:r>
          </w:p>
          <w:p>
            <w:pPr>
              <w:spacing w:after="20"/>
              <w:ind w:left="20"/>
              <w:jc w:val="both"/>
            </w:pPr>
            <w:r>
              <w:rPr>
                <w:rFonts w:ascii="Times New Roman"/>
                <w:b w:val="false"/>
                <w:i w:val="false"/>
                <w:color w:val="000000"/>
                <w:sz w:val="20"/>
              </w:rPr>
              <w:t>
   2) если наполняли от 5 000 до 10 000 единиц продукции:</w:t>
            </w:r>
          </w:p>
          <w:p>
            <w:pPr>
              <w:spacing w:after="20"/>
              <w:ind w:left="20"/>
              <w:jc w:val="both"/>
            </w:pPr>
            <w:r>
              <w:rPr>
                <w:rFonts w:ascii="Times New Roman"/>
                <w:b w:val="false"/>
                <w:i w:val="false"/>
                <w:color w:val="000000"/>
                <w:sz w:val="20"/>
              </w:rPr>
              <w:t xml:space="preserve">
   одна контаминированная единица является основанием для расследования причин и повторной фасовки питательных сред; </w:t>
            </w:r>
          </w:p>
          <w:p>
            <w:pPr>
              <w:spacing w:after="20"/>
              <w:ind w:left="20"/>
              <w:jc w:val="both"/>
            </w:pPr>
            <w:r>
              <w:rPr>
                <w:rFonts w:ascii="Times New Roman"/>
                <w:b w:val="false"/>
                <w:i w:val="false"/>
                <w:color w:val="000000"/>
                <w:sz w:val="20"/>
              </w:rPr>
              <w:t>
   две контаминированные единицы – проводится расследование причин и повторная валидация.</w:t>
            </w:r>
          </w:p>
          <w:p>
            <w:pPr>
              <w:spacing w:after="20"/>
              <w:ind w:left="20"/>
              <w:jc w:val="both"/>
            </w:pPr>
            <w:r>
              <w:rPr>
                <w:rFonts w:ascii="Times New Roman"/>
                <w:b w:val="false"/>
                <w:i w:val="false"/>
                <w:color w:val="000000"/>
                <w:sz w:val="20"/>
              </w:rPr>
              <w:t xml:space="preserve">
   3) если наполняли свыше 10 000 единиц: </w:t>
            </w:r>
          </w:p>
          <w:p>
            <w:pPr>
              <w:spacing w:after="20"/>
              <w:ind w:left="20"/>
              <w:jc w:val="both"/>
            </w:pPr>
            <w:r>
              <w:rPr>
                <w:rFonts w:ascii="Times New Roman"/>
                <w:b w:val="false"/>
                <w:i w:val="false"/>
                <w:color w:val="000000"/>
                <w:sz w:val="20"/>
              </w:rPr>
              <w:t>
   одна контаминированная единица является основанием для расследования причин;</w:t>
            </w:r>
          </w:p>
          <w:p>
            <w:pPr>
              <w:spacing w:after="20"/>
              <w:ind w:left="20"/>
              <w:jc w:val="both"/>
            </w:pPr>
            <w:r>
              <w:rPr>
                <w:rFonts w:ascii="Times New Roman"/>
                <w:b w:val="false"/>
                <w:i w:val="false"/>
                <w:color w:val="000000"/>
                <w:sz w:val="20"/>
              </w:rPr>
              <w:t>
  две контаминированные единицы – проводится расследование причин и повторная валидация.</w:t>
            </w:r>
          </w:p>
          <w:p>
            <w:pPr>
              <w:spacing w:after="20"/>
              <w:ind w:left="20"/>
              <w:jc w:val="both"/>
            </w:pPr>
            <w:r>
              <w:rPr>
                <w:rFonts w:ascii="Times New Roman"/>
                <w:b w:val="false"/>
                <w:i w:val="false"/>
                <w:color w:val="000000"/>
                <w:sz w:val="20"/>
              </w:rPr>
              <w:t>
   70. При любом количестве первичных упаковок с питательной средой периодические случаи обнаружения микробной контаминации могут указывать на наличие небольших уровней контаминантов, что расследуется. При обнаружении значительной микробной контаминации следует рассмотреть возможное влияние на стерильность серий, выпущенных после проведения последних успешных испытаний с наполнением питательными средами.</w:t>
            </w:r>
          </w:p>
          <w:p>
            <w:pPr>
              <w:spacing w:after="20"/>
              <w:ind w:left="20"/>
              <w:jc w:val="both"/>
            </w:pPr>
            <w:r>
              <w:rPr>
                <w:rFonts w:ascii="Times New Roman"/>
                <w:b w:val="false"/>
                <w:i w:val="false"/>
                <w:color w:val="000000"/>
                <w:sz w:val="20"/>
              </w:rPr>
              <w:t>
   71. Обеспечивается условия, при которых любая валидация не создает риск для технологических процессов.</w:t>
            </w:r>
          </w:p>
          <w:p>
            <w:pPr>
              <w:spacing w:after="20"/>
              <w:ind w:left="20"/>
              <w:jc w:val="both"/>
            </w:pPr>
            <w:r>
              <w:rPr>
                <w:rFonts w:ascii="Times New Roman"/>
                <w:b w:val="false"/>
                <w:i w:val="false"/>
                <w:color w:val="000000"/>
                <w:sz w:val="20"/>
              </w:rPr>
              <w:t>
   72. Источники водоснабжения, оборудование для подготовки воды и приготовленная вода подлежат регулярному мониторингу на наличие химических и биологических контаминантов и, в необходимых случаях, на эндотоксины. Результаты мониторинга и любых предпринятых действий следует оформлять документально.</w:t>
            </w:r>
          </w:p>
          <w:p>
            <w:pPr>
              <w:spacing w:after="20"/>
              <w:ind w:left="20"/>
              <w:jc w:val="both"/>
            </w:pPr>
            <w:r>
              <w:rPr>
                <w:rFonts w:ascii="Times New Roman"/>
                <w:b w:val="false"/>
                <w:i w:val="false"/>
                <w:color w:val="000000"/>
                <w:sz w:val="20"/>
              </w:rPr>
              <w:t>
   73. В чистых зонах, особенно в ходе процесса асептического производства, деятельность персонала минимизируется, а его передвижение - методическим и контролируемым во избежание избыточного выделения частиц и микроорганизмов, обусловленного повышенной двигательной активностью. Чтобы не создавать дискомфорта с учетом свойств используемой одежды, температуру и влажность производственной среды поддерживают не очень высокими.</w:t>
            </w:r>
          </w:p>
          <w:p>
            <w:pPr>
              <w:spacing w:after="20"/>
              <w:ind w:left="20"/>
              <w:jc w:val="both"/>
            </w:pPr>
            <w:r>
              <w:rPr>
                <w:rFonts w:ascii="Times New Roman"/>
                <w:b w:val="false"/>
                <w:i w:val="false"/>
                <w:color w:val="000000"/>
                <w:sz w:val="20"/>
              </w:rPr>
              <w:t>
   74. Микробная контаминация исходного сырья и материалов минимизируется. Спецификации на них включают в себя требования к микробиологической чистоте.</w:t>
            </w:r>
          </w:p>
          <w:p>
            <w:pPr>
              <w:spacing w:after="20"/>
              <w:ind w:left="20"/>
              <w:jc w:val="both"/>
            </w:pPr>
            <w:r>
              <w:rPr>
                <w:rFonts w:ascii="Times New Roman"/>
                <w:b w:val="false"/>
                <w:i w:val="false"/>
                <w:color w:val="000000"/>
                <w:sz w:val="20"/>
              </w:rPr>
              <w:t xml:space="preserve">
   75. В чистых зонах необходимо сводить к минимуму наличие контейнеров и материалов, от которых возможно отделение волокон. </w:t>
            </w:r>
          </w:p>
          <w:p>
            <w:pPr>
              <w:spacing w:after="20"/>
              <w:ind w:left="20"/>
              <w:jc w:val="both"/>
            </w:pPr>
            <w:r>
              <w:rPr>
                <w:rFonts w:ascii="Times New Roman"/>
                <w:b w:val="false"/>
                <w:i w:val="false"/>
                <w:color w:val="000000"/>
                <w:sz w:val="20"/>
              </w:rPr>
              <w:t>
   76. Следует принимать меры по предотвращению контаминации готовой продукции частицами.</w:t>
            </w:r>
          </w:p>
          <w:p>
            <w:pPr>
              <w:spacing w:after="20"/>
              <w:ind w:left="20"/>
              <w:jc w:val="both"/>
            </w:pPr>
            <w:r>
              <w:rPr>
                <w:rFonts w:ascii="Times New Roman"/>
                <w:b w:val="false"/>
                <w:i w:val="false"/>
                <w:color w:val="000000"/>
                <w:sz w:val="20"/>
              </w:rPr>
              <w:t>
   77. По окончании процесса очистки компонентов, контейнеров и оборудования с ними следует обходиться так, чтобы не происходила их повторная контаминация.</w:t>
            </w:r>
          </w:p>
          <w:p>
            <w:pPr>
              <w:spacing w:after="20"/>
              <w:ind w:left="20"/>
              <w:jc w:val="both"/>
            </w:pPr>
            <w:r>
              <w:rPr>
                <w:rFonts w:ascii="Times New Roman"/>
                <w:b w:val="false"/>
                <w:i w:val="false"/>
                <w:color w:val="000000"/>
                <w:sz w:val="20"/>
              </w:rPr>
              <w:t>
   78. Интервалы времени между мойкой, сушкой и стерилизацией компонентов, контейнеров и оборудования, а также между их стерилизацией и последующим использованием минимизируются и имеют ограничение по времени, соответствующее условиям хранения.</w:t>
            </w:r>
          </w:p>
          <w:p>
            <w:pPr>
              <w:spacing w:after="20"/>
              <w:ind w:left="20"/>
              <w:jc w:val="both"/>
            </w:pPr>
            <w:r>
              <w:rPr>
                <w:rFonts w:ascii="Times New Roman"/>
                <w:b w:val="false"/>
                <w:i w:val="false"/>
                <w:color w:val="000000"/>
                <w:sz w:val="20"/>
              </w:rPr>
              <w:t>
   79. Время между началом приготовления раствора и его стерилизацией или стерилизующей фильтрацией минимизируется. Для каждого вида продукции устанавливается максимально допустимое время с учетом его состава и установленного порядка хранения.</w:t>
            </w:r>
          </w:p>
          <w:p>
            <w:pPr>
              <w:spacing w:after="20"/>
              <w:ind w:left="20"/>
              <w:jc w:val="both"/>
            </w:pPr>
            <w:r>
              <w:rPr>
                <w:rFonts w:ascii="Times New Roman"/>
                <w:b w:val="false"/>
                <w:i w:val="false"/>
                <w:color w:val="000000"/>
                <w:sz w:val="20"/>
              </w:rPr>
              <w:t xml:space="preserve">
   80. Перед стерилизацией контролируется уровень микробной контаминации. Устанавливается рабочие границы контаминации непосредственно перед стерилизацией, которые соотносятся с эффективностью используемого метода. Уровень микробной контаминации следует количественно определять для каждой серии как продукции, наполненной в асептических условиях, так и продукции, подвергаемой финишной стерилизации. Если для лекарственных препаратов, подвергаемых финишной стерилизации, установлены более жесткие параметры стерилизации, уровень микробной контаминации контролируется только через соответствующие интервалы времени согласно графику. В случае систем выпуска по параметрам определение микробной контаминации следует проводить для каждой серии и рассматривать как испытание в процессе производства. При необходимости контролируется уровень эндотоксинов. Все растворы, особенно инфузионные жидкости большого объема, подвергают стерилизующей фильтрации по возможности непосредственно перед наполнением. </w:t>
            </w:r>
          </w:p>
          <w:p>
            <w:pPr>
              <w:spacing w:after="20"/>
              <w:ind w:left="20"/>
              <w:jc w:val="both"/>
            </w:pPr>
            <w:r>
              <w:rPr>
                <w:rFonts w:ascii="Times New Roman"/>
                <w:b w:val="false"/>
                <w:i w:val="false"/>
                <w:color w:val="000000"/>
                <w:sz w:val="20"/>
              </w:rPr>
              <w:t>
   81. Компоненты, контейнеры, оборудование и любые другие предметы, необходимые в чистой зоне, особенно при работе в асептических условиях стерилизуются и передаются через вмонтированный в стену проходной стерилизатор с двусторонним доступом или иным способом, предотвращающим контаминацию. Негорючие газы проходят через фильтры, задерживающие микроорганизмы.</w:t>
            </w:r>
          </w:p>
          <w:p>
            <w:pPr>
              <w:spacing w:after="20"/>
              <w:ind w:left="20"/>
              <w:jc w:val="both"/>
            </w:pPr>
            <w:r>
              <w:rPr>
                <w:rFonts w:ascii="Times New Roman"/>
                <w:b w:val="false"/>
                <w:i w:val="false"/>
                <w:color w:val="000000"/>
                <w:sz w:val="20"/>
              </w:rPr>
              <w:t>
   82. Эффективность любого нового процесса подтверждается при валидации, которую необходимо регулярно повторять в соответствии с планом, учитывающим график эксплуатации, а также при любом значительном изменении в процессе или оборудовании.</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
        <w:gridCol w:w="12139"/>
        <w:gridCol w:w="81"/>
      </w:tblGrid>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Стерилизация</w:t>
            </w:r>
          </w:p>
          <w:p>
            <w:pPr>
              <w:spacing w:after="20"/>
              <w:ind w:left="20"/>
              <w:jc w:val="both"/>
            </w:pPr>
            <w:r>
              <w:rPr>
                <w:rFonts w:ascii="Times New Roman"/>
                <w:b w:val="false"/>
                <w:i w:val="false"/>
                <w:color w:val="000000"/>
                <w:sz w:val="20"/>
              </w:rPr>
              <w:t>
   83. Все процессы стерилизации проходят валидацию. Особое внимание необходимо, если применяемый метод стерилизации не описан в действующем издании соответствующей Фармакопеи или используется для продукта, не являющегося простым водным или масляным раствором. Предпочтительным является метод термической стерилизации. В любом случае метод стерилизации соответствует лицензии на производство и регистрационному досье.</w:t>
            </w:r>
          </w:p>
          <w:p>
            <w:pPr>
              <w:spacing w:after="20"/>
              <w:ind w:left="20"/>
              <w:jc w:val="both"/>
            </w:pPr>
            <w:r>
              <w:rPr>
                <w:rFonts w:ascii="Times New Roman"/>
                <w:b w:val="false"/>
                <w:i w:val="false"/>
                <w:color w:val="000000"/>
                <w:sz w:val="20"/>
              </w:rPr>
              <w:t xml:space="preserve">
   84. Перед выбором любого процесса стерилизации необходимо продемонстрировать с помощью физических измерений и, если возможно, биологических индикаторов, что он подходит для данной продукции и эффективен для достижения необходимых условий стерилизации во всех частях каждого типа загрузки. Валидацию процесса необходимо повторять через установленные графиком промежутки, но не реже одного раза в год, а также всегда в случае внесения существенных изменений в оборудование. Необходимо хранить записи с результатами. </w:t>
            </w:r>
          </w:p>
          <w:p>
            <w:pPr>
              <w:spacing w:after="20"/>
              <w:ind w:left="20"/>
              <w:jc w:val="both"/>
            </w:pPr>
            <w:r>
              <w:rPr>
                <w:rFonts w:ascii="Times New Roman"/>
                <w:b w:val="false"/>
                <w:i w:val="false"/>
                <w:color w:val="000000"/>
                <w:sz w:val="20"/>
              </w:rPr>
              <w:t>
   85. Для эффективной стерилизации весь материал в целом подвергается необходимой обработке, а процесс организован таким образом, чтобы гарантировать, что эффективность будет достигнута.</w:t>
            </w:r>
          </w:p>
          <w:p>
            <w:pPr>
              <w:spacing w:after="20"/>
              <w:ind w:left="20"/>
              <w:jc w:val="both"/>
            </w:pPr>
            <w:r>
              <w:rPr>
                <w:rFonts w:ascii="Times New Roman"/>
                <w:b w:val="false"/>
                <w:i w:val="false"/>
                <w:color w:val="000000"/>
                <w:sz w:val="20"/>
              </w:rPr>
              <w:t>
   86. Для всех процессов стерилизации разрабатываются и проходят валидацию способы загрузки.</w:t>
            </w:r>
          </w:p>
          <w:p>
            <w:pPr>
              <w:spacing w:after="20"/>
              <w:ind w:left="20"/>
              <w:jc w:val="both"/>
            </w:pPr>
            <w:r>
              <w:rPr>
                <w:rFonts w:ascii="Times New Roman"/>
                <w:b w:val="false"/>
                <w:i w:val="false"/>
                <w:color w:val="000000"/>
                <w:sz w:val="20"/>
              </w:rPr>
              <w:t>
   87. Применение биологических индикаторов следует рассматривать только как дополнительный метод контроля стерилизации. Биологические индикаторы необходимо хранить и использовать в соответствии с инструкциями производителя, а их качество контролировать методами позитивного контроля. В случае использования биологических индикаторов необходимо принять строгие меры, предотвращающие микробную контаминацию от самих индикаторов.</w:t>
            </w:r>
          </w:p>
          <w:p>
            <w:pPr>
              <w:spacing w:after="20"/>
              <w:ind w:left="20"/>
              <w:jc w:val="both"/>
            </w:pPr>
            <w:r>
              <w:rPr>
                <w:rFonts w:ascii="Times New Roman"/>
                <w:b w:val="false"/>
                <w:i w:val="false"/>
                <w:color w:val="000000"/>
                <w:sz w:val="20"/>
              </w:rPr>
              <w:t>
   88. Следует четко определить меры, обеспечивающие разделение продукции, прошедшей и не прошедшей стерилизацию. Каждая корзина, лоток или другая емкость для продукции или компонентов четко маркируется этикеткой с наименованием материала, номером серии и указанием, прошел он стерилизацию или нет. При необходимости используются такие индикаторы, как автоклавная лента, для указания того, прошла ли серия (или часть серии) процесс стерилизации, однако они не дают достоверного подтверждения того, действительно ли серия стерильна.</w:t>
            </w:r>
          </w:p>
          <w:p>
            <w:pPr>
              <w:spacing w:after="20"/>
              <w:ind w:left="20"/>
              <w:jc w:val="both"/>
            </w:pPr>
            <w:r>
              <w:rPr>
                <w:rFonts w:ascii="Times New Roman"/>
                <w:b w:val="false"/>
                <w:i w:val="false"/>
                <w:color w:val="000000"/>
                <w:sz w:val="20"/>
              </w:rPr>
              <w:t>
   89. Для каждого цикла стерилизации составляются записи. Они утверждаются, что является частью процедуры выдачи разрешения на выпуск серии.</w:t>
            </w:r>
          </w:p>
          <w:p>
            <w:pPr>
              <w:spacing w:after="20"/>
              <w:ind w:left="20"/>
              <w:jc w:val="both"/>
            </w:pPr>
            <w:r>
              <w:rPr>
                <w:rFonts w:ascii="Times New Roman"/>
                <w:b w:val="false"/>
                <w:i w:val="false"/>
                <w:color w:val="000000"/>
                <w:sz w:val="20"/>
              </w:rPr>
              <w:t>
   </w:t>
            </w:r>
            <w:r>
              <w:rPr>
                <w:rFonts w:ascii="Times New Roman"/>
                <w:b/>
                <w:i w:val="false"/>
                <w:color w:val="000000"/>
                <w:sz w:val="20"/>
              </w:rPr>
              <w:t>Термическая стерилизация</w:t>
            </w:r>
          </w:p>
          <w:p>
            <w:pPr>
              <w:spacing w:after="20"/>
              <w:ind w:left="20"/>
              <w:jc w:val="both"/>
            </w:pPr>
            <w:r>
              <w:rPr>
                <w:rFonts w:ascii="Times New Roman"/>
                <w:b w:val="false"/>
                <w:i w:val="false"/>
                <w:color w:val="000000"/>
                <w:sz w:val="20"/>
              </w:rPr>
              <w:t>
   90. Каждый цикл термической стерилизации записывается в виде диаграммы в координатах время-температура в достаточно большом масштабе или регистрируется с помощью другого соответствующего оборудования, имеющего необходимую правильность и точность. Место расположения температурных датчиков, используемых для контроля и (или) записи, определяется во время валидации и в случае необходимости также проверено с помощью другого независимого температурного датчика, расположенного в том же месте.</w:t>
            </w:r>
          </w:p>
          <w:p>
            <w:pPr>
              <w:spacing w:after="20"/>
              <w:ind w:left="20"/>
              <w:jc w:val="both"/>
            </w:pPr>
            <w:r>
              <w:rPr>
                <w:rFonts w:ascii="Times New Roman"/>
                <w:b w:val="false"/>
                <w:i w:val="false"/>
                <w:color w:val="000000"/>
                <w:sz w:val="20"/>
              </w:rPr>
              <w:t>
   91. Допускается использовать химические и биологические индикаторы, но они не заменяют проведение физических измерений.</w:t>
            </w:r>
          </w:p>
          <w:p>
            <w:pPr>
              <w:spacing w:after="20"/>
              <w:ind w:left="20"/>
              <w:jc w:val="both"/>
            </w:pPr>
            <w:r>
              <w:rPr>
                <w:rFonts w:ascii="Times New Roman"/>
                <w:b w:val="false"/>
                <w:i w:val="false"/>
                <w:color w:val="000000"/>
                <w:sz w:val="20"/>
              </w:rPr>
              <w:t>
   92. Предусматривается достаточное время, чтобы весь объем загрузки достиг необходимой температуры до того, как будет начат отсчет времени стерилизации. Этот период определяется для каждого типа стерилизуемой загрузки.</w:t>
            </w:r>
          </w:p>
          <w:p>
            <w:pPr>
              <w:spacing w:after="20"/>
              <w:ind w:left="20"/>
              <w:jc w:val="both"/>
            </w:pPr>
            <w:r>
              <w:rPr>
                <w:rFonts w:ascii="Times New Roman"/>
                <w:b w:val="false"/>
                <w:i w:val="false"/>
                <w:color w:val="000000"/>
                <w:sz w:val="20"/>
              </w:rPr>
              <w:t>
   93. После завершения высокотемпературной фазы цикла термической стерилизации принимаются меры предосторожности, предотвращающие контаминацию простерилизованной загрузки во время охлаждения. Любая охлаждающая жидкость или газ, контактирующие с продукцией, стерилизуются, кроме случаев, когда возможность использования негерметичных упаковок исключена и приведены соответствующие доказательства.</w:t>
            </w:r>
          </w:p>
          <w:p>
            <w:pPr>
              <w:spacing w:after="20"/>
              <w:ind w:left="20"/>
              <w:jc w:val="both"/>
            </w:pPr>
            <w:r>
              <w:rPr>
                <w:rFonts w:ascii="Times New Roman"/>
                <w:b w:val="false"/>
                <w:i w:val="false"/>
                <w:color w:val="000000"/>
                <w:sz w:val="20"/>
              </w:rPr>
              <w:t>
   </w:t>
            </w:r>
            <w:r>
              <w:rPr>
                <w:rFonts w:ascii="Times New Roman"/>
                <w:b/>
                <w:i w:val="false"/>
                <w:color w:val="000000"/>
                <w:sz w:val="20"/>
              </w:rPr>
              <w:t>Стерилизация паром</w:t>
            </w:r>
          </w:p>
          <w:p>
            <w:pPr>
              <w:spacing w:after="20"/>
              <w:ind w:left="20"/>
              <w:jc w:val="both"/>
            </w:pPr>
            <w:r>
              <w:rPr>
                <w:rFonts w:ascii="Times New Roman"/>
                <w:b w:val="false"/>
                <w:i w:val="false"/>
                <w:color w:val="000000"/>
                <w:sz w:val="20"/>
              </w:rPr>
              <w:t>
   94. При стерилизации паром следует контролировать температуру и давление. Средства управления независимы от средств контроля и записывающих устройств. Если для этой цели используются автоматические системы управления и контроля, они проходят валидацию, для гарантии их соответствия требованиям к критическому процессу. Нарушения в ходе процесса регистрируются системой и находятся под надзором оператора. В ходе процесса стерилизации показания независимого датчика температуры следует постоянно сверять с данными диаграммы записывающего устройства. Для стерилизаторов, имеющих сток в дне камеры, может возникнуть необходимость регистрации температуры в этой точке в течение всего цикла стерилизации. Если в цикл стерилизации входит этап вакуумирования, то следует часто проводить проверки камеры на герметичность.</w:t>
            </w:r>
          </w:p>
          <w:p>
            <w:pPr>
              <w:spacing w:after="20"/>
              <w:ind w:left="20"/>
              <w:jc w:val="both"/>
            </w:pPr>
            <w:r>
              <w:rPr>
                <w:rFonts w:ascii="Times New Roman"/>
                <w:b w:val="false"/>
                <w:i w:val="false"/>
                <w:color w:val="000000"/>
                <w:sz w:val="20"/>
              </w:rPr>
              <w:t>
   95. Стерилизуемые предметы, не находящиеся в герметичных упаковках, заворачиваются в материал, пропускающий воздух и пар, но предотвращающий повторную контаминацию этих предметов после стерилизации. Необходимо обеспечить контакт всех частей загрузки со стерилизующим агентом при заданных температуре и времени.</w:t>
            </w:r>
          </w:p>
          <w:p>
            <w:pPr>
              <w:spacing w:after="20"/>
              <w:ind w:left="20"/>
              <w:jc w:val="both"/>
            </w:pPr>
            <w:r>
              <w:rPr>
                <w:rFonts w:ascii="Times New Roman"/>
                <w:b w:val="false"/>
                <w:i w:val="false"/>
                <w:color w:val="000000"/>
                <w:sz w:val="20"/>
              </w:rPr>
              <w:t>
   96. Необходимо обеспечить, чтобы для стерилизации применялся пар надлежащего качества, не содержащий такого количества примесей, которое могло бы вызывать контаминацию продукции или оборудования.</w:t>
            </w:r>
          </w:p>
          <w:p>
            <w:pPr>
              <w:spacing w:after="20"/>
              <w:ind w:left="20"/>
              <w:jc w:val="both"/>
            </w:pPr>
            <w:r>
              <w:rPr>
                <w:rFonts w:ascii="Times New Roman"/>
                <w:b w:val="false"/>
                <w:i w:val="false"/>
                <w:color w:val="000000"/>
                <w:sz w:val="20"/>
              </w:rPr>
              <w:t>
   </w:t>
            </w:r>
            <w:r>
              <w:rPr>
                <w:rFonts w:ascii="Times New Roman"/>
                <w:b/>
                <w:i w:val="false"/>
                <w:color w:val="000000"/>
                <w:sz w:val="20"/>
              </w:rPr>
              <w:t>Сухожаровая стерилизация</w:t>
            </w:r>
          </w:p>
          <w:p>
            <w:pPr>
              <w:spacing w:after="20"/>
              <w:ind w:left="20"/>
              <w:jc w:val="both"/>
            </w:pPr>
            <w:r>
              <w:rPr>
                <w:rFonts w:ascii="Times New Roman"/>
                <w:b w:val="false"/>
                <w:i w:val="false"/>
                <w:color w:val="000000"/>
                <w:sz w:val="20"/>
              </w:rPr>
              <w:t xml:space="preserve">
   97. При сухожаровой стерилизации предусматриваются циркуляция воздуха внутри камеры и поддержание избыточного давления для предотвращения попадания внутрь нее нестерильного воздуха. Любой поступающий внутрь воздух проходит через фильтры высокой эффективности (НЕРА-фильтр). Если стерилизация предусматривает устранение пирогенов, то как часть валидации проводятся испытания с преднамеренным использованием эндотоксинов. </w:t>
            </w:r>
          </w:p>
          <w:p>
            <w:pPr>
              <w:spacing w:after="20"/>
              <w:ind w:left="20"/>
              <w:jc w:val="both"/>
            </w:pPr>
            <w:r>
              <w:rPr>
                <w:rFonts w:ascii="Times New Roman"/>
                <w:b w:val="false"/>
                <w:i w:val="false"/>
                <w:color w:val="000000"/>
                <w:sz w:val="20"/>
              </w:rPr>
              <w:t>
   </w:t>
            </w:r>
            <w:r>
              <w:rPr>
                <w:rFonts w:ascii="Times New Roman"/>
                <w:b/>
                <w:i w:val="false"/>
                <w:color w:val="000000"/>
                <w:sz w:val="20"/>
              </w:rPr>
              <w:t>Радиационная стерилизация</w:t>
            </w:r>
          </w:p>
          <w:p>
            <w:pPr>
              <w:spacing w:after="20"/>
              <w:ind w:left="20"/>
              <w:jc w:val="both"/>
            </w:pPr>
            <w:r>
              <w:rPr>
                <w:rFonts w:ascii="Times New Roman"/>
                <w:b w:val="false"/>
                <w:i w:val="false"/>
                <w:color w:val="000000"/>
                <w:sz w:val="20"/>
              </w:rPr>
              <w:t>
   98. Радиационную стерилизацию используют главным образом для стерилизации термочувствительных материалов и продукции. Многие лекарственные средства и некоторые упаковочные материалы чувствительны к ионизирующему излучению, следовательно, этот метод допустим только тогда, когда было экспериментально подтверждено отсутствие вредного влияния на продукцию. Облучение ультрафиолетовым излучением не является приемлемым методом стерилизации.</w:t>
            </w:r>
          </w:p>
          <w:p>
            <w:pPr>
              <w:spacing w:after="20"/>
              <w:ind w:left="20"/>
              <w:jc w:val="both"/>
            </w:pPr>
            <w:r>
              <w:rPr>
                <w:rFonts w:ascii="Times New Roman"/>
                <w:b w:val="false"/>
                <w:i w:val="false"/>
                <w:color w:val="000000"/>
                <w:sz w:val="20"/>
              </w:rPr>
              <w:t>
   99. Во время процесса стерилизации проводится измерение поглощенной дозы ионизирующего излучения. Для этого следует использовать дозиметры, показания которых не зависят от используемой мощности дозы излучения, но которые обеспечивают количественную регистрацию дозы излучения, поглощенную самой продукцией. Дозиметры размещаются среди загрузки в достаточном количестве и на достаточно близком расстоянии друг от друга, чтобы гарантировать наличие дозиметров во всех местах, подвергаемых облучению. Пластмассовые дозиметры следует применять лишь в пределах срока действия их калибровки. Показания дозиметров снимают в течение короткого отрезка времени после облучения.</w:t>
            </w:r>
          </w:p>
          <w:p>
            <w:pPr>
              <w:spacing w:after="20"/>
              <w:ind w:left="20"/>
              <w:jc w:val="both"/>
            </w:pPr>
            <w:r>
              <w:rPr>
                <w:rFonts w:ascii="Times New Roman"/>
                <w:b w:val="false"/>
                <w:i w:val="false"/>
                <w:color w:val="000000"/>
                <w:sz w:val="20"/>
              </w:rPr>
              <w:t>
   100. В качестве средства дополнительного контроля используются биологические индикаторы.</w:t>
            </w:r>
          </w:p>
          <w:p>
            <w:pPr>
              <w:spacing w:after="20"/>
              <w:ind w:left="20"/>
              <w:jc w:val="both"/>
            </w:pPr>
            <w:r>
              <w:rPr>
                <w:rFonts w:ascii="Times New Roman"/>
                <w:b w:val="false"/>
                <w:i w:val="false"/>
                <w:color w:val="000000"/>
                <w:sz w:val="20"/>
              </w:rPr>
              <w:t xml:space="preserve">
   101. Процедуры валидации гарантируют, что учтено влияние разной плотности укладки стерилизуемой продукции. </w:t>
            </w:r>
          </w:p>
          <w:p>
            <w:pPr>
              <w:spacing w:after="20"/>
              <w:ind w:left="20"/>
              <w:jc w:val="both"/>
            </w:pPr>
            <w:r>
              <w:rPr>
                <w:rFonts w:ascii="Times New Roman"/>
                <w:b w:val="false"/>
                <w:i w:val="false"/>
                <w:color w:val="000000"/>
                <w:sz w:val="20"/>
              </w:rPr>
              <w:t>
   102. Процедуры обращения с материалами предотвращают перепутывание между облученными и необлученными материалами. На каждую упаковку наносятся чувствительные к излучению цветовые индикаторы для того, чтобы различать упаковки, прошедшие и не прошедшие облучение.</w:t>
            </w:r>
          </w:p>
          <w:p>
            <w:pPr>
              <w:spacing w:after="20"/>
              <w:ind w:left="20"/>
              <w:jc w:val="both"/>
            </w:pPr>
            <w:r>
              <w:rPr>
                <w:rFonts w:ascii="Times New Roman"/>
                <w:b w:val="false"/>
                <w:i w:val="false"/>
                <w:color w:val="000000"/>
                <w:sz w:val="20"/>
              </w:rPr>
              <w:t>
   103. Суммарная поглощенная доза излучения набирается в течение времени, отведенного на процесс стерилизации.</w:t>
            </w:r>
          </w:p>
          <w:p>
            <w:pPr>
              <w:spacing w:after="20"/>
              <w:ind w:left="20"/>
              <w:jc w:val="both"/>
            </w:pPr>
            <w:r>
              <w:rPr>
                <w:rFonts w:ascii="Times New Roman"/>
                <w:b w:val="false"/>
                <w:i w:val="false"/>
                <w:color w:val="000000"/>
                <w:sz w:val="20"/>
              </w:rPr>
              <w:t>
   </w:t>
            </w:r>
            <w:r>
              <w:rPr>
                <w:rFonts w:ascii="Times New Roman"/>
                <w:b/>
                <w:i w:val="false"/>
                <w:color w:val="000000"/>
                <w:sz w:val="20"/>
              </w:rPr>
              <w:t>Стерилизация оксидом этилена</w:t>
            </w:r>
          </w:p>
          <w:p>
            <w:pPr>
              <w:spacing w:after="20"/>
              <w:ind w:left="20"/>
              <w:jc w:val="both"/>
            </w:pPr>
            <w:r>
              <w:rPr>
                <w:rFonts w:ascii="Times New Roman"/>
                <w:b w:val="false"/>
                <w:i w:val="false"/>
                <w:color w:val="000000"/>
                <w:sz w:val="20"/>
              </w:rPr>
              <w:t>
   104. Этот метод используется только тогда, когда невозможно использование другого способа. Во время валидации процесса доказывается, что отсутствует повреждающее влияние на продукцию, а предусмотренные для дегазации условия и время таковы, что количество остаточного газа и продуктов реакции будет находиться в допустимых пределах, установленных для данного вида продукции или материала.</w:t>
            </w:r>
          </w:p>
          <w:p>
            <w:pPr>
              <w:spacing w:after="20"/>
              <w:ind w:left="20"/>
              <w:jc w:val="both"/>
            </w:pPr>
            <w:r>
              <w:rPr>
                <w:rFonts w:ascii="Times New Roman"/>
                <w:b w:val="false"/>
                <w:i w:val="false"/>
                <w:color w:val="000000"/>
                <w:sz w:val="20"/>
              </w:rPr>
              <w:t>
   105. Существенное значение имеет непосредственный контакт между газом и микроорганизмами. Следует принять меры предосторожности от включения микроорганизмов в материал (например, в кристаллы или высушенный белок). Вид и количество упаковочных материалов могут существенно повлиять на процесс.</w:t>
            </w:r>
          </w:p>
          <w:p>
            <w:pPr>
              <w:spacing w:after="20"/>
              <w:ind w:left="20"/>
              <w:jc w:val="both"/>
            </w:pPr>
            <w:r>
              <w:rPr>
                <w:rFonts w:ascii="Times New Roman"/>
                <w:b w:val="false"/>
                <w:i w:val="false"/>
                <w:color w:val="000000"/>
                <w:sz w:val="20"/>
              </w:rPr>
              <w:t>
   106. Перед обработкой газом обеспечивается соответствие влажности и температуры материалов требованиям процесса. Требуемое для этого время является по возможности, минимальным.</w:t>
            </w:r>
          </w:p>
          <w:p>
            <w:pPr>
              <w:spacing w:after="20"/>
              <w:ind w:left="20"/>
              <w:jc w:val="both"/>
            </w:pPr>
            <w:r>
              <w:rPr>
                <w:rFonts w:ascii="Times New Roman"/>
                <w:b w:val="false"/>
                <w:i w:val="false"/>
                <w:color w:val="000000"/>
                <w:sz w:val="20"/>
              </w:rPr>
              <w:t>
   107. Каждый цикл стерилизации контролируется с помощью соответствующих биологических индикаторов, необходимое количество которых равномерно распределяется по всей загрузке. Полученная при этом информация составляет часть записей, относящихся к серии (досье на серию) готовой продукции.</w:t>
            </w:r>
          </w:p>
          <w:p>
            <w:pPr>
              <w:spacing w:after="20"/>
              <w:ind w:left="20"/>
              <w:jc w:val="both"/>
            </w:pPr>
            <w:r>
              <w:rPr>
                <w:rFonts w:ascii="Times New Roman"/>
                <w:b w:val="false"/>
                <w:i w:val="false"/>
                <w:color w:val="000000"/>
                <w:sz w:val="20"/>
              </w:rPr>
              <w:t>
   108. Для каждого цикла стерилизации оформляются записи с указанием времени полного завершения цикла, давления, температуры и влажности в камере во время процесса, а также концентрации и общего количества использованного газа. Давление и температуру следует регистрировать на протяжении всего цикла на диаграмме. Эти записи составляют часть записей, относящихся к серии (досье на серию) готовой продукции.</w:t>
            </w:r>
          </w:p>
          <w:p>
            <w:pPr>
              <w:spacing w:after="20"/>
              <w:ind w:left="20"/>
              <w:jc w:val="both"/>
            </w:pPr>
            <w:r>
              <w:rPr>
                <w:rFonts w:ascii="Times New Roman"/>
                <w:b w:val="false"/>
                <w:i w:val="false"/>
                <w:color w:val="000000"/>
                <w:sz w:val="20"/>
              </w:rPr>
              <w:t>
   109. Загрузку после стерилизации следует хранить под контролем в условиях вентиляции, чтобы обеспечить снижение содержания остаточного газа и продуктов реакции до установленного предела. Этот процесс проходит валидацию.</w:t>
            </w:r>
          </w:p>
          <w:p>
            <w:pPr>
              <w:spacing w:after="20"/>
              <w:ind w:left="20"/>
              <w:jc w:val="both"/>
            </w:pPr>
            <w:r>
              <w:rPr>
                <w:rFonts w:ascii="Times New Roman"/>
                <w:b w:val="false"/>
                <w:i w:val="false"/>
                <w:color w:val="000000"/>
                <w:sz w:val="20"/>
              </w:rPr>
              <w:t>
   </w:t>
            </w:r>
            <w:r>
              <w:rPr>
                <w:rFonts w:ascii="Times New Roman"/>
                <w:b/>
                <w:i w:val="false"/>
                <w:color w:val="000000"/>
                <w:sz w:val="20"/>
              </w:rPr>
              <w:t>Фильтрация лекарственных средств, которые не простерилизованы в окончательной упаковке</w:t>
            </w:r>
          </w:p>
          <w:p>
            <w:pPr>
              <w:spacing w:after="20"/>
              <w:ind w:left="20"/>
              <w:jc w:val="both"/>
            </w:pPr>
            <w:r>
              <w:rPr>
                <w:rFonts w:ascii="Times New Roman"/>
                <w:b w:val="false"/>
                <w:i w:val="false"/>
                <w:color w:val="000000"/>
                <w:sz w:val="20"/>
              </w:rPr>
              <w:t>
   110. Проведение стерилизующей фильтрации не является достаточным условием стерилизации, если возможно проведение стерилизации продукции в окончательной упаковке. Предпочтительным является метод стерилизации паром. Если продукция не может быть простерилизована в окончательной упаковке, то растворы или жидкости могут быть профильтрованы через стерильный фильтр с номинальным размером пор 0,22 мкм (или менее) или через фильтр с аналогичной способностью задерживать микроорганизмы в предварительно простерилизованные контейнеры (упаковки). Такие фильтры могут удалять большинство бактерий и плесневых грибов, но не все вирусы или микоплазмы. Поэтому рассматривается возможность дополнения процесса фильтрации термической обработкой определенной степени.</w:t>
            </w:r>
          </w:p>
          <w:p>
            <w:pPr>
              <w:spacing w:after="20"/>
              <w:ind w:left="20"/>
              <w:jc w:val="both"/>
            </w:pPr>
            <w:r>
              <w:rPr>
                <w:rFonts w:ascii="Times New Roman"/>
                <w:b w:val="false"/>
                <w:i w:val="false"/>
                <w:color w:val="000000"/>
                <w:sz w:val="20"/>
              </w:rPr>
              <w:t xml:space="preserve">
   111. В связи с тем, что при стерилизующей фильтрации по сравнению с другими процессами стерилизации существует потенциальный дополнительный риск, непосредственно перед фасовкой рекомендуется повторная фильтрация через дополнительный стерилизующий фильтр, задерживающий микроорганизмы. Последнюю стерилизующую фильтрацию необходимо осуществлять ближе к месту фасовки. </w:t>
            </w:r>
          </w:p>
          <w:p>
            <w:pPr>
              <w:spacing w:after="20"/>
              <w:ind w:left="20"/>
              <w:jc w:val="both"/>
            </w:pPr>
            <w:r>
              <w:rPr>
                <w:rFonts w:ascii="Times New Roman"/>
                <w:b w:val="false"/>
                <w:i w:val="false"/>
                <w:color w:val="000000"/>
                <w:sz w:val="20"/>
              </w:rPr>
              <w:t>
   112. Следует использовать фильтры с минимальным отделением волокон.</w:t>
            </w:r>
          </w:p>
          <w:p>
            <w:pPr>
              <w:spacing w:after="20"/>
              <w:ind w:left="20"/>
              <w:jc w:val="both"/>
            </w:pPr>
            <w:r>
              <w:rPr>
                <w:rFonts w:ascii="Times New Roman"/>
                <w:b w:val="false"/>
                <w:i w:val="false"/>
                <w:color w:val="000000"/>
                <w:sz w:val="20"/>
              </w:rPr>
              <w:t>
   113. Перед использованием стерилизующего фильтра и сразу после его использования следует проверять его целостность таким методом, как "точка пузырька", методом диффузионного потока или испытанием под давлением. При валидации следует определять время, необходимое для фильтрации раствора заданного объема, и перепад давлений на фильтре; любые существенные отклонения от этих параметров во время текущего производства следует регистрировать и исследовать. Результаты этих проверок включаются в состав записей, относящихся к серии (досье на серию) продукции. Сразу после использования следует подтверждать целостность критических газовых и воздушных фильтров. Целостность других фильтров необходимо подтверждать через соответствующие интервалы времени.</w:t>
            </w:r>
          </w:p>
          <w:p>
            <w:pPr>
              <w:spacing w:after="20"/>
              <w:ind w:left="20"/>
              <w:jc w:val="both"/>
            </w:pPr>
            <w:r>
              <w:rPr>
                <w:rFonts w:ascii="Times New Roman"/>
                <w:b w:val="false"/>
                <w:i w:val="false"/>
                <w:color w:val="000000"/>
                <w:sz w:val="20"/>
              </w:rPr>
              <w:t>
   114. Не допускается использовать один и тот же фильтр в течение более одного рабочего дня, за исключением случаев, когда возможность более длительного его использования подтверждена валидацией.</w:t>
            </w:r>
          </w:p>
          <w:p>
            <w:pPr>
              <w:spacing w:after="20"/>
              <w:ind w:left="20"/>
              <w:jc w:val="both"/>
            </w:pPr>
            <w:r>
              <w:rPr>
                <w:rFonts w:ascii="Times New Roman"/>
                <w:b w:val="false"/>
                <w:i w:val="false"/>
                <w:color w:val="000000"/>
                <w:sz w:val="20"/>
              </w:rPr>
              <w:t>
   115. Фильтр не оказывает влияния на продукцию, задерживая ее ингредиенты или выделяя в нее какие-либо вещества.</w:t>
            </w:r>
          </w:p>
          <w:p>
            <w:pPr>
              <w:spacing w:after="20"/>
              <w:ind w:left="20"/>
              <w:jc w:val="both"/>
            </w:pPr>
            <w:r>
              <w:rPr>
                <w:rFonts w:ascii="Times New Roman"/>
                <w:b w:val="false"/>
                <w:i w:val="false"/>
                <w:color w:val="000000"/>
                <w:sz w:val="20"/>
              </w:rPr>
              <w:t>
   </w:t>
            </w:r>
            <w:r>
              <w:rPr>
                <w:rFonts w:ascii="Times New Roman"/>
                <w:b/>
                <w:i w:val="false"/>
                <w:color w:val="000000"/>
                <w:sz w:val="20"/>
              </w:rPr>
              <w:t>Окончание процесса производства стерильной продукции</w:t>
            </w:r>
          </w:p>
          <w:p>
            <w:pPr>
              <w:spacing w:after="20"/>
              <w:ind w:left="20"/>
              <w:jc w:val="both"/>
            </w:pPr>
            <w:r>
              <w:rPr>
                <w:rFonts w:ascii="Times New Roman"/>
                <w:b w:val="false"/>
                <w:i w:val="false"/>
                <w:color w:val="000000"/>
                <w:sz w:val="20"/>
              </w:rPr>
              <w:t>
   116. Частично укупоренные флаконы после завершения лиофильного высушивания находятся в зоне класса A до их полного укупоривания пробкой.</w:t>
            </w:r>
          </w:p>
          <w:p>
            <w:pPr>
              <w:spacing w:after="20"/>
              <w:ind w:left="20"/>
              <w:jc w:val="both"/>
            </w:pPr>
            <w:r>
              <w:rPr>
                <w:rFonts w:ascii="Times New Roman"/>
                <w:b w:val="false"/>
                <w:i w:val="false"/>
                <w:color w:val="000000"/>
                <w:sz w:val="20"/>
              </w:rPr>
              <w:t>
   117. Контейнеры (первичные упаковки) укупориваются соответствующими способами, которые прошли валидацию. При использовании метода запайки, например, стеклянных или пластмассовых ампул, вся продукция подлежит 100%-ному контролю на целостность. В других случаях контроль целостности продукции проводится установленными методами.</w:t>
            </w:r>
          </w:p>
          <w:p>
            <w:pPr>
              <w:spacing w:after="20"/>
              <w:ind w:left="20"/>
              <w:jc w:val="both"/>
            </w:pPr>
            <w:r>
              <w:rPr>
                <w:rFonts w:ascii="Times New Roman"/>
                <w:b w:val="false"/>
                <w:i w:val="false"/>
                <w:color w:val="000000"/>
                <w:sz w:val="20"/>
              </w:rPr>
              <w:t>
   118. Система укупоривания флаконов, наполненных в асептических условиях, не является полностью целостной до тех пор, пока на укупоренном пробкой флаконе не будет обжат (закатан) алюминиевый колпачок (крышка). В связи с этим обжим колпачка после укупоривания пробкой выполняется как можно раньше.</w:t>
            </w:r>
          </w:p>
          <w:p>
            <w:pPr>
              <w:spacing w:after="20"/>
              <w:ind w:left="20"/>
              <w:jc w:val="both"/>
            </w:pPr>
            <w:r>
              <w:rPr>
                <w:rFonts w:ascii="Times New Roman"/>
                <w:b w:val="false"/>
                <w:i w:val="false"/>
                <w:color w:val="000000"/>
                <w:sz w:val="20"/>
              </w:rPr>
              <w:t>
   119. Поскольку при обжиме колпачков может выделяться большое количество механических частиц, оборудование для обжима следует размещать отдельно и снабжать его системой вытяжки воздуха.</w:t>
            </w:r>
          </w:p>
          <w:p>
            <w:pPr>
              <w:spacing w:after="20"/>
              <w:ind w:left="20"/>
              <w:jc w:val="both"/>
            </w:pPr>
            <w:r>
              <w:rPr>
                <w:rFonts w:ascii="Times New Roman"/>
                <w:b w:val="false"/>
                <w:i w:val="false"/>
                <w:color w:val="000000"/>
                <w:sz w:val="20"/>
              </w:rPr>
              <w:t>
   120. Обжим колпачков на флаконах проводится как часть асептического процесса с использованием простерилизованных колпачков или в условиях чистого помещения вне асептической зоны. В последнем случае флаконы защищаются зоной класса А, пока не покинут асептическую зону, и в дальнейшем укупоренные пробками флаконы защищаются путем подачи чистого воздуха класса А, пока на них не будут обжаты колпачки.</w:t>
            </w:r>
          </w:p>
          <w:p>
            <w:pPr>
              <w:spacing w:after="20"/>
              <w:ind w:left="20"/>
              <w:jc w:val="both"/>
            </w:pPr>
            <w:r>
              <w:rPr>
                <w:rFonts w:ascii="Times New Roman"/>
                <w:b w:val="false"/>
                <w:i w:val="false"/>
                <w:color w:val="000000"/>
                <w:sz w:val="20"/>
              </w:rPr>
              <w:t>
   121. Флаконы без пробки или со смещенной пробкой следует удалять до обжима колпачка. Если при обжиме колпачков необходимо вмешательство человека, следует использовать соответствующую технологию для исключения прямого контакта с флаконами и минимизации микробной контаминации.</w:t>
            </w:r>
          </w:p>
          <w:p>
            <w:pPr>
              <w:spacing w:after="20"/>
              <w:ind w:left="20"/>
              <w:jc w:val="both"/>
            </w:pPr>
            <w:r>
              <w:rPr>
                <w:rFonts w:ascii="Times New Roman"/>
                <w:b w:val="false"/>
                <w:i w:val="false"/>
                <w:color w:val="000000"/>
                <w:sz w:val="20"/>
              </w:rPr>
              <w:t>
   122. Эффективным средством защиты являются барьеры или изоляторы, ограничивающие доступ в рабочую зону, обеспечивающие требуемые условия и сводящие к минимуму прямой доступ человека к операции обжима.</w:t>
            </w:r>
          </w:p>
          <w:p>
            <w:pPr>
              <w:spacing w:after="20"/>
              <w:ind w:left="20"/>
              <w:jc w:val="both"/>
            </w:pPr>
            <w:r>
              <w:rPr>
                <w:rFonts w:ascii="Times New Roman"/>
                <w:b w:val="false"/>
                <w:i w:val="false"/>
                <w:color w:val="000000"/>
                <w:sz w:val="20"/>
              </w:rPr>
              <w:t>
   123. Первичные упаковки, герметизированные под вакуумом (вакуумные упаковки), проверяются на сохранение вакуума после заранее определенного промежутка времени.</w:t>
            </w:r>
          </w:p>
          <w:p>
            <w:pPr>
              <w:spacing w:after="20"/>
              <w:ind w:left="20"/>
              <w:jc w:val="both"/>
            </w:pPr>
            <w:r>
              <w:rPr>
                <w:rFonts w:ascii="Times New Roman"/>
                <w:b w:val="false"/>
                <w:i w:val="false"/>
                <w:color w:val="000000"/>
                <w:sz w:val="20"/>
              </w:rPr>
              <w:t>
   124. Первичные упаковки с продукцией для парентерального введения необходимо проверять индивидуально (поштучно) на наличие посторонних включений или других несоответствий по качеству. Визуальный контроль проводят при установленных уровнях освещенности и фоне рабочего поля. Регулярно проверяется зрение операторов, выполняющих визуальный контроль (если операторы используют очки, то проверка зрения проводится в очках). В ходе визуального контроля продукции достаточно часто организовываются перерывы в работе операторов. При использовании других методов контроля процесс контроля валидируется, состояние оборудования периодически проверяется. Результаты визуального контроля оформляются документально.</w:t>
            </w:r>
          </w:p>
          <w:p>
            <w:pPr>
              <w:spacing w:after="20"/>
              <w:ind w:left="20"/>
              <w:jc w:val="both"/>
            </w:pPr>
            <w:r>
              <w:rPr>
                <w:rFonts w:ascii="Times New Roman"/>
                <w:b w:val="false"/>
                <w:i w:val="false"/>
                <w:color w:val="000000"/>
                <w:sz w:val="20"/>
              </w:rPr>
              <w:t>
   </w:t>
            </w:r>
            <w:r>
              <w:rPr>
                <w:rFonts w:ascii="Times New Roman"/>
                <w:b/>
                <w:i w:val="false"/>
                <w:color w:val="000000"/>
                <w:sz w:val="20"/>
              </w:rPr>
              <w:t>Контроль качества</w:t>
            </w:r>
          </w:p>
          <w:p>
            <w:pPr>
              <w:spacing w:after="20"/>
              <w:ind w:left="20"/>
              <w:jc w:val="both"/>
            </w:pPr>
            <w:r>
              <w:rPr>
                <w:rFonts w:ascii="Times New Roman"/>
                <w:b w:val="false"/>
                <w:i w:val="false"/>
                <w:color w:val="000000"/>
                <w:sz w:val="20"/>
              </w:rPr>
              <w:t>
   125. Испытание готовых продуктов на стерильность рассматривается как завершающий этап в серии контрольных мероприятий, гарантирующих стерильность. Методика испытания на стерильность валидируется для каждого продукта.</w:t>
            </w:r>
          </w:p>
          <w:p>
            <w:pPr>
              <w:spacing w:after="20"/>
              <w:ind w:left="20"/>
              <w:jc w:val="both"/>
            </w:pPr>
            <w:r>
              <w:rPr>
                <w:rFonts w:ascii="Times New Roman"/>
                <w:b w:val="false"/>
                <w:i w:val="false"/>
                <w:color w:val="000000"/>
                <w:sz w:val="20"/>
              </w:rPr>
              <w:t>
   126. В случаях, когда получено разрешение на выпуск стерильной продукции по параметрам в соответствии с приложением 17 к настоящему Стандарту, следует уделить особое внимание валидации и контролю всего технологического процесса.</w:t>
            </w:r>
          </w:p>
          <w:p>
            <w:pPr>
              <w:spacing w:after="20"/>
              <w:ind w:left="20"/>
              <w:jc w:val="both"/>
            </w:pPr>
            <w:r>
              <w:rPr>
                <w:rFonts w:ascii="Times New Roman"/>
                <w:b w:val="false"/>
                <w:i w:val="false"/>
                <w:color w:val="000000"/>
                <w:sz w:val="20"/>
              </w:rPr>
              <w:t>
   127. Выборка образцов продукции, которые были отобраны для проведения испытания на стерильность, репрезентативна для всей серии, и обязательно включает образцы, отобранные из тех частей серии, для которых предполагается наибольший риск контаминации, например:</w:t>
            </w:r>
          </w:p>
          <w:p>
            <w:pPr>
              <w:spacing w:after="20"/>
              <w:ind w:left="20"/>
              <w:jc w:val="both"/>
            </w:pPr>
            <w:r>
              <w:rPr>
                <w:rFonts w:ascii="Times New Roman"/>
                <w:b w:val="false"/>
                <w:i w:val="false"/>
                <w:color w:val="000000"/>
                <w:sz w:val="20"/>
              </w:rPr>
              <w:t>
   1) для продуктов, наполненных в асептических условиях, образцы включают контейнеры (первичные упаковки), в которые происходила наполнение в начале и в конце производства серии, а также после любого значительного вмешательства;</w:t>
            </w:r>
          </w:p>
          <w:p>
            <w:pPr>
              <w:spacing w:after="20"/>
              <w:ind w:left="20"/>
              <w:jc w:val="both"/>
            </w:pPr>
            <w:r>
              <w:rPr>
                <w:rFonts w:ascii="Times New Roman"/>
                <w:b w:val="false"/>
                <w:i w:val="false"/>
                <w:color w:val="000000"/>
                <w:sz w:val="20"/>
              </w:rPr>
              <w:t>
   2) для продуктов, прошедших термическую стерилизацию в окончательной упаковке, уделяется внимание отбору проб из потенциально самых холодных частей загрузки.</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514"/>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Производство биологических (в том числе иммунобиологических) активных фармацевтических субстанций и лекарственных препаратов для медицинского применения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Область применения</w:t>
                  </w:r>
                </w:p>
              </w:tc>
            </w:tr>
          </w:tbl>
          <w:p/>
          <w:p>
            <w:pPr>
              <w:spacing w:after="20"/>
              <w:ind w:left="20"/>
              <w:jc w:val="both"/>
            </w:pPr>
            <w:r>
              <w:rPr>
                <w:rFonts w:ascii="Times New Roman"/>
                <w:b w:val="false"/>
                <w:i w:val="false"/>
                <w:color w:val="000000"/>
                <w:sz w:val="20"/>
              </w:rPr>
              <w:t>
   Технология производства биологических (в том числе иммунобиологических) активных фармацевтических субстанций и биологических лекарственных препаратов для медицинского применения (далее - "биологические активные фармацевтические субстанции и лекарственные препараты"), является критическим фактором, определяющим соответствующий регуляторный контроль. Активные фармацевтические субстанции и лекарственные препараты определяются как биологические в значительной мере исходя из технологии их производства. Это Приложение служит руководством для всего спектра биологических активных фармацевтических субстанций и биологических лекарственных препаратов.</w:t>
            </w:r>
          </w:p>
          <w:p>
            <w:pPr>
              <w:spacing w:after="20"/>
              <w:ind w:left="20"/>
              <w:jc w:val="both"/>
            </w:pPr>
            <w:r>
              <w:rPr>
                <w:rFonts w:ascii="Times New Roman"/>
                <w:b w:val="false"/>
                <w:i w:val="false"/>
                <w:color w:val="000000"/>
                <w:sz w:val="20"/>
              </w:rPr>
              <w:t>
   Данное Приложение разделено на две основные части:</w:t>
            </w:r>
          </w:p>
          <w:p>
            <w:pPr>
              <w:spacing w:after="20"/>
              <w:ind w:left="20"/>
              <w:jc w:val="both"/>
            </w:pPr>
            <w:r>
              <w:rPr>
                <w:rFonts w:ascii="Times New Roman"/>
                <w:b w:val="false"/>
                <w:i w:val="false"/>
                <w:color w:val="000000"/>
                <w:sz w:val="20"/>
              </w:rPr>
              <w:t xml:space="preserve">
   1) часть A содержит дополнительные правила производства биологических активных фармацевтических субстанций и лекарственных препаратов, начиная от контроля посевных культур и банков клеток и заканчивая заключительными операциями и проведением испытаний; </w:t>
            </w:r>
          </w:p>
          <w:p>
            <w:pPr>
              <w:spacing w:after="20"/>
              <w:ind w:left="20"/>
              <w:jc w:val="both"/>
            </w:pPr>
            <w:r>
              <w:rPr>
                <w:rFonts w:ascii="Times New Roman"/>
                <w:b w:val="false"/>
                <w:i w:val="false"/>
                <w:color w:val="000000"/>
                <w:sz w:val="20"/>
              </w:rPr>
              <w:t>
   2) часть B содержит дополнительное руководство для отдельных типов биологических активных фармацевтических субстанций и лекарственных препаратов.</w:t>
            </w:r>
          </w:p>
          <w:p>
            <w:pPr>
              <w:spacing w:after="20"/>
              <w:ind w:left="20"/>
              <w:jc w:val="both"/>
            </w:pPr>
            <w:r>
              <w:rPr>
                <w:rFonts w:ascii="Times New Roman"/>
                <w:b w:val="false"/>
                <w:i w:val="false"/>
                <w:color w:val="000000"/>
                <w:sz w:val="20"/>
              </w:rPr>
              <w:t>
   Это Приложение, наряду с некоторыми другими приложениями к настоящему Стандарту, содержит указания, дополняющие Часть I и Часть II настоящего Стандарта Область применения данного Приложения содержит два аспекта:</w:t>
            </w:r>
          </w:p>
          <w:p>
            <w:pPr>
              <w:spacing w:after="20"/>
              <w:ind w:left="20"/>
              <w:jc w:val="both"/>
            </w:pPr>
            <w:r>
              <w:rPr>
                <w:rFonts w:ascii="Times New Roman"/>
                <w:b w:val="false"/>
                <w:i w:val="false"/>
                <w:color w:val="000000"/>
                <w:sz w:val="20"/>
              </w:rPr>
              <w:t>
   1) стадия производства: до того момента, пока биологические активные фармацевтические субстанции не станут стерильными, основным документом для них является Часть II настоящего Стандарта. Правила для последующих стадий производства биологических лекарственных препаратов содержатся в Части I настоящего Стандарта;</w:t>
            </w:r>
          </w:p>
          <w:p>
            <w:pPr>
              <w:spacing w:after="20"/>
              <w:ind w:left="20"/>
              <w:jc w:val="both"/>
            </w:pPr>
            <w:r>
              <w:rPr>
                <w:rFonts w:ascii="Times New Roman"/>
                <w:b w:val="false"/>
                <w:i w:val="false"/>
                <w:color w:val="000000"/>
                <w:sz w:val="20"/>
              </w:rPr>
              <w:t>
   2) вид продукции: настоящее Приложение является руководящим документом для всего спектра биологических лекарственных препаратов.</w:t>
            </w:r>
          </w:p>
          <w:p>
            <w:pPr>
              <w:spacing w:after="20"/>
              <w:ind w:left="20"/>
              <w:jc w:val="both"/>
            </w:pPr>
            <w:r>
              <w:rPr>
                <w:rFonts w:ascii="Times New Roman"/>
                <w:b w:val="false"/>
                <w:i w:val="false"/>
                <w:color w:val="000000"/>
                <w:sz w:val="20"/>
              </w:rPr>
              <w:t xml:space="preserve">
   Уровень требований усиливается по мере перехода от ранних к поздним стадиям производства биологических активных фармацевтических субстанций, однако принципы настоящего Стандарта всегда соблюдаются. Включение некоторых ранних стадий производства в область применения данного Приложения не подразумевает, что эти стадии подлежат регулярным проверкам уполномоченными органами. </w:t>
            </w:r>
          </w:p>
          <w:p>
            <w:pPr>
              <w:spacing w:after="20"/>
              <w:ind w:left="20"/>
              <w:jc w:val="both"/>
            </w:pPr>
            <w:r>
              <w:rPr>
                <w:rFonts w:ascii="Times New Roman"/>
                <w:b w:val="false"/>
                <w:i w:val="false"/>
                <w:color w:val="000000"/>
                <w:sz w:val="20"/>
              </w:rPr>
              <w:t>
   Антибиотики не являются биологическими лекарственными препаратами, однако требования этого Приложения используются на биологических стадиях их производства. Руководство для лекарственных препаратов, полученных из фракционированной донорской крови или плазмы, описано в Приложении 14 к настоящему Стандарту, а для нетрансгенных растительных лекарственных препаратов – в Приложении 7.</w:t>
            </w:r>
          </w:p>
          <w:p>
            <w:pPr>
              <w:spacing w:after="20"/>
              <w:ind w:left="20"/>
              <w:jc w:val="both"/>
            </w:pPr>
            <w:r>
              <w:rPr>
                <w:rFonts w:ascii="Times New Roman"/>
                <w:b w:val="false"/>
                <w:i w:val="false"/>
                <w:color w:val="000000"/>
                <w:sz w:val="20"/>
              </w:rPr>
              <w:t>
   В определенных случаях в отношении исходного сырья применяется другое законодательство:</w:t>
            </w:r>
          </w:p>
          <w:p>
            <w:pPr>
              <w:spacing w:after="20"/>
              <w:ind w:left="20"/>
              <w:jc w:val="both"/>
            </w:pPr>
            <w:r>
              <w:rPr>
                <w:rFonts w:ascii="Times New Roman"/>
                <w:b w:val="false"/>
                <w:i w:val="false"/>
                <w:color w:val="000000"/>
                <w:sz w:val="20"/>
              </w:rPr>
              <w:t xml:space="preserve">
   1) для тканей и клеток, используемых для промышленного производства продукции – соответствующее законодательство. Такие ткани и клетки становятся биологическими активными фармацевтическими субстанциями для некоторых видов биологических лекарственных препаратов, для которых применяются требования настоящего Стандарта и другие требования к лекарственным средствам; </w:t>
            </w:r>
          </w:p>
          <w:p>
            <w:pPr>
              <w:spacing w:after="20"/>
              <w:ind w:left="20"/>
              <w:jc w:val="both"/>
            </w:pPr>
            <w:r>
              <w:rPr>
                <w:rFonts w:ascii="Times New Roman"/>
                <w:b w:val="false"/>
                <w:i w:val="false"/>
                <w:color w:val="000000"/>
                <w:sz w:val="20"/>
              </w:rPr>
              <w:t>
   2) в отношении высокотехнологичных лекарственных средств, в которых кровь или компоненты крови используются в качестве исходного сырья - соответствующее законодательство, которое устанавливает требования к отбору доноров, к качеству и безопасности при заборе, тестировании, обработке, хранению и транспортированию человеческой крови и ее компонентов;</w:t>
            </w:r>
          </w:p>
          <w:p>
            <w:pPr>
              <w:spacing w:after="20"/>
              <w:ind w:left="20"/>
              <w:jc w:val="both"/>
            </w:pPr>
            <w:r>
              <w:rPr>
                <w:rFonts w:ascii="Times New Roman"/>
                <w:b w:val="false"/>
                <w:i w:val="false"/>
                <w:color w:val="000000"/>
                <w:sz w:val="20"/>
              </w:rPr>
              <w:t>
   3) производство и контроль генетически модифицированных организмов соответствуют требованиям законодательства. Обеспечивается и соблюдается соответствующая изоляция и другие меры защиты на объектах, где осуществляется какая-либо работа с генетически модифицированными микроорганизмами. Для установления и соблюдения соответствующего уровня биологической безопасности получают соответствующее разрешение уполномоченных органов, если таковое предусмотрено законодательством, при этом соблюдаются требования настоящего Стандарта.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Таблица 1. Иллюстративное руководство по производственной деятельности в рамках области применения Приложения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3151"/>
              <w:gridCol w:w="2338"/>
              <w:gridCol w:w="2385"/>
              <w:gridCol w:w="2114"/>
              <w:gridCol w:w="759"/>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p>
                  <w:pPr>
                    <w:spacing w:after="20"/>
                    <w:ind w:left="20"/>
                    <w:jc w:val="both"/>
                  </w:pPr>
                  <w:r>
                    <w:rPr>
                      <w:rFonts w:ascii="Times New Roman"/>
                      <w:b w:val="false"/>
                      <w:i w:val="false"/>
                      <w:color w:val="000000"/>
                      <w:sz w:val="20"/>
                    </w:rPr>
                    <w:t>
и источник материалов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настоящего Стандарта к стадиям производства</w:t>
                  </w:r>
                </w:p>
                <w:p>
                  <w:pPr>
                    <w:spacing w:after="20"/>
                    <w:ind w:left="20"/>
                    <w:jc w:val="both"/>
                  </w:pPr>
                  <w:r>
                    <w:rPr>
                      <w:rFonts w:ascii="Times New Roman"/>
                      <w:b w:val="false"/>
                      <w:i w:val="false"/>
                      <w:color w:val="000000"/>
                      <w:sz w:val="20"/>
                    </w:rPr>
                    <w:t>
(выделено серым фоном и жирным шрифтом)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Животного или растительного </w:t>
                  </w:r>
                </w:p>
                <w:p>
                  <w:pPr>
                    <w:spacing w:after="20"/>
                    <w:ind w:left="20"/>
                    <w:jc w:val="both"/>
                  </w:pPr>
                  <w:r>
                    <w:rPr>
                      <w:rFonts w:ascii="Times New Roman"/>
                      <w:b w:val="false"/>
                      <w:i w:val="false"/>
                      <w:color w:val="000000"/>
                      <w:sz w:val="20"/>
                    </w:rPr>
                    <w:t>
происхождения: нетрансгенные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инсулин, ферменты, белки, экстракты аллергенов, высокотехнологичные лекарственные средства, иммунные сыворотки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 органов, тканей или жидкостей</w:t>
                  </w:r>
                  <w:r>
                    <w:rPr>
                      <w:rFonts w:ascii="Times New Roman"/>
                      <w:b w:val="false"/>
                      <w:i w:val="false"/>
                      <w:color w:val="000000"/>
                      <w:vertAlign w:val="superscript"/>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смешивание и (или) первичная обработка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и очистка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Вирусы или бактерии/ферментация/ культуры клеток</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или бактериальные вакцины, ферменты, белки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поддержание главного</w:t>
                  </w:r>
                  <w:r>
                    <w:rPr>
                      <w:rFonts w:ascii="Times New Roman"/>
                      <w:b w:val="false"/>
                      <w:i w:val="false"/>
                      <w:color w:val="000000"/>
                      <w:vertAlign w:val="superscript"/>
                    </w:rPr>
                    <w:t>2</w:t>
                  </w:r>
                  <w:r>
                    <w:rPr>
                      <w:rFonts w:ascii="Times New Roman"/>
                      <w:b w:val="false"/>
                      <w:i w:val="false"/>
                      <w:color w:val="000000"/>
                      <w:sz w:val="20"/>
                    </w:rPr>
                    <w:t xml:space="preserve"> и рабочего банков клеток, главного и рабочего вирусных посевных материалов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клеток и (или) ферментация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Инактивация при необходимости, изоляция и очистка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Биотехнология /ферментация/ культуры клеток</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Рекомбинантные продукты, моноклональные антитела, аллергены, вакцины, лекарственные препараты генной терапии (вирусные и невирусные векторы, плазмиды)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поддержание главного и рабочего банков клеток, главной и рабочей посевных культур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клеток и (или) ферментация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очистка, модификация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Животного происхождения:</w:t>
                  </w:r>
                </w:p>
                <w:p>
                  <w:pPr>
                    <w:spacing w:after="20"/>
                    <w:ind w:left="20"/>
                    <w:jc w:val="both"/>
                  </w:pPr>
                  <w:r>
                    <w:rPr>
                      <w:rFonts w:ascii="Times New Roman"/>
                      <w:b w:val="false"/>
                      <w:i w:val="false"/>
                      <w:color w:val="000000"/>
                      <w:sz w:val="20"/>
                    </w:rPr>
                    <w:t>
трансгенные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Рекомбинантные белки, высокотехнологичные лекарственные средства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 рабочий трансгенный банк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смешивание и (или) первичная обработка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очистка и модификация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Растительного происхождения:</w:t>
                  </w:r>
                </w:p>
                <w:p>
                  <w:pPr>
                    <w:spacing w:after="20"/>
                    <w:ind w:left="20"/>
                    <w:jc w:val="both"/>
                  </w:pPr>
                  <w:r>
                    <w:rPr>
                      <w:rFonts w:ascii="Times New Roman"/>
                      <w:b w:val="false"/>
                      <w:i w:val="false"/>
                      <w:color w:val="000000"/>
                      <w:sz w:val="20"/>
                    </w:rPr>
                    <w:t>
трансгенные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Рекомбинантные белки, вакцины, аллергены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 рабочий трансгенный банк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сбор растений</w:t>
                  </w:r>
                  <w:r>
                    <w:rPr>
                      <w:rFonts w:ascii="Times New Roman"/>
                      <w:b w:val="false"/>
                      <w:i w:val="false"/>
                      <w:color w:val="000000"/>
                      <w:vertAlign w:val="superscript"/>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экстракция, изоляция, очистка, модификация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Человеческого происхождения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полученные из мочи, гормоны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жидкостей</w:t>
                  </w:r>
                  <w:r>
                    <w:rPr>
                      <w:rFonts w:ascii="Times New Roman"/>
                      <w:b w:val="false"/>
                      <w:i w:val="false"/>
                      <w:color w:val="000000"/>
                      <w:vertAlign w:val="superscript"/>
                    </w:rPr>
                    <w:t>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Смешивание</w:t>
                  </w:r>
                </w:p>
                <w:p>
                  <w:pPr>
                    <w:spacing w:after="20"/>
                    <w:ind w:left="20"/>
                    <w:jc w:val="both"/>
                  </w:pPr>
                  <w:r>
                    <w:rPr>
                      <w:rFonts w:ascii="Times New Roman"/>
                      <w:b w:val="false"/>
                      <w:i w:val="false"/>
                      <w:color w:val="000000"/>
                      <w:sz w:val="20"/>
                    </w:rPr>
                    <w:t>
и (или) первичная обработка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и очистка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Человеческого и (или) животного происхождения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генной терапии:</w:t>
                  </w:r>
                </w:p>
                <w:p>
                  <w:pPr>
                    <w:spacing w:after="20"/>
                    <w:ind w:left="20"/>
                    <w:jc w:val="both"/>
                  </w:pPr>
                  <w:r>
                    <w:rPr>
                      <w:rFonts w:ascii="Times New Roman"/>
                      <w:b w:val="false"/>
                      <w:i w:val="false"/>
                      <w:color w:val="000000"/>
                      <w:sz w:val="20"/>
                    </w:rPr>
                    <w:t>
генетически модифицированные клетки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поставка и испытания исходных тканей/ клеток</w:t>
                  </w:r>
                  <w:r>
                    <w:rPr>
                      <w:rFonts w:ascii="Times New Roman"/>
                      <w:b w:val="false"/>
                      <w:i w:val="false"/>
                      <w:color w:val="000000"/>
                      <w:vertAlign w:val="superscript"/>
                    </w:rPr>
                    <w:t>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векторов</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очистка клеток и</w:t>
                  </w:r>
                </w:p>
                <w:p>
                  <w:pPr>
                    <w:spacing w:after="20"/>
                    <w:ind w:left="20"/>
                    <w:jc w:val="both"/>
                  </w:pPr>
                  <w:r>
                    <w:rPr>
                      <w:rFonts w:ascii="Times New Roman"/>
                      <w:b w:val="false"/>
                      <w:i w:val="false"/>
                      <w:color w:val="000000"/>
                      <w:sz w:val="20"/>
                    </w:rPr>
                    <w:t>
обработка</w:t>
                  </w:r>
                </w:p>
                <w:p>
                  <w:pPr>
                    <w:spacing w:after="20"/>
                    <w:ind w:left="20"/>
                    <w:jc w:val="both"/>
                  </w:pPr>
                  <w:r>
                    <w:rPr>
                      <w:rFonts w:ascii="Times New Roman"/>
                      <w:b w:val="false"/>
                      <w:i w:val="false"/>
                      <w:color w:val="000000"/>
                      <w:sz w:val="20"/>
                    </w:rPr>
                    <w:t>
Очистка и обработка производственных векторов</w:t>
                  </w:r>
                  <w:r>
                    <w:rPr>
                      <w:rFonts w:ascii="Times New Roman"/>
                      <w:b w:val="false"/>
                      <w:i w:val="false"/>
                      <w:color w:val="000000"/>
                      <w:vertAlign w:val="superscript"/>
                    </w:rPr>
                    <w:t>5</w:t>
                  </w:r>
                  <w:r>
                    <w:rPr>
                      <w:rFonts w:ascii="Times New Roman"/>
                      <w:b w:val="false"/>
                      <w:i w:val="false"/>
                      <w:color w:val="000000"/>
                      <w:sz w:val="20"/>
                    </w:rPr>
                    <w:t xml:space="preserve"> и клеток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Генетическая модификация клеток вне организма, создание главного и рабочего банков клеток или клеточного запаса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терапии соматическими клетками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поставка и испытания исходных тканей/клеток</w:t>
                  </w:r>
                  <w:r>
                    <w:rPr>
                      <w:rFonts w:ascii="Times New Roman"/>
                      <w:b w:val="false"/>
                      <w:i w:val="false"/>
                      <w:color w:val="000000"/>
                      <w:vertAlign w:val="superscript"/>
                    </w:rPr>
                    <w:t>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главного и рабочего банков клеток или клеточного запаса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клеток, очистка культур, соединение с неклеточными компонентами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соединение, наполнение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тканевой инженерии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поставка и испытания исходных тканей/клеток</w:t>
                  </w:r>
                  <w:r>
                    <w:rPr>
                      <w:rFonts w:ascii="Times New Roman"/>
                      <w:b w:val="false"/>
                      <w:i w:val="false"/>
                      <w:color w:val="000000"/>
                      <w:vertAlign w:val="superscript"/>
                    </w:rPr>
                    <w:t>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обработка, изоляция и очистка, создание главного и рабочего банков клеток, запаса первичных клеток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клеток, очистка культур, соединение с неклеточными компонентами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соединение, наполнение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Пояснение терминов: см. словарь к Приложению 2.</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См. раздел B1 для границ, в которых применяются принципы настоящего Стандарта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См. раздел "Система посевной культуры и банка клеток" для рамок, в которых применяются принципы настоящего Стандарта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Для выращивания, уборки и первичной обработки, которые осуществляются в полевых условиях, может применяться Руководство по правилам надлежащего выращивания и сбора исходного сырья растительного происхождения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Применяются принципы настоящего Стандарта в соответствии с пояснительным текстом в разделе "Область применения".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Когда это вирусные векторы, основной контроль является таким же, как и при производстве вирусов как указано в строке 2 таблицы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Человеческие ткани и клетки в соответствии с требованиями законодательства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Производство биологических активных фармацевтических субстанций и лекарственных препаратов имеет свою специфику, определяемую характером продукции и технологией производства. Характер производства, контроля и применения биологических лекарственных препаратов требует особых мер предосторожности.</w:t>
            </w:r>
          </w:p>
          <w:p>
            <w:pPr>
              <w:spacing w:after="20"/>
              <w:ind w:left="20"/>
              <w:jc w:val="both"/>
            </w:pPr>
            <w:r>
              <w:rPr>
                <w:rFonts w:ascii="Times New Roman"/>
                <w:b w:val="false"/>
                <w:i w:val="false"/>
                <w:color w:val="000000"/>
                <w:sz w:val="20"/>
              </w:rPr>
              <w:t>
   В отличие от обычных лекарственных средств, производимых с использованием химических и физических методов, способных демонстрировать высокую степень надежности, производство биологических активных фармацевтических субстанций и лекарственных препаратов включает в себя использование биологических процессов и материалов, таких как культивирование клеток или экстрагирование материала из живых организмов. Эти биологические процессы демонстрируют свойственную им изменчивость, что приводит к существенному диапазону побочных продуктов различной природы. Поэтому принципы управления рисками для качества особенно важны для данного класса материалов и соблюдаются при разработке методов контроля на всех стадиях производства для минимизации вариабельности и уменьшения возможности контаминации и перекрестной контаминации.</w:t>
            </w:r>
          </w:p>
          <w:p>
            <w:pPr>
              <w:spacing w:after="20"/>
              <w:ind w:left="20"/>
              <w:jc w:val="both"/>
            </w:pPr>
            <w:r>
              <w:rPr>
                <w:rFonts w:ascii="Times New Roman"/>
                <w:b w:val="false"/>
                <w:i w:val="false"/>
                <w:color w:val="000000"/>
                <w:sz w:val="20"/>
              </w:rPr>
              <w:t>
   Материалы, питательные среды и условия культивирования целевых микроорганизмов, культур клеток, вирусов и т.д. во многом способствуют возможности роста контаминирующих агентов. Кроме того, многие лекарственные препараты имеют ограниченную устойчивость к широкому спектру методов очистки, в особенности к методам, предназначенным для инактивации или устранения посторонних вирусных контаминантов. Для сведения к минимуму возможности такой контаминации основное внимание следует уделять планированию технологического процесса, конструкции оборудования, помещений, систем обеспечения, условиям приготовления и добавления буферов и реагентов, отбору проб и обучению персонала.</w:t>
            </w:r>
          </w:p>
          <w:p>
            <w:pPr>
              <w:spacing w:after="20"/>
              <w:ind w:left="20"/>
              <w:jc w:val="both"/>
            </w:pPr>
            <w:r>
              <w:rPr>
                <w:rFonts w:ascii="Times New Roman"/>
                <w:b w:val="false"/>
                <w:i w:val="false"/>
                <w:color w:val="000000"/>
                <w:sz w:val="20"/>
              </w:rPr>
              <w:t xml:space="preserve">
   Спецификации на продукцию, в частности спецификации в фармакопейных статьях, общих фармакопейных статьях, регистрационное досье определяют уровень бионагрузки веществ и материалов или же их стерильность. Производство также соответствует другим требованиям, изложенным в регистрационном досье либо в протоколе клинического исследования. </w:t>
            </w:r>
          </w:p>
          <w:p>
            <w:pPr>
              <w:spacing w:after="20"/>
              <w:ind w:left="20"/>
              <w:jc w:val="both"/>
            </w:pPr>
            <w:r>
              <w:rPr>
                <w:rFonts w:ascii="Times New Roman"/>
                <w:b w:val="false"/>
                <w:i w:val="false"/>
                <w:color w:val="000000"/>
                <w:sz w:val="20"/>
              </w:rPr>
              <w:t>
   Для биологических материалов, которые не могут быть простерилизованы, производство проводится в асептических условиях для минимизации риска внесения контаминантов. Для регламентации определенных производственных методов, например для удаления или инактивации вирусов, следует руководствоваться соответствующими процедурами. Применение соответствующего контроля и мониторинга за состоянием производственной среды, и, где это является возможным, системы уборки и стерилизации "на месте" вместе с использованием закрытых систем может значительно уменьшить риск случайной контаминации и перекрестной контаминации.</w:t>
            </w:r>
          </w:p>
          <w:p>
            <w:pPr>
              <w:spacing w:after="20"/>
              <w:ind w:left="20"/>
              <w:jc w:val="both"/>
            </w:pPr>
            <w:r>
              <w:rPr>
                <w:rFonts w:ascii="Times New Roman"/>
                <w:b w:val="false"/>
                <w:i w:val="false"/>
                <w:color w:val="000000"/>
                <w:sz w:val="20"/>
              </w:rPr>
              <w:t>
   Контроль обычно включает в себя биологические аналитические методы, которые характеризуются более высокой степенью вариабельности, чем физико-химические методы. Поэтому при производстве биологических активных фармацевтических субстанций и лекарственных препаратов ключевую роль играет надежный производственный процесс, и особое значение имеет контроль в процессе производства.</w:t>
            </w:r>
          </w:p>
          <w:p>
            <w:pPr>
              <w:spacing w:after="20"/>
              <w:ind w:left="20"/>
              <w:jc w:val="both"/>
            </w:pPr>
            <w:r>
              <w:rPr>
                <w:rFonts w:ascii="Times New Roman"/>
                <w:b w:val="false"/>
                <w:i w:val="false"/>
                <w:color w:val="000000"/>
                <w:sz w:val="20"/>
              </w:rPr>
              <w:t xml:space="preserve">
   Биологические лекарственные препараты, в состав которых входят донорские ткани или клетки, как например, определенные высокотехнологичные лекарственные средства, соответствуют требованиям законодательства в части прослеживаемости, уведомления регуляторных органов о неблагоприятных реакциях и клинических случаях в ходе терапии, а также в части технических требований по идентификации, обработке, предохранению, хранению и транспортированию донорских тканей и клеток. Забор материалов и проведение испытаний проводится в соответствии с системой качества, для которой определены стандарты и технические требования. Кроме того, требования нормативных правовых актов распространяются на прослеживаемость в отношении донора (соблюдая конфиденциальность донора) через стадии, осуществляемые в организации по забору/проверке тканей, и до организации, где используется лекарственный препарат в соответствии с требованиями нормативных правовых актов. </w:t>
            </w:r>
          </w:p>
          <w:p>
            <w:pPr>
              <w:spacing w:after="20"/>
              <w:ind w:left="20"/>
              <w:jc w:val="both"/>
            </w:pPr>
            <w:r>
              <w:rPr>
                <w:rFonts w:ascii="Times New Roman"/>
                <w:b w:val="false"/>
                <w:i w:val="false"/>
                <w:color w:val="000000"/>
                <w:sz w:val="20"/>
              </w:rPr>
              <w:t>
   Биологические активные фармацевтические субстанции и лекарственные препараты соответствуют требованиям действующих нормативных правовых актов в отношении уменьшения риска передачи возбудителя губчатой энцефалопатии животных и латентных вирусов через лекарственные препараты для медицинского применения. </w:t>
            </w:r>
          </w:p>
          <w:p>
            <w:pPr>
              <w:spacing w:after="20"/>
              <w:ind w:left="20"/>
              <w:jc w:val="both"/>
            </w:pPr>
            <w:r>
              <w:rPr>
                <w:rFonts w:ascii="Times New Roman"/>
                <w:b w:val="false"/>
                <w:i w:val="false"/>
                <w:color w:val="000000"/>
                <w:sz w:val="20"/>
              </w:rPr>
              <w:t>
</w:t>
            </w:r>
            <w:r>
              <w:rPr>
                <w:rFonts w:ascii="Times New Roman"/>
                <w:b/>
                <w:i w:val="false"/>
                <w:color w:val="000000"/>
                <w:sz w:val="20"/>
              </w:rPr>
              <w:t>ЧАСТЬ A. ОБЩЕЕ РУКОВОДСТВО</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Персонал</w:t>
            </w:r>
            <w:r>
              <w:rPr>
                <w:rFonts w:ascii="Times New Roman"/>
                <w:b w:val="false"/>
                <w:i w:val="false"/>
                <w:color w:val="000000"/>
                <w:sz w:val="20"/>
              </w:rPr>
              <w:t> </w:t>
            </w:r>
          </w:p>
          <w:p>
            <w:pPr>
              <w:spacing w:after="20"/>
              <w:ind w:left="20"/>
              <w:jc w:val="both"/>
            </w:pPr>
            <w:r>
              <w:rPr>
                <w:rFonts w:ascii="Times New Roman"/>
                <w:b w:val="false"/>
                <w:i w:val="false"/>
                <w:color w:val="000000"/>
                <w:sz w:val="20"/>
              </w:rPr>
              <w:t>
   1. Персонал, работающий в зонах производства и контроля биологических активных фармацевтических субстанций и лекарственных препаратов (в том числе персонал, занятый очисткой, обслуживанием или контролем качества), проходит обучение и периодическое повторное обучение в соответствии со своими обязанностями и спецификой производимой продукции, включая все особые меры предосторожности для защиты продукции, персонала и окружающей среды.</w:t>
            </w:r>
          </w:p>
          <w:p>
            <w:pPr>
              <w:spacing w:after="20"/>
              <w:ind w:left="20"/>
              <w:jc w:val="both"/>
            </w:pPr>
            <w:r>
              <w:rPr>
                <w:rFonts w:ascii="Times New Roman"/>
                <w:b w:val="false"/>
                <w:i w:val="false"/>
                <w:color w:val="000000"/>
                <w:sz w:val="20"/>
              </w:rPr>
              <w:t>
   2. Для обеспечения безопасности продукции принимается во внимание здоровье персонала. Сотрудники, занятые в производстве, техническом обслуживании, проведении испытаний и уходе за животными (в том числе контроле), при необходимости вакцинируются соответствующими специфическими вакцинами, а также проходят регулярные медицинские осмотры.</w:t>
            </w:r>
          </w:p>
          <w:p>
            <w:pPr>
              <w:spacing w:after="20"/>
              <w:ind w:left="20"/>
              <w:jc w:val="both"/>
            </w:pPr>
            <w:r>
              <w:rPr>
                <w:rFonts w:ascii="Times New Roman"/>
                <w:b w:val="false"/>
                <w:i w:val="false"/>
                <w:color w:val="000000"/>
                <w:sz w:val="20"/>
              </w:rPr>
              <w:t>
   3. Любые заболевания персонала, которые могут неблагоприятно повлиять на качество продукта, препятствуют работе такого персонала в производственной зоне, а соответствующие записи сохраняются. В производстве вакцины БЦЖ и лекарственных препаратов туберкулина могут быть заняты только сотрудники, которые регулярно проходят проверку иммунного статуса или рентгенологическое обследование грудной клетки. Сотрудники проходят медицинский осмотр с учетом риска, которому они подвержены; медицинский осмотр требуется для персонала, работающего с опасными организмами.</w:t>
            </w:r>
          </w:p>
          <w:p>
            <w:pPr>
              <w:spacing w:after="20"/>
              <w:ind w:left="20"/>
              <w:jc w:val="both"/>
            </w:pPr>
            <w:r>
              <w:rPr>
                <w:rFonts w:ascii="Times New Roman"/>
                <w:b w:val="false"/>
                <w:i w:val="false"/>
                <w:color w:val="000000"/>
                <w:sz w:val="20"/>
              </w:rPr>
              <w:t>
   4. С целью минимизации возможности перекрестной контаминации необходимо контролировать ограничение движения персонала (в том числе сотрудников службы контроля качества, специалистов по обслуживанию и уборке) на основе принципов управления рисками для качества. Не допускается переход сотрудников из зон, где возможен контакт с живыми микроорганизмами, генетически модифицированными организмами, токсинами или животными, в зоны, где проводятся работы с другой продукцией, инактивированной продукцией или другими организмами. Если подобных переходов избежать невозможно, принимаются меры для контроля контаминации согласно принципам управления рисками для качества. </w:t>
            </w:r>
          </w:p>
          <w:p>
            <w:pPr>
              <w:spacing w:after="20"/>
              <w:ind w:left="20"/>
              <w:jc w:val="both"/>
            </w:pPr>
            <w:r>
              <w:rPr>
                <w:rFonts w:ascii="Times New Roman"/>
                <w:b w:val="false"/>
                <w:i w:val="false"/>
                <w:color w:val="000000"/>
                <w:sz w:val="20"/>
              </w:rPr>
              <w:t>
</w:t>
            </w:r>
            <w:r>
              <w:rPr>
                <w:rFonts w:ascii="Times New Roman"/>
                <w:b/>
                <w:i w:val="false"/>
                <w:color w:val="000000"/>
                <w:sz w:val="20"/>
              </w:rPr>
              <w:t>Помещения и оборудование</w:t>
            </w:r>
            <w:r>
              <w:rPr>
                <w:rFonts w:ascii="Times New Roman"/>
                <w:b w:val="false"/>
                <w:i w:val="false"/>
                <w:color w:val="000000"/>
                <w:sz w:val="20"/>
              </w:rPr>
              <w:t> </w:t>
            </w:r>
          </w:p>
          <w:p>
            <w:pPr>
              <w:spacing w:after="20"/>
              <w:ind w:left="20"/>
              <w:jc w:val="both"/>
            </w:pPr>
            <w:r>
              <w:rPr>
                <w:rFonts w:ascii="Times New Roman"/>
                <w:b w:val="false"/>
                <w:i w:val="false"/>
                <w:color w:val="000000"/>
                <w:sz w:val="20"/>
              </w:rPr>
              <w:t>
   5. Являясь частью стратегии контроля, степень контроля производственной среды в отношении контаминации частицами и микроорганизмами в производственных помещениях соответствует виду активной фармацевтической субстанции, промежуточной и готовой продукции и стадии технологического процесса. При этом необходимо учитывать уровень контаминации исходных материалов и степень риска для готового продукта. В программу мониторинга производственной среды дополнительно включаются методы для определения присутствия специфических микроорганизмов (например, организма-хозяина, дрожжевых, плесневых грибов, анаэробных микроорганизмов и т.д.), если на это указывает процесс управления рисками для качества.</w:t>
            </w:r>
          </w:p>
          <w:p>
            <w:pPr>
              <w:spacing w:after="20"/>
              <w:ind w:left="20"/>
              <w:jc w:val="both"/>
            </w:pPr>
            <w:r>
              <w:rPr>
                <w:rFonts w:ascii="Times New Roman"/>
                <w:b w:val="false"/>
                <w:i w:val="false"/>
                <w:color w:val="000000"/>
                <w:sz w:val="20"/>
              </w:rPr>
              <w:t>
   6. Производственные и складские помещения проектируются с учетом требований к классам чистоты, а процессы планируются таким образом, чтобы предотвратить контаминацию продукции посторонними веществами. Предотвращение контаминации является более эффективным, чем ее обнаружение и устранение, хотя контаминация, вероятно, будет проявляться во время таких производственных процессов, как ферментация и культивирование клеточных культур. Контрольные измерения, включая контроль систем обеспечения и контроль производственной среды, проводятся в соответствии с принципами управления рисками для качества на участках, где проходят открытые процессы и, соответственно, продукция подвергается непосредственному воздействию производственной среды. При выборе последовательных классов чистоты в производственных помещениях и соответствующих методов контроля принципы управления рисками для качества учитывают принципы, изложенные в соответствующих пунктах Приложения 1 к настоящему Стандарту.</w:t>
            </w:r>
          </w:p>
          <w:p>
            <w:pPr>
              <w:spacing w:after="20"/>
              <w:ind w:left="20"/>
              <w:jc w:val="both"/>
            </w:pPr>
            <w:r>
              <w:rPr>
                <w:rFonts w:ascii="Times New Roman"/>
                <w:b w:val="false"/>
                <w:i w:val="false"/>
                <w:color w:val="000000"/>
                <w:sz w:val="20"/>
              </w:rPr>
              <w:t>
   7. Работа с живыми клетками, устойчивыми к среде производственных помещений, осуществляется в специально предназначенных производственных помещениях. Если в производстве применяются патогенные микроорганизмы, то также используются только специально предназначенные для этого производственные помещения.</w:t>
            </w:r>
          </w:p>
          <w:p>
            <w:pPr>
              <w:spacing w:after="20"/>
              <w:ind w:left="20"/>
              <w:jc w:val="both"/>
            </w:pPr>
            <w:r>
              <w:rPr>
                <w:rFonts w:ascii="Times New Roman"/>
                <w:b w:val="false"/>
                <w:i w:val="false"/>
                <w:color w:val="000000"/>
                <w:sz w:val="20"/>
              </w:rPr>
              <w:t>
   8. Использование одного помещения для производства нескольких лекарственных препаратов разрешается, если перечисленные ниже или эквивалентные факторы и мероприятия являются частью эффективной стратегии контроля, направленной на предотвращение перекрестной контаминации:</w:t>
            </w:r>
          </w:p>
          <w:p>
            <w:pPr>
              <w:spacing w:after="20"/>
              <w:ind w:left="20"/>
              <w:jc w:val="both"/>
            </w:pPr>
            <w:r>
              <w:rPr>
                <w:rFonts w:ascii="Times New Roman"/>
                <w:b w:val="false"/>
                <w:i w:val="false"/>
                <w:color w:val="000000"/>
                <w:sz w:val="20"/>
              </w:rPr>
              <w:t xml:space="preserve">
   1) знание основных характеристик всех клеток, организмов и любых посторонних агентов, работа с которыми осуществляется в одних и тех же помещениях; </w:t>
            </w:r>
          </w:p>
          <w:p>
            <w:pPr>
              <w:spacing w:after="20"/>
              <w:ind w:left="20"/>
              <w:jc w:val="both"/>
            </w:pPr>
            <w:r>
              <w:rPr>
                <w:rFonts w:ascii="Times New Roman"/>
                <w:b w:val="false"/>
                <w:i w:val="false"/>
                <w:color w:val="000000"/>
                <w:sz w:val="20"/>
              </w:rPr>
              <w:t xml:space="preserve">
   2) при производстве продукции из многочисленных маленьких серий, получаемых из различного исходного сырья, на стадии разработки стратегии контроля учитываются такие факторы, как состояние здоровья доноров с целью снижения риска полной потери продукции; </w:t>
            </w:r>
          </w:p>
          <w:p>
            <w:pPr>
              <w:spacing w:after="20"/>
              <w:ind w:left="20"/>
              <w:jc w:val="both"/>
            </w:pPr>
            <w:r>
              <w:rPr>
                <w:rFonts w:ascii="Times New Roman"/>
                <w:b w:val="false"/>
                <w:i w:val="false"/>
                <w:color w:val="000000"/>
                <w:sz w:val="20"/>
              </w:rPr>
              <w:t>
   3) предотвращение попадания живых микроорганизмов и спор в смежные помещения или на оборудование путем определения всех потенциальных маршрутов перекрестной контаминации и использования одноразовых компонентов и соответствующих инженерных мероприятий;</w:t>
            </w:r>
          </w:p>
          <w:p>
            <w:pPr>
              <w:spacing w:after="20"/>
              <w:ind w:left="20"/>
              <w:jc w:val="both"/>
            </w:pPr>
            <w:r>
              <w:rPr>
                <w:rFonts w:ascii="Times New Roman"/>
                <w:b w:val="false"/>
                <w:i w:val="false"/>
                <w:color w:val="000000"/>
                <w:sz w:val="20"/>
              </w:rPr>
              <w:t>
   4) наличие мероприятий контроля по удалению микроорганизмов и спор перед последующим производством другой продукции. Процедуры очистки и деконтаминации от микроорганизмов и спор валидируются, в том числе и для систем отопления, вентиляции и кондиционирования воздуха;</w:t>
            </w:r>
          </w:p>
          <w:p>
            <w:pPr>
              <w:spacing w:after="20"/>
              <w:ind w:left="20"/>
              <w:jc w:val="both"/>
            </w:pPr>
            <w:r>
              <w:rPr>
                <w:rFonts w:ascii="Times New Roman"/>
                <w:b w:val="false"/>
                <w:i w:val="false"/>
                <w:color w:val="000000"/>
                <w:sz w:val="20"/>
              </w:rPr>
              <w:t xml:space="preserve">
   5) если микроорганизмы являются устойчивыми к условиям производственной среды и в распоряжении имеются соответствующие методы, контроль производственной среды, специфический для получаемого микроорганизма, проводят в смежных зонах во время производства и после завершения очистки и деконтаминации. Также принимаются во внимание риски, связанные с использованием определенного контрольно-измерительного оборудования в зонах, где проводятся работы с живыми и (или) спорообразующими микроорганизмами; </w:t>
            </w:r>
          </w:p>
          <w:p>
            <w:pPr>
              <w:spacing w:after="20"/>
              <w:ind w:left="20"/>
              <w:jc w:val="both"/>
            </w:pPr>
            <w:r>
              <w:rPr>
                <w:rFonts w:ascii="Times New Roman"/>
                <w:b w:val="false"/>
                <w:i w:val="false"/>
                <w:color w:val="000000"/>
                <w:sz w:val="20"/>
              </w:rPr>
              <w:t xml:space="preserve">
   6) продукция, оборудование, вспомогательное оборудование и одноразовые материалы перемещаются в пределах предназначенных зон и удаляются из этих зон таким образом, чтобы предотвратить контаминацию других зон, другой продукции на различных стадиях производства; </w:t>
            </w:r>
          </w:p>
          <w:p>
            <w:pPr>
              <w:spacing w:after="20"/>
              <w:ind w:left="20"/>
              <w:jc w:val="both"/>
            </w:pPr>
            <w:r>
              <w:rPr>
                <w:rFonts w:ascii="Times New Roman"/>
                <w:b w:val="false"/>
                <w:i w:val="false"/>
                <w:color w:val="000000"/>
                <w:sz w:val="20"/>
              </w:rPr>
              <w:t>
   7) производство на основе принципа проведения однотипных циклов производства (кампаний).</w:t>
            </w:r>
          </w:p>
          <w:p>
            <w:pPr>
              <w:spacing w:after="20"/>
              <w:ind w:left="20"/>
              <w:jc w:val="both"/>
            </w:pPr>
            <w:r>
              <w:rPr>
                <w:rFonts w:ascii="Times New Roman"/>
                <w:b w:val="false"/>
                <w:i w:val="false"/>
                <w:color w:val="000000"/>
                <w:sz w:val="20"/>
              </w:rPr>
              <w:t>
   9. Необходимость наличия специализированных помещений для финишной обработки будет зависеть от перечисленных выше факторов, а также от дополнительных факторов в отношении специфики биологического лекарственного препарата и характеристик другой продукции, включая любые небиологические продукты, производимые в тех же помещениях. На заключительных стадиях требуются другие меры контроля определенной последовательности добавления веществ, скорости перемешивания, контроля времени и температуры, предельного времени воздействия света и герметизации/изоляции, а также в процедурах очистки в случае пролива/рассыпания.</w:t>
            </w:r>
          </w:p>
          <w:p>
            <w:pPr>
              <w:spacing w:after="20"/>
              <w:ind w:left="20"/>
              <w:jc w:val="both"/>
            </w:pPr>
            <w:r>
              <w:rPr>
                <w:rFonts w:ascii="Times New Roman"/>
                <w:b w:val="false"/>
                <w:i w:val="false"/>
                <w:color w:val="000000"/>
                <w:sz w:val="20"/>
              </w:rPr>
              <w:t xml:space="preserve">
   10. Мероприятия и процедуры, необходимые для обеспечения безопасности производственной среды и персонала, не противоречат мероприятиям и процедурам, необходимым для обеспечения качества продукта. </w:t>
            </w:r>
          </w:p>
          <w:p>
            <w:pPr>
              <w:spacing w:after="20"/>
              <w:ind w:left="20"/>
              <w:jc w:val="both"/>
            </w:pPr>
            <w:r>
              <w:rPr>
                <w:rFonts w:ascii="Times New Roman"/>
                <w:b w:val="false"/>
                <w:i w:val="false"/>
                <w:color w:val="000000"/>
                <w:sz w:val="20"/>
              </w:rPr>
              <w:t>
   11. Системы воздухоподготовки проектируются, конструируются и обслуживаются таким образом, чтобы исключить риск перекрестной контаминации между различными производственными зонами. Также может возникнуть необходимость в отдельных системах воздухоподготовки для определенных зон. Решение относительно использования систем вентиляции без рециркуляции принимается на основании принципов управления рисками для качества.</w:t>
            </w:r>
          </w:p>
          <w:p>
            <w:pPr>
              <w:spacing w:after="20"/>
              <w:ind w:left="20"/>
              <w:jc w:val="both"/>
            </w:pPr>
            <w:r>
              <w:rPr>
                <w:rFonts w:ascii="Times New Roman"/>
                <w:b w:val="false"/>
                <w:i w:val="false"/>
                <w:color w:val="000000"/>
                <w:sz w:val="20"/>
              </w:rPr>
              <w:t xml:space="preserve">
   12. Работу со стерильной продукцией ведут в зонах с избыточным давлением, но в особых зонах в точках локализации патогенных микроорганизмов создают отрицательный перепад давления для предотвращения распространения контаминантов за пределы этих зон. Если для работы в асептических условиях с материалами, составляющими особый риск (например, с патогенными микроорганизмами) используются зоны с пониженным давлением или безопасные боксы, их окружают зонами соответствующего класса чистоты с избыточным давлением. Данные перепады давления четко определяются и находятся под постоянным контролем с соответствующими настройками аварийной сигнализации. </w:t>
            </w:r>
          </w:p>
          <w:p>
            <w:pPr>
              <w:spacing w:after="20"/>
              <w:ind w:left="20"/>
              <w:jc w:val="both"/>
            </w:pPr>
            <w:r>
              <w:rPr>
                <w:rFonts w:ascii="Times New Roman"/>
                <w:b w:val="false"/>
                <w:i w:val="false"/>
                <w:color w:val="000000"/>
                <w:sz w:val="20"/>
              </w:rPr>
              <w:t>
   13. Конструкция оборудования, используемого для работы с живыми микроорганизмами и клетками, включая оборудование для отбора проб, исключает возможность контаминации во время проведения работ.</w:t>
            </w:r>
          </w:p>
          <w:p>
            <w:pPr>
              <w:spacing w:after="20"/>
              <w:ind w:left="20"/>
              <w:jc w:val="both"/>
            </w:pPr>
            <w:r>
              <w:rPr>
                <w:rFonts w:ascii="Times New Roman"/>
                <w:b w:val="false"/>
                <w:i w:val="false"/>
                <w:color w:val="000000"/>
                <w:sz w:val="20"/>
              </w:rPr>
              <w:t>
   14. Конструкция, обеспечивающая первичную изоляцию, исключает риск утечки биологических агентов в непосредственное рабочее пространство, что подтверждается результатами тестирования с определенной периодичностью.</w:t>
            </w:r>
          </w:p>
          <w:p>
            <w:pPr>
              <w:spacing w:after="20"/>
              <w:ind w:left="20"/>
              <w:jc w:val="both"/>
            </w:pPr>
            <w:r>
              <w:rPr>
                <w:rFonts w:ascii="Times New Roman"/>
                <w:b w:val="false"/>
                <w:i w:val="false"/>
                <w:color w:val="000000"/>
                <w:sz w:val="20"/>
              </w:rPr>
              <w:t>
   15. Рекомендуется по возможности использовать системы "очистки на месте" и "обработки паром на месте" ("стерилизации на месте"). Конструкция вентилей на ферментаторах предусматривает возможность их стерилизации паром.</w:t>
            </w:r>
          </w:p>
          <w:p>
            <w:pPr>
              <w:spacing w:after="20"/>
              <w:ind w:left="20"/>
              <w:jc w:val="both"/>
            </w:pPr>
            <w:r>
              <w:rPr>
                <w:rFonts w:ascii="Times New Roman"/>
                <w:b w:val="false"/>
                <w:i w:val="false"/>
                <w:color w:val="000000"/>
                <w:sz w:val="20"/>
              </w:rPr>
              <w:t>
   16. Воздушные фильтры гидрофобные, срок их службы определяется в процессе валидации путем проверки целостности с определенной периодичностью согласно соответствующим принципам управления рисками для качества.</w:t>
            </w:r>
          </w:p>
          <w:p>
            <w:pPr>
              <w:spacing w:after="20"/>
              <w:ind w:left="20"/>
              <w:jc w:val="both"/>
            </w:pPr>
            <w:r>
              <w:rPr>
                <w:rFonts w:ascii="Times New Roman"/>
                <w:b w:val="false"/>
                <w:i w:val="false"/>
                <w:color w:val="000000"/>
                <w:sz w:val="20"/>
              </w:rPr>
              <w:t xml:space="preserve">
   17. Конструкция дренажных систем позволяет проводить эффективную нейтрализацию и деконтаминацию сточных вод для исключения риска перекрестной контаминации. Обеспечивается выполнение требований законодательства с целью минимизации риска контаминации окружающей среды в соответствии с рисками, связанными с биологической опасностью отходов производства. </w:t>
            </w:r>
          </w:p>
          <w:p>
            <w:pPr>
              <w:spacing w:after="20"/>
              <w:ind w:left="20"/>
              <w:jc w:val="both"/>
            </w:pPr>
            <w:r>
              <w:rPr>
                <w:rFonts w:ascii="Times New Roman"/>
                <w:b w:val="false"/>
                <w:i w:val="false"/>
                <w:color w:val="000000"/>
                <w:sz w:val="20"/>
              </w:rPr>
              <w:t>
   18. Ввиду изменчивости свойств биологических лекарственных средств или процессов их производства необходимо отмеривать или взвешивать какое-либо соответствующее/критическое исходное сырье (например, питательные среды и буферы) в ходе технологического процесса. В этих случаях в производственной зоне допускается хранение небольших запасов этого исходного сырья на протяжении срока, установленного на основании соответствующих критериев (например, длительность производства серии или длительность кампании). </w:t>
            </w:r>
          </w:p>
          <w:p>
            <w:pPr>
              <w:spacing w:after="20"/>
              <w:ind w:left="20"/>
              <w:jc w:val="both"/>
            </w:pPr>
            <w:r>
              <w:rPr>
                <w:rFonts w:ascii="Times New Roman"/>
                <w:b w:val="false"/>
                <w:i w:val="false"/>
                <w:color w:val="000000"/>
                <w:sz w:val="20"/>
              </w:rPr>
              <w:t>
</w:t>
            </w:r>
            <w:r>
              <w:rPr>
                <w:rFonts w:ascii="Times New Roman"/>
                <w:b/>
                <w:i w:val="false"/>
                <w:color w:val="000000"/>
                <w:sz w:val="20"/>
              </w:rPr>
              <w:t>Животные</w:t>
            </w:r>
            <w:r>
              <w:rPr>
                <w:rFonts w:ascii="Times New Roman"/>
                <w:b w:val="false"/>
                <w:i w:val="false"/>
                <w:color w:val="000000"/>
                <w:sz w:val="20"/>
              </w:rPr>
              <w:t> </w:t>
            </w:r>
          </w:p>
          <w:p>
            <w:pPr>
              <w:spacing w:after="20"/>
              <w:ind w:left="20"/>
              <w:jc w:val="both"/>
            </w:pPr>
            <w:r>
              <w:rPr>
                <w:rFonts w:ascii="Times New Roman"/>
                <w:b w:val="false"/>
                <w:i w:val="false"/>
                <w:color w:val="000000"/>
                <w:sz w:val="20"/>
              </w:rPr>
              <w:t>
   19. Для производства биологических лекарственных препаратов используются разные виды животных. Выделяют две большие группы источников:</w:t>
            </w:r>
          </w:p>
          <w:p>
            <w:pPr>
              <w:spacing w:after="20"/>
              <w:ind w:left="20"/>
              <w:jc w:val="both"/>
            </w:pPr>
            <w:r>
              <w:rPr>
                <w:rFonts w:ascii="Times New Roman"/>
                <w:b w:val="false"/>
                <w:i w:val="false"/>
                <w:color w:val="000000"/>
                <w:sz w:val="20"/>
              </w:rPr>
              <w:t>
   1) живые животные, объединенные в группы, стада, стаи. Например, обезьяны (вакцина против полиомиелита), лошади, овцы и козы (иммунные сыворотки против ядов змей и столбняка), кошки (аллергены), кролики, мыши и хомяки (вакцина против бешенства), козы, крупный рогатый скот (трансгенные продукты);</w:t>
            </w:r>
          </w:p>
          <w:p>
            <w:pPr>
              <w:spacing w:after="20"/>
              <w:ind w:left="20"/>
              <w:jc w:val="both"/>
            </w:pPr>
            <w:r>
              <w:rPr>
                <w:rFonts w:ascii="Times New Roman"/>
                <w:b w:val="false"/>
                <w:i w:val="false"/>
                <w:color w:val="000000"/>
                <w:sz w:val="20"/>
              </w:rPr>
              <w:t xml:space="preserve">
   2) ткани и клетки животного происхождения, извлеченные из умерщвленных животных (овцы и свиньи), используемые для производства высокотехнологичных лекарственных средств или как сырье для ферментов, антикоагулянтов и гормонов. </w:t>
            </w:r>
          </w:p>
          <w:p>
            <w:pPr>
              <w:spacing w:after="20"/>
              <w:ind w:left="20"/>
              <w:jc w:val="both"/>
            </w:pPr>
            <w:r>
              <w:rPr>
                <w:rFonts w:ascii="Times New Roman"/>
                <w:b w:val="false"/>
                <w:i w:val="false"/>
                <w:color w:val="000000"/>
                <w:sz w:val="20"/>
              </w:rPr>
              <w:t>
   Животные также используются для контроля качества в соответствии со спецификациями (пирогенность, токсичность, безвредность, специфическая активность).</w:t>
            </w:r>
          </w:p>
          <w:p>
            <w:pPr>
              <w:spacing w:after="20"/>
              <w:ind w:left="20"/>
              <w:jc w:val="both"/>
            </w:pPr>
            <w:r>
              <w:rPr>
                <w:rFonts w:ascii="Times New Roman"/>
                <w:b w:val="false"/>
                <w:i w:val="false"/>
                <w:color w:val="000000"/>
                <w:sz w:val="20"/>
              </w:rPr>
              <w:t>
   20. В дополнение к выполнению нормативных требований в отношении губчатой энцефалопатии животных, другие опасные агенты (возбудители зоонозов, антропозоонозов животных) контролируются и регистрируются согласно постоянно действующей программе мониторинга. Необходима консультация соответствующего специалиста для организации таких программ. В случаях заболевания животных-доноров или животных, которые используются в качестве сырья, проводятся и регистрируются соответствующие исследования на предмет пригодности этих животных и пригодности животных, пребывавших в контакте с больным животным, для использования при производстве (в качестве исходных материалов или исходного сырья), при контроле качества продукции и при проведении испытаний на безопасность. На предприятии существует процедура ретроспективного анализа, позволяющая принимать решение относительно годности биологической активной фармацевтической субстанции или лекарственного препарата, в состав которого входит или при производстве которого использовался такой животный материал в качестве исходного материала или исходного сырья. Для установления того, какая из донаций последней показала отрицательный результат на наличие заболевания, если применимо, проводится повторное тестирование образцов, сохраненных при предыдущем заборе материала от того же животного-донора (если таковые имеются), что влияет на процесс принятия данного решения. При определении периода изъятия животных из программы учитывается период выведения терапевтических агентов, использовавшихся для введения животным-донорам или животным, которые использовались в качестве сырья, что оформляется документально.</w:t>
            </w:r>
          </w:p>
          <w:p>
            <w:pPr>
              <w:spacing w:after="20"/>
              <w:ind w:left="20"/>
              <w:jc w:val="both"/>
            </w:pPr>
            <w:r>
              <w:rPr>
                <w:rFonts w:ascii="Times New Roman"/>
                <w:b w:val="false"/>
                <w:i w:val="false"/>
                <w:color w:val="000000"/>
                <w:sz w:val="20"/>
              </w:rPr>
              <w:t>
   21. Особое внимание следует уделять предотвращению и мониторингу инфекционных заболеваний у животных, которые используются в качестве сырья, и у животных-доноров. Принимаемые меры включают контроль источников, помещений, пастбища, контроль биологической безопасности, режимов проведения испытаний, контроль вспомогательных материалов и кормов для животных. Особенную значимость данные проверки имеют для животных, свободных от специфических патогенов, в соответствии с требованиями нормативных актов. Определяются требования к содержанию и мониторингу здоровья других животных (например, живущих в стаях или стадах).</w:t>
            </w:r>
          </w:p>
          <w:p>
            <w:pPr>
              <w:spacing w:after="20"/>
              <w:ind w:left="20"/>
              <w:jc w:val="both"/>
            </w:pPr>
            <w:r>
              <w:rPr>
                <w:rFonts w:ascii="Times New Roman"/>
                <w:b w:val="false"/>
                <w:i w:val="false"/>
                <w:color w:val="000000"/>
                <w:sz w:val="20"/>
              </w:rPr>
              <w:t>
   22. Для лекарственных препаратов, произведенных с использованием трансгенных животных, обеспечивается отслеживаемость исходных животных, использованных для создания из них трансгенных животных.</w:t>
            </w:r>
          </w:p>
          <w:p>
            <w:pPr>
              <w:spacing w:after="20"/>
              <w:ind w:left="20"/>
              <w:jc w:val="both"/>
            </w:pPr>
            <w:r>
              <w:rPr>
                <w:rFonts w:ascii="Times New Roman"/>
                <w:b w:val="false"/>
                <w:i w:val="false"/>
                <w:color w:val="000000"/>
                <w:sz w:val="20"/>
              </w:rPr>
              <w:t>
   23. Особое внимание уделяется нормативным актам в отношении защиты животных, используемых в экспериментальных целях, в отношении вивариев, в которых содержатся животные, ухода за животными и карантина. Виварии, в которых содержатся животные, используемые для производства и контроля качества биологических активных фармацевтических субстанций и лекарственных препаратов, отделяются от зон производства и контроля качества.</w:t>
            </w:r>
          </w:p>
          <w:p>
            <w:pPr>
              <w:spacing w:after="20"/>
              <w:ind w:left="20"/>
              <w:jc w:val="both"/>
            </w:pPr>
            <w:r>
              <w:rPr>
                <w:rFonts w:ascii="Times New Roman"/>
                <w:b w:val="false"/>
                <w:i w:val="false"/>
                <w:color w:val="000000"/>
                <w:sz w:val="20"/>
              </w:rPr>
              <w:t>
   24. Для различных видов животных определеяются основные показатели, которые затем контролируют и регистрируют. Показатели могут включать возраст, пол, вес и состояние здоровья животных.</w:t>
            </w:r>
          </w:p>
          <w:p>
            <w:pPr>
              <w:spacing w:after="20"/>
              <w:ind w:left="20"/>
              <w:jc w:val="both"/>
            </w:pPr>
            <w:r>
              <w:rPr>
                <w:rFonts w:ascii="Times New Roman"/>
                <w:b w:val="false"/>
                <w:i w:val="false"/>
                <w:color w:val="000000"/>
                <w:sz w:val="20"/>
              </w:rPr>
              <w:t>
   25. Для предотвращения риска перепутывания и возможных опасностей, существует система идентификации в отношении животных, биологических агентов и проведенных испытаний. </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Документация</w:t>
            </w:r>
            <w:r>
              <w:rPr>
                <w:rFonts w:ascii="Times New Roman"/>
                <w:b w:val="false"/>
                <w:i w:val="false"/>
                <w:color w:val="000000"/>
                <w:sz w:val="20"/>
              </w:rPr>
              <w:t> </w:t>
            </w:r>
          </w:p>
          <w:p>
            <w:pPr>
              <w:spacing w:after="20"/>
              <w:ind w:left="20"/>
              <w:jc w:val="both"/>
            </w:pPr>
            <w:r>
              <w:rPr>
                <w:rFonts w:ascii="Times New Roman"/>
                <w:b w:val="false"/>
                <w:i w:val="false"/>
                <w:color w:val="000000"/>
                <w:sz w:val="20"/>
              </w:rPr>
              <w:t>
   26. Для исходных сырья и материалов для производства биологических лекарственных препаратов может потребоваться дополнительная информация об источнике, происхождении, цепи поставок, методе производства и применяемых методах контроля качества для обеспечения необходимого объема контроля, в том числе микробиологического контроля.</w:t>
            </w:r>
          </w:p>
          <w:p>
            <w:pPr>
              <w:spacing w:after="20"/>
              <w:ind w:left="20"/>
              <w:jc w:val="both"/>
            </w:pPr>
            <w:r>
              <w:rPr>
                <w:rFonts w:ascii="Times New Roman"/>
                <w:b w:val="false"/>
                <w:i w:val="false"/>
                <w:color w:val="000000"/>
                <w:sz w:val="20"/>
              </w:rPr>
              <w:t>
   27. Для некоторых типов продукции может потребоваться специфическое описание материалов, входящих в серию, в частности, соматических клеток, используемых при производстве высокотехнологичных лекарственных средств. В случаях аутологичного лекарственного препарата и лекарственного препарата от специально подобранного донора, продукция рассматривается как одна серия.</w:t>
            </w:r>
          </w:p>
          <w:p>
            <w:pPr>
              <w:spacing w:after="20"/>
              <w:ind w:left="20"/>
              <w:jc w:val="both"/>
            </w:pPr>
            <w:r>
              <w:rPr>
                <w:rFonts w:ascii="Times New Roman"/>
                <w:b w:val="false"/>
                <w:i w:val="false"/>
                <w:color w:val="000000"/>
                <w:sz w:val="20"/>
              </w:rPr>
              <w:t>
   28. Для лекарственных препаратов, при производстве которых используются человеческие клетки или ткани доноров, обеспечивается полная прослеживаемость, начиная от исходного сырья и материалов, в том числе содержащая информацию обо всех веществах, контактировавших с клетками или тканями, вплоть до подтверждения получения лекарственного препарата в месте его применения. В то же время, обеспечивается анонимность пациентов и конфиденциальность информации об их здоровье. Соответствующие записи, обеспечивающие прослеживаемость лекарственного препарата, сохраняются на протяжении тридцати лет после даты окончания срока годности лекарственного препарата. Особое внимание уделяется обеспечению прослеживаемости специфических лекарственных препаратов для использования в особых случаях, как например клетки от специально подобранного донора. Производство лекарственных средств с использованием компонентов крови в качестве исходного сырья или материалов соответствует требованиям законодательства. В соответствии с законодательством при производстве высокотехнологичных лекарственных средств обеспечивается прослеживаемость человеческих клеток, в том числе гемопоэтических стволовых клеток. Мероприятия, обеспечивающие прослеживаемость и хранение документации в течение необходимого периода времени, включаются в технические соглашения между вовлеченными в такую деятельность сторонами.</w:t>
            </w:r>
          </w:p>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w:t>
            </w:r>
          </w:p>
          <w:p>
            <w:pPr>
              <w:spacing w:after="20"/>
              <w:ind w:left="20"/>
              <w:jc w:val="both"/>
            </w:pPr>
            <w:r>
              <w:rPr>
                <w:rFonts w:ascii="Times New Roman"/>
                <w:b w:val="false"/>
                <w:i w:val="false"/>
                <w:color w:val="000000"/>
                <w:sz w:val="20"/>
              </w:rPr>
              <w:t>
   29. Учитывая возможную высокую изменчивость свойств биологических веществ и продуктов, необходимо обеспечить на разных этапах жизненного цикла продукции (например, на этапе разработки процесса) повышение надежности и устойчивости процесса, снижая тем самым его вариабельность и повышая воспроизводимость.</w:t>
            </w:r>
          </w:p>
          <w:p>
            <w:pPr>
              <w:spacing w:after="20"/>
              <w:ind w:left="20"/>
              <w:jc w:val="both"/>
            </w:pPr>
            <w:r>
              <w:rPr>
                <w:rFonts w:ascii="Times New Roman"/>
                <w:b w:val="false"/>
                <w:i w:val="false"/>
                <w:color w:val="000000"/>
                <w:sz w:val="20"/>
              </w:rPr>
              <w:t>
   Повторная оценка проводится в процессе обзоров качества продукции.</w:t>
            </w:r>
          </w:p>
          <w:p>
            <w:pPr>
              <w:spacing w:after="20"/>
              <w:ind w:left="20"/>
              <w:jc w:val="both"/>
            </w:pPr>
            <w:r>
              <w:rPr>
                <w:rFonts w:ascii="Times New Roman"/>
                <w:b w:val="false"/>
                <w:i w:val="false"/>
                <w:color w:val="000000"/>
                <w:sz w:val="20"/>
              </w:rPr>
              <w:t>
   30. Поскольку среды и реактивы в условиях культивирования обеспечивают рост клеток или микроорганизмов, которые являются монокультурами, особое внимание уделяется стратегии контроля качества для гарантии предупреждения и минимизации бионагрузки и связанного с ней загрязнения метаболитами и эндотоксинами. Для высокотехнологичных лекарственных средств на основе клеток, которые производятся малыми сериями, риск перекрестной контаминации между клеточными лекарственными препаратами от разных доноров с различным состоянием здоровья контролируется согласно установленным требованиям и процедурам. </w:t>
            </w:r>
          </w:p>
          <w:p>
            <w:pPr>
              <w:spacing w:after="20"/>
              <w:ind w:left="20"/>
              <w:jc w:val="both"/>
            </w:pPr>
            <w:r>
              <w:rPr>
                <w:rFonts w:ascii="Times New Roman"/>
                <w:b w:val="false"/>
                <w:i w:val="false"/>
                <w:color w:val="000000"/>
                <w:sz w:val="20"/>
              </w:rPr>
              <w:t>
</w:t>
            </w:r>
            <w:r>
              <w:rPr>
                <w:rFonts w:ascii="Times New Roman"/>
                <w:b/>
                <w:i w:val="false"/>
                <w:color w:val="000000"/>
                <w:sz w:val="20"/>
              </w:rPr>
              <w:t>Исходные сырье и материалы</w:t>
            </w:r>
            <w:r>
              <w:rPr>
                <w:rFonts w:ascii="Times New Roman"/>
                <w:b w:val="false"/>
                <w:i w:val="false"/>
                <w:color w:val="000000"/>
                <w:sz w:val="20"/>
              </w:rPr>
              <w:t> </w:t>
            </w:r>
          </w:p>
          <w:p>
            <w:pPr>
              <w:spacing w:after="20"/>
              <w:ind w:left="20"/>
              <w:jc w:val="both"/>
            </w:pPr>
            <w:r>
              <w:rPr>
                <w:rFonts w:ascii="Times New Roman"/>
                <w:b w:val="false"/>
                <w:i w:val="false"/>
                <w:color w:val="000000"/>
                <w:sz w:val="20"/>
              </w:rPr>
              <w:t>
   31. Следует четко определять источник, происхождение и пригодность биологических исходных сырья и материалов для последующего их использования (например, криопротекторы, питающие клетки, реагенты, питательные среды, буферы, сыворотки, ферменты, цитокины, факторы роста). Если проведение необходимых испытаний занимает много времени, допускается начинать обработку исходного сырья до получения результатов этих испытаний, но для использования этих исходных материалов учитывается их влияние на другие серии в случае выявления несоответствия и оценены риски согласно принципам управления рисками для качества. В таких случаях выдача разрешения на выпуск серии готовой продукции зависит от удовлетворительных результатов испытаний исходного сырья. На основании требований к соответствующим стадиям производства проводится идентификация всех исходных материалов. Дополнительные руководящие указания для биологических лекарственных препаратов приводятся в части I и Приложении 8 к настоящему Стандарту, а для биологических активных фармацевтических субстанций - в части II к настоящему Стандарту.</w:t>
            </w:r>
          </w:p>
          <w:p>
            <w:pPr>
              <w:spacing w:after="20"/>
              <w:ind w:left="20"/>
              <w:jc w:val="both"/>
            </w:pPr>
            <w:r>
              <w:rPr>
                <w:rFonts w:ascii="Times New Roman"/>
                <w:b w:val="false"/>
                <w:i w:val="false"/>
                <w:color w:val="000000"/>
                <w:sz w:val="20"/>
              </w:rPr>
              <w:t xml:space="preserve">
   32. При оценке рисков контаминации исходных сырья и материалов во время их прохождения по цепи поставок особое внимание следует уделять риску, связанному с губчатой энцефалопатией животных. Также уделяется внимание материалам, непосредственно контактирующим с технологическим оборудованием или продукцией (как, например, питательные среды, используемые для моделирования асептического процесса, и смазочные материалы, которые могут контактировать с продуктом). </w:t>
            </w:r>
          </w:p>
          <w:p>
            <w:pPr>
              <w:spacing w:after="20"/>
              <w:ind w:left="20"/>
              <w:jc w:val="both"/>
            </w:pPr>
            <w:r>
              <w:rPr>
                <w:rFonts w:ascii="Times New Roman"/>
                <w:b w:val="false"/>
                <w:i w:val="false"/>
                <w:color w:val="000000"/>
                <w:sz w:val="20"/>
              </w:rPr>
              <w:t>
   33. Вследствие того, что риски внесения контаминации и соответствующие последствия для готового лекарственного препарата не зависят от стадии производства, установление стратегии контроля для защиты продукции, приготовления растворов, буферов и добавляемых компонентов основывается на принципах и руководящих указаниях, содержащихся в соответствующих пунктах Приложения 1 к настоящему Стандарту. Особую важность имеют контрольные мероприятия, необходимые для проверки качества исходных материалов, а также для процесса асептического производства продукции на клеточной основе, где финишная стерилизация не является возможной, а способность удаления микробных побочных продуктов ограничена. Когда в регистрационном досье или протоколе клинических исследований установлен допустимый тип и уровень бионагрузки, например, на стадии получения активной фармацевтической субстанции, тогда стратегия контроля предусматривает способы, которыми будет поддерживаться установленный уровень бионагрузки.</w:t>
            </w:r>
          </w:p>
          <w:p>
            <w:pPr>
              <w:spacing w:after="20"/>
              <w:ind w:left="20"/>
              <w:jc w:val="both"/>
            </w:pPr>
            <w:r>
              <w:rPr>
                <w:rFonts w:ascii="Times New Roman"/>
                <w:b w:val="false"/>
                <w:i w:val="false"/>
                <w:color w:val="000000"/>
                <w:sz w:val="20"/>
              </w:rPr>
              <w:t>
   34. При необходимости стерилизации исходного сырья и материалов, она, по возможности, проводится термическим методом. При необходимости могут также использоваться другие соответствующие методы, использующиеся для инактивации биологических материалов (например, радиация и фильтрация).</w:t>
            </w:r>
          </w:p>
          <w:p>
            <w:pPr>
              <w:spacing w:after="20"/>
              <w:ind w:left="20"/>
              <w:jc w:val="both"/>
            </w:pPr>
            <w:r>
              <w:rPr>
                <w:rFonts w:ascii="Times New Roman"/>
                <w:b w:val="false"/>
                <w:i w:val="false"/>
                <w:color w:val="000000"/>
                <w:sz w:val="20"/>
              </w:rPr>
              <w:t>
   35. Может потребоваться проведение других мероприятий, в частности, использование антибиотиков на ранних этапах производства с целью уменьшения бионагрузки, которая возможна при поставке живых тканей и клеток. Следует по возможности избегать таких мероприятий, но в случае необходимости, их использование обосновывается и их применение в технологическом процессе прекращается на стадии, указанной в регистрационном досье или протоколе клинических исследований.</w:t>
            </w:r>
          </w:p>
          <w:p>
            <w:pPr>
              <w:spacing w:after="20"/>
              <w:ind w:left="20"/>
              <w:jc w:val="both"/>
            </w:pPr>
            <w:r>
              <w:rPr>
                <w:rFonts w:ascii="Times New Roman"/>
                <w:b w:val="false"/>
                <w:i w:val="false"/>
                <w:color w:val="000000"/>
                <w:sz w:val="20"/>
              </w:rPr>
              <w:t xml:space="preserve">
   36. Для человеческих тканей и клеток, используемых в качестве исходных материалов для биологических лекарственных средств, необходимо учитывать следующие требования: </w:t>
            </w:r>
          </w:p>
          <w:p>
            <w:pPr>
              <w:spacing w:after="20"/>
              <w:ind w:left="20"/>
              <w:jc w:val="both"/>
            </w:pPr>
            <w:r>
              <w:rPr>
                <w:rFonts w:ascii="Times New Roman"/>
                <w:b w:val="false"/>
                <w:i w:val="false"/>
                <w:color w:val="000000"/>
                <w:sz w:val="20"/>
              </w:rPr>
              <w:t xml:space="preserve">
   1) их приобретение, донация и проведение испытаний регулируется законодательством. Организации, поставляющие исходное сырье, получают разрешение уполномоченных органов в соответствии с законодательством. Наличие необходимых разрешений проверяется в рамках системы управления поставками; </w:t>
            </w:r>
          </w:p>
          <w:p>
            <w:pPr>
              <w:spacing w:after="20"/>
              <w:ind w:left="20"/>
              <w:jc w:val="both"/>
            </w:pPr>
            <w:r>
              <w:rPr>
                <w:rFonts w:ascii="Times New Roman"/>
                <w:b w:val="false"/>
                <w:i w:val="false"/>
                <w:color w:val="000000"/>
                <w:sz w:val="20"/>
              </w:rPr>
              <w:t>
   2) в случаях импортирования таких человеческих клеток и тканей из других стран, соблюдаются соответствующие стандарты контроля качества и безопасности, эквивалентные нормативным правовым актам Республики Казахстан. Законодательством устанавливаются требования прослеживаемости и сообщения о серьезных нежелательных реакциях и серьезных нежелательных явлениях;</w:t>
            </w:r>
          </w:p>
          <w:p>
            <w:pPr>
              <w:spacing w:after="20"/>
              <w:ind w:left="20"/>
              <w:jc w:val="both"/>
            </w:pPr>
            <w:r>
              <w:rPr>
                <w:rFonts w:ascii="Times New Roman"/>
                <w:b w:val="false"/>
                <w:i w:val="false"/>
                <w:color w:val="000000"/>
                <w:sz w:val="20"/>
              </w:rPr>
              <w:t>
   3) в некоторых случаях работа с клетками и тканями, используемыми в качестве исходных материалов для биологических лекарственных препаратов, будет производиться в организациях по забору/проверке тканей, например, для создания начальных клеточных банков или клеточных линий, предшествующих созданию главного банка клеток. В этих случаях, в соответствии с законодательством, назначается ответственное лицо за эти этапы работы;</w:t>
            </w:r>
          </w:p>
          <w:p>
            <w:pPr>
              <w:spacing w:after="20"/>
              <w:ind w:left="20"/>
              <w:jc w:val="both"/>
            </w:pPr>
            <w:r>
              <w:rPr>
                <w:rFonts w:ascii="Times New Roman"/>
                <w:b w:val="false"/>
                <w:i w:val="false"/>
                <w:color w:val="000000"/>
                <w:sz w:val="20"/>
              </w:rPr>
              <w:t>
   4) ответственное лицо в организации по забору/проверке тканей выдает разрешение на использование тканей и клеток перед их поставкой производителю лекарственного препарата, после чего применяются стандартные процедуры контроля исходных материалов. Результаты испытаний всех тканей/клеток, поставляемых организацией по забору/проверке тканей, предоставляются производителю лекарственного препарата. Данная информация используется для соответствующего разделения материалов и определения способов хранения. В случае необходимости, возможна доставка тканей и клеток производителю лекарственного препарата до получения результатов испытаний от организации по забору/проверке тканей. Это возможно при наличии соответствующих мер контроля для предотвращения перекрестной контаминации тканями и клетками, на что было получено разрешение ответственного лица в организации по забору/проверке тканей;</w:t>
            </w:r>
          </w:p>
          <w:p>
            <w:pPr>
              <w:spacing w:after="20"/>
              <w:ind w:left="20"/>
              <w:jc w:val="both"/>
            </w:pPr>
            <w:r>
              <w:rPr>
                <w:rFonts w:ascii="Times New Roman"/>
                <w:b w:val="false"/>
                <w:i w:val="false"/>
                <w:color w:val="000000"/>
                <w:sz w:val="20"/>
              </w:rPr>
              <w:t>
   5) транспортирование человеческих тканей и клеток к производственной площадке осуществляется в соответствии с письменным соглашением между ответственными сторонами. Производственные площадки имеют документальное подтверждение соблюдения соответствующих специфических условий хранения и транспортирования;</w:t>
            </w:r>
          </w:p>
          <w:p>
            <w:pPr>
              <w:spacing w:after="20"/>
              <w:ind w:left="20"/>
              <w:jc w:val="both"/>
            </w:pPr>
            <w:r>
              <w:rPr>
                <w:rFonts w:ascii="Times New Roman"/>
                <w:b w:val="false"/>
                <w:i w:val="false"/>
                <w:color w:val="000000"/>
                <w:sz w:val="20"/>
              </w:rPr>
              <w:t>
   6) соблюдаются требования прослеживаемости, начиная с организации по забору/проверке тканей до доставки получателю и включая материалы, находившиеся в контакте с клетками или тканями;</w:t>
            </w:r>
          </w:p>
          <w:p>
            <w:pPr>
              <w:spacing w:after="20"/>
              <w:ind w:left="20"/>
              <w:jc w:val="both"/>
            </w:pPr>
            <w:r>
              <w:rPr>
                <w:rFonts w:ascii="Times New Roman"/>
                <w:b w:val="false"/>
                <w:i w:val="false"/>
                <w:color w:val="000000"/>
                <w:sz w:val="20"/>
              </w:rPr>
              <w:t>
   7) существует соглашение между ответственными сторонами (например, производителями, организациями по забору/проверке тканей, спонсорами, держателями регистрационных удостоверений), которое определяет сферы ответственности каждой из сторон (включая указание ответственных и Уполномоченных лиц).</w:t>
            </w:r>
          </w:p>
          <w:p>
            <w:pPr>
              <w:spacing w:after="20"/>
              <w:ind w:left="20"/>
              <w:jc w:val="both"/>
            </w:pPr>
            <w:r>
              <w:rPr>
                <w:rFonts w:ascii="Times New Roman"/>
                <w:b w:val="false"/>
                <w:i w:val="false"/>
                <w:color w:val="000000"/>
                <w:sz w:val="20"/>
              </w:rPr>
              <w:t>
   37. В отношении генной терапии необходимо учитывать следующие требования:</w:t>
            </w:r>
          </w:p>
          <w:p>
            <w:pPr>
              <w:spacing w:after="20"/>
              <w:ind w:left="20"/>
              <w:jc w:val="both"/>
            </w:pPr>
            <w:r>
              <w:rPr>
                <w:rFonts w:ascii="Times New Roman"/>
                <w:b w:val="false"/>
                <w:i w:val="false"/>
                <w:color w:val="000000"/>
                <w:sz w:val="20"/>
              </w:rPr>
              <w:t>
   1) для продукции, произведенной с использованием вирусных векторов, исходные материалы являются компонентами, из которых получен вирусный вектор, то есть главный вирусный посевной материал или плазмиды, которые используются для трансфекции пакующих клеток, и главного банка клеток, используемого для линии пакующих клеток;</w:t>
            </w:r>
          </w:p>
          <w:p>
            <w:pPr>
              <w:spacing w:after="20"/>
              <w:ind w:left="20"/>
              <w:jc w:val="both"/>
            </w:pPr>
            <w:r>
              <w:rPr>
                <w:rFonts w:ascii="Times New Roman"/>
                <w:b w:val="false"/>
                <w:i w:val="false"/>
                <w:color w:val="000000"/>
                <w:sz w:val="20"/>
              </w:rPr>
              <w:t>
   2) для продукции, произведенной с использованием плазмид, невирусных векторов и генетически модифицированных микроорганизмов, за исключением вирусов и вирусных векторов, исходными материалами являются компоненты, используемые для создания клеток-продуцентов, то есть плазмиды, бактерия-хозяин и главный банк рекомбинантных микроорганизмов;</w:t>
            </w:r>
          </w:p>
          <w:p>
            <w:pPr>
              <w:spacing w:after="20"/>
              <w:ind w:left="20"/>
              <w:jc w:val="both"/>
            </w:pPr>
            <w:r>
              <w:rPr>
                <w:rFonts w:ascii="Times New Roman"/>
                <w:b w:val="false"/>
                <w:i w:val="false"/>
                <w:color w:val="000000"/>
                <w:sz w:val="20"/>
              </w:rPr>
              <w:t>
   3) для генетически модифицированных клеток исходными материалами являются компоненты, используемые для получения генетически модифицированных клеток, то есть исходные материалы для производства векторов, а также клетки человека или животных;</w:t>
            </w:r>
          </w:p>
          <w:p>
            <w:pPr>
              <w:spacing w:after="20"/>
              <w:ind w:left="20"/>
              <w:jc w:val="both"/>
            </w:pPr>
            <w:r>
              <w:rPr>
                <w:rFonts w:ascii="Times New Roman"/>
                <w:b w:val="false"/>
                <w:i w:val="false"/>
                <w:color w:val="000000"/>
                <w:sz w:val="20"/>
              </w:rPr>
              <w:t xml:space="preserve">
   4) принципы настоящего Стандарта применяются, начиная от системы банка клеток, используемого для производства вектора или плазмиды, которые используются для переноса генов. </w:t>
            </w:r>
          </w:p>
          <w:p>
            <w:pPr>
              <w:spacing w:after="20"/>
              <w:ind w:left="20"/>
              <w:jc w:val="both"/>
            </w:pPr>
            <w:r>
              <w:rPr>
                <w:rFonts w:ascii="Times New Roman"/>
                <w:b w:val="false"/>
                <w:i w:val="false"/>
                <w:color w:val="000000"/>
                <w:sz w:val="20"/>
              </w:rPr>
              <w:t>
   38. При производственных процессах, в которых человеческие и животные клетки используются в качестве питающих клеток, проводится соответствующий контроль источников, испытаний, транспортирования и хранения данных материалов, включая контроль в соответствии с требованиями законодательства. </w:t>
            </w:r>
          </w:p>
          <w:p>
            <w:pPr>
              <w:spacing w:after="20"/>
              <w:ind w:left="20"/>
              <w:jc w:val="both"/>
            </w:pPr>
            <w:r>
              <w:rPr>
                <w:rFonts w:ascii="Times New Roman"/>
                <w:b w:val="false"/>
                <w:i w:val="false"/>
                <w:color w:val="000000"/>
                <w:sz w:val="20"/>
              </w:rPr>
              <w:t>
</w:t>
            </w:r>
            <w:r>
              <w:rPr>
                <w:rFonts w:ascii="Times New Roman"/>
                <w:b/>
                <w:i w:val="false"/>
                <w:color w:val="000000"/>
                <w:sz w:val="20"/>
              </w:rPr>
              <w:t>Система посевной культуры и банка клеток</w:t>
            </w:r>
            <w:r>
              <w:rPr>
                <w:rFonts w:ascii="Times New Roman"/>
                <w:b w:val="false"/>
                <w:i w:val="false"/>
                <w:color w:val="000000"/>
                <w:sz w:val="20"/>
              </w:rPr>
              <w:t> </w:t>
            </w:r>
          </w:p>
          <w:p>
            <w:pPr>
              <w:spacing w:after="20"/>
              <w:ind w:left="20"/>
              <w:jc w:val="both"/>
            </w:pPr>
            <w:r>
              <w:rPr>
                <w:rFonts w:ascii="Times New Roman"/>
                <w:b w:val="false"/>
                <w:i w:val="false"/>
                <w:color w:val="000000"/>
                <w:sz w:val="20"/>
              </w:rPr>
              <w:t>
   39. Для предотвращения нежелательного изменения свойств, которое может произойти вследствие многократных пересевов или большого числа генераций, производство биологических активных фармацевтических субстанций и лекарственных препаратов, получаемых из культур микроорганизмов, культур клеток или размножением в эмбрионах, тканях и органах животных, используют систему главной и рабочей вирусных посевных культур и (или) банков клеток. Такая система применима не ко всем типам высокотехнологичных лекарственных средств.</w:t>
            </w:r>
          </w:p>
          <w:p>
            <w:pPr>
              <w:spacing w:after="20"/>
              <w:ind w:left="20"/>
              <w:jc w:val="both"/>
            </w:pPr>
            <w:r>
              <w:rPr>
                <w:rFonts w:ascii="Times New Roman"/>
                <w:b w:val="false"/>
                <w:i w:val="false"/>
                <w:color w:val="000000"/>
                <w:sz w:val="20"/>
              </w:rPr>
              <w:t>
   40. Количество генераций (удвоений, пассажей) между посевной культурой или банком клеток и биологической активной фармацевтической субстанцией и лекарственным препаратом соответствует требованиям спецификаций в регистрационном досье или протоколе клинических исследований.</w:t>
            </w:r>
          </w:p>
          <w:p>
            <w:pPr>
              <w:spacing w:after="20"/>
              <w:ind w:left="20"/>
              <w:jc w:val="both"/>
            </w:pPr>
            <w:r>
              <w:rPr>
                <w:rFonts w:ascii="Times New Roman"/>
                <w:b w:val="false"/>
                <w:i w:val="false"/>
                <w:color w:val="000000"/>
                <w:sz w:val="20"/>
              </w:rPr>
              <w:t>
   41. Создание систем посевных культур и банков клеток, включая главные и рабочие посевные культуры, является частью управления жизненным циклом продукции и проводиться в соответствующих условиях. Производственная среда находится под соответствующим контролем для обеспечения безопасности систем посевных культур и банков клеток, а также персонала, работающего с ними. При создании посевных культур и банков клеток не допускается одновременная работа с другими живыми или инфицирующими материалами (например, вирусами, линиями или штаммами клеток) в одной и той же зоне или одного и того же персонала. Обеспечивается доступность документации, позволяющей проследить стадии, предшествующие генерации главной посевной культуры или главного банка клеток, где применяются только принципы настоящего Стандарта. Данная документация включает информацию относительно компонентов, использовавшихся во время разработки и возможно влияющих на безопасность продукции (например, реагенты биологического происхождения), от начального источника и до получения генно-инженерного продукта, если применимо.</w:t>
            </w:r>
          </w:p>
          <w:p>
            <w:pPr>
              <w:spacing w:after="20"/>
              <w:ind w:left="20"/>
              <w:jc w:val="both"/>
            </w:pPr>
            <w:r>
              <w:rPr>
                <w:rFonts w:ascii="Times New Roman"/>
                <w:b w:val="false"/>
                <w:i w:val="false"/>
                <w:color w:val="000000"/>
                <w:sz w:val="20"/>
              </w:rPr>
              <w:t>
   42. После формирования главного и рабочего банков клеток и главной и рабочей посевных культур соблюдаются процедуры по карантину и разрешению к использованию. Проводятся соответствующие квалификация и испытания в отношении контаминантов. Их дальнейшая пригодность впоследствии подтверждается стабильностью характеристик и качеством последующих серий продукции. Доказательство стабильности и воспроизводимости посевных культур или банков клеток оформляют документально. Содержание записей позволяет проводить оценку тенденций (трендов).</w:t>
            </w:r>
          </w:p>
          <w:p>
            <w:pPr>
              <w:spacing w:after="20"/>
              <w:ind w:left="20"/>
              <w:jc w:val="both"/>
            </w:pPr>
            <w:r>
              <w:rPr>
                <w:rFonts w:ascii="Times New Roman"/>
                <w:b w:val="false"/>
                <w:i w:val="false"/>
                <w:color w:val="000000"/>
                <w:sz w:val="20"/>
              </w:rPr>
              <w:t>
   43. Посевные культуры и банки клеток создают, хранят и используют таким образом, чтобы риск их контаминации или изменения был минимальным. В случае хранения различных посевных культур и банков клеток в одних и тех же зонах или с использованием одного и того же оборудования принимаются меры по предотвращению перепутывания и перекрестной контаминации с учетом инфекционной природы материалов.</w:t>
            </w:r>
          </w:p>
          <w:p>
            <w:pPr>
              <w:spacing w:after="20"/>
              <w:ind w:left="20"/>
              <w:jc w:val="both"/>
            </w:pPr>
            <w:r>
              <w:rPr>
                <w:rFonts w:ascii="Times New Roman"/>
                <w:b w:val="false"/>
                <w:i w:val="false"/>
                <w:color w:val="000000"/>
                <w:sz w:val="20"/>
              </w:rPr>
              <w:t>
   44. Лекарственные препараты на основе клеток зачастую производятся из клеточного запаса, полученного из ограниченного количества пассажей. В отличие от двухуровневой системы главных и рабочих банков клеток, количество производственных циклов на основе клеточного запаса ограничено количеством аликвот, полученных после роста, и не распространяется на весь жизненный цикл продукции. Протокол валидации учитывает изменения клеточного запаса.</w:t>
            </w:r>
          </w:p>
          <w:p>
            <w:pPr>
              <w:spacing w:after="20"/>
              <w:ind w:left="20"/>
              <w:jc w:val="both"/>
            </w:pPr>
            <w:r>
              <w:rPr>
                <w:rFonts w:ascii="Times New Roman"/>
                <w:b w:val="false"/>
                <w:i w:val="false"/>
                <w:color w:val="000000"/>
                <w:sz w:val="20"/>
              </w:rPr>
              <w:t>
   45. Емкости для хранения герметично закрываются и четко маркируются, их следует содержать при соответствующей температуре. Необходимо вести документальный учет хранящихся емкостей. Температуру хранения следует непрерывно регистрировать, а в установках с жидким азотом контролировать его уровень. Отклонения параметров хранения от установленных пределов и любые предпринятые корректирующие и предупреждающие действия оформляются документально.</w:t>
            </w:r>
          </w:p>
          <w:p>
            <w:pPr>
              <w:spacing w:after="20"/>
              <w:ind w:left="20"/>
              <w:jc w:val="both"/>
            </w:pPr>
            <w:r>
              <w:rPr>
                <w:rFonts w:ascii="Times New Roman"/>
                <w:b w:val="false"/>
                <w:i w:val="false"/>
                <w:color w:val="000000"/>
                <w:sz w:val="20"/>
              </w:rPr>
              <w:t>
   46. Рекомендуется разделять запасы на части и хранить раздельно во избежание полной утраты. Контроль месторасположения обеспечивает выполнение указанных выше требований.</w:t>
            </w:r>
          </w:p>
          <w:p>
            <w:pPr>
              <w:spacing w:after="20"/>
              <w:ind w:left="20"/>
              <w:jc w:val="both"/>
            </w:pPr>
            <w:r>
              <w:rPr>
                <w:rFonts w:ascii="Times New Roman"/>
                <w:b w:val="false"/>
                <w:i w:val="false"/>
                <w:color w:val="000000"/>
                <w:sz w:val="20"/>
              </w:rPr>
              <w:t>
   47. Условия хранения и обработки запасов определяются согласно тем же самым процедурам и параметрам. После взятия контейнеров из хранилища посевной культуры/банка клеток не допускается возвращать их в хранилище повторно. </w:t>
            </w:r>
          </w:p>
          <w:p>
            <w:pPr>
              <w:spacing w:after="20"/>
              <w:ind w:left="20"/>
              <w:jc w:val="both"/>
            </w:pPr>
            <w:r>
              <w:rPr>
                <w:rFonts w:ascii="Times New Roman"/>
                <w:b w:val="false"/>
                <w:i w:val="false"/>
                <w:color w:val="000000"/>
                <w:sz w:val="20"/>
              </w:rPr>
              <w:t>
</w:t>
            </w:r>
            <w:r>
              <w:rPr>
                <w:rFonts w:ascii="Times New Roman"/>
                <w:b/>
                <w:i w:val="false"/>
                <w:color w:val="000000"/>
                <w:sz w:val="20"/>
              </w:rPr>
              <w:t>Принципы работы</w:t>
            </w:r>
            <w:r>
              <w:rPr>
                <w:rFonts w:ascii="Times New Roman"/>
                <w:b w:val="false"/>
                <w:i w:val="false"/>
                <w:color w:val="000000"/>
                <w:sz w:val="20"/>
              </w:rPr>
              <w:t> </w:t>
            </w:r>
          </w:p>
          <w:p>
            <w:pPr>
              <w:spacing w:after="20"/>
              <w:ind w:left="20"/>
              <w:jc w:val="both"/>
            </w:pPr>
            <w:r>
              <w:rPr>
                <w:rFonts w:ascii="Times New Roman"/>
                <w:b w:val="false"/>
                <w:i w:val="false"/>
                <w:color w:val="000000"/>
                <w:sz w:val="20"/>
              </w:rPr>
              <w:t>
   48. При управлении изменениями с установленной периодичностью рассматриваются эффекты, включая кумулятивные эффекты изменений (например, в производственных процессах), влияющие на качество, безопасность и эффективность готового лекарственного препарата.</w:t>
            </w:r>
          </w:p>
          <w:p>
            <w:pPr>
              <w:spacing w:after="20"/>
              <w:ind w:left="20"/>
              <w:jc w:val="both"/>
            </w:pPr>
            <w:r>
              <w:rPr>
                <w:rFonts w:ascii="Times New Roman"/>
                <w:b w:val="false"/>
                <w:i w:val="false"/>
                <w:color w:val="000000"/>
                <w:sz w:val="20"/>
              </w:rPr>
              <w:t>
   49. Критические операционные (технологические) или другие исходные параметры, влияющие на качество лекарственного препарата, определяются, валидируются, документируются и поддерживаются в соответствии с установленными требованиями.</w:t>
            </w:r>
          </w:p>
          <w:p>
            <w:pPr>
              <w:spacing w:after="20"/>
              <w:ind w:left="20"/>
              <w:jc w:val="both"/>
            </w:pPr>
            <w:r>
              <w:rPr>
                <w:rFonts w:ascii="Times New Roman"/>
                <w:b w:val="false"/>
                <w:i w:val="false"/>
                <w:color w:val="000000"/>
                <w:sz w:val="20"/>
              </w:rPr>
              <w:t>
   50. Стратегия контроля поступления сырья и материалов в производственные зоны основывается на принципах управления рисками для качества. Для асептических процессов термостойкие сырье и материалы, попадающие в чистую или чистую/изолированную зону, поступать в них через проходной автоклав или сухожаровой шкаф. Нетермостойкие сырье и материалы вносятся через воздушные шлюзы с блокировкой дверей, подвергаясь процедурам эффективной санитарной обработки поверхности. Разрешается стерилизация предметов и материалов в другом месте при условии, что они содержат количество оберток, соответствующих числу стадий, необходимых для прохождения в чистую зону, и вносятся в нее через воздушный шлюз с соблюдением соответствующих мер предосторожности путем санитарной обработки поверхности.</w:t>
            </w:r>
          </w:p>
          <w:p>
            <w:pPr>
              <w:spacing w:after="20"/>
              <w:ind w:left="20"/>
              <w:jc w:val="both"/>
            </w:pPr>
            <w:r>
              <w:rPr>
                <w:rFonts w:ascii="Times New Roman"/>
                <w:b w:val="false"/>
                <w:i w:val="false"/>
                <w:color w:val="000000"/>
                <w:sz w:val="20"/>
              </w:rPr>
              <w:t>
   51. Подтверждаются ростовые свойства питательных сред с целью доказательства их пригодности для предполагаемого использования. Питательные среды по возможности стерилизуются на месте. При плановой подаче газов, питательных сред, кислот или щелочей, пеногасителей и т.д. к ферментерам по возможности следует использовать стерилизующие фильтры, встроенные в линии подачи.</w:t>
            </w:r>
          </w:p>
          <w:p>
            <w:pPr>
              <w:spacing w:after="20"/>
              <w:ind w:left="20"/>
              <w:jc w:val="both"/>
            </w:pPr>
            <w:r>
              <w:rPr>
                <w:rFonts w:ascii="Times New Roman"/>
                <w:b w:val="false"/>
                <w:i w:val="false"/>
                <w:color w:val="000000"/>
                <w:sz w:val="20"/>
              </w:rPr>
              <w:t>
   52. Добавление веществ или культур в ферментеры и другие сосуды, а также отбор проб из них необходимо проводить в тщательно контролируемых условиях для предотвращения контаминации. При внесении добавок или отборе проб необходимо контролировать правильность подсоединения сосудов.</w:t>
            </w:r>
          </w:p>
          <w:p>
            <w:pPr>
              <w:spacing w:after="20"/>
              <w:ind w:left="20"/>
              <w:jc w:val="both"/>
            </w:pPr>
            <w:r>
              <w:rPr>
                <w:rFonts w:ascii="Times New Roman"/>
                <w:b w:val="false"/>
                <w:i w:val="false"/>
                <w:color w:val="000000"/>
                <w:sz w:val="20"/>
              </w:rPr>
              <w:t>
   53. Если это необходимо, следует вести постоянный контроль некоторых производственных процессов (например, ферментации) с внесением результатов контроля в записи по производству серии. При производстве с использованием метода непрерывного культивирования следует обратить внимание на специальные требования к контролю качества, возникающие в результате выбора такого производственного метода.</w:t>
            </w:r>
          </w:p>
          <w:p>
            <w:pPr>
              <w:spacing w:after="20"/>
              <w:ind w:left="20"/>
              <w:jc w:val="both"/>
            </w:pPr>
            <w:r>
              <w:rPr>
                <w:rFonts w:ascii="Times New Roman"/>
                <w:b w:val="false"/>
                <w:i w:val="false"/>
                <w:color w:val="000000"/>
                <w:sz w:val="20"/>
              </w:rPr>
              <w:t>
   54. Процессы центрифугирования и смешивания продуктов могут привести к образованию аэрозолей, поэтому во избежание перекрестной контаминации эти процессы следует проводить в изолированных зонах.</w:t>
            </w:r>
          </w:p>
          <w:p>
            <w:pPr>
              <w:spacing w:after="20"/>
              <w:ind w:left="20"/>
              <w:jc w:val="both"/>
            </w:pPr>
            <w:r>
              <w:rPr>
                <w:rFonts w:ascii="Times New Roman"/>
                <w:b w:val="false"/>
                <w:i w:val="false"/>
                <w:color w:val="000000"/>
                <w:sz w:val="20"/>
              </w:rPr>
              <w:t>
   55. При случайной утечке, в особенности живых микроорганизмов, принимаются неотложные меры безопасности. Для каждого вида или группы микроорганизмов предусматриваются специальные мероприятия по деконтаминации. При использовании различных штаммов бактерий одного вида или очень похожих вирусов эта процедура может быть валидирована в отношении только одного из них, если у них нет существенных различий в устойчивости к соответствующему агенту (агентам) для деконтаминации.</w:t>
            </w:r>
          </w:p>
          <w:p>
            <w:pPr>
              <w:spacing w:after="20"/>
              <w:ind w:left="20"/>
              <w:jc w:val="both"/>
            </w:pPr>
            <w:r>
              <w:rPr>
                <w:rFonts w:ascii="Times New Roman"/>
                <w:b w:val="false"/>
                <w:i w:val="false"/>
                <w:color w:val="000000"/>
                <w:sz w:val="20"/>
              </w:rPr>
              <w:t>
   56. Если материалы, использующиеся для производства и контроля, включая бумажные документы, явно являются контаминированными, например пролитыми жидкостями, аэрозолями или потенциально опасными микроорганизмами, то они соответственно дезинфицируются, или информация передавается другими способами.</w:t>
            </w:r>
          </w:p>
          <w:p>
            <w:pPr>
              <w:spacing w:after="20"/>
              <w:ind w:left="20"/>
              <w:jc w:val="both"/>
            </w:pPr>
            <w:r>
              <w:rPr>
                <w:rFonts w:ascii="Times New Roman"/>
                <w:b w:val="false"/>
                <w:i w:val="false"/>
                <w:color w:val="000000"/>
                <w:sz w:val="20"/>
              </w:rPr>
              <w:t>
   57. При инактивации или удалении вирусов в ходе производства необходимо принимать меры против повторной контаминации обработанной продукции со стороны необработанной продукции.</w:t>
            </w:r>
          </w:p>
          <w:p>
            <w:pPr>
              <w:spacing w:after="20"/>
              <w:ind w:left="20"/>
              <w:jc w:val="both"/>
            </w:pPr>
            <w:r>
              <w:rPr>
                <w:rFonts w:ascii="Times New Roman"/>
                <w:b w:val="false"/>
                <w:i w:val="false"/>
                <w:color w:val="000000"/>
                <w:sz w:val="20"/>
              </w:rPr>
              <w:t>
   58. Для продуктов, инактивируемых при помощи добавления реагентов (например, микроорганизмы в процессе производства вакцин), процесс гарантирует полную инактивацию живых микроорганизмов. После тщательного смешивания культуры и инактивирующего агента учитываются все контактирующие с продуктом поверхности, пребывавшие в контакте с культурой.</w:t>
            </w:r>
          </w:p>
          <w:p>
            <w:pPr>
              <w:spacing w:after="20"/>
              <w:ind w:left="20"/>
              <w:jc w:val="both"/>
            </w:pPr>
            <w:r>
              <w:rPr>
                <w:rFonts w:ascii="Times New Roman"/>
                <w:b w:val="false"/>
                <w:i w:val="false"/>
                <w:color w:val="000000"/>
                <w:sz w:val="20"/>
              </w:rPr>
              <w:t>
   59. При применении хроматографических методов используют разные виды оборудования. Принципы управления рисками для качества соблюдаютя при разработке стратегии контроля сорбентов, корпусов колонок и другого оборудования при их использовании для производства в режиме кампаний или в помещениях для производства нескольких лекарственных препаратов. Не рекомендуется использование одних и тех же сорбентов на разных технологических стадиях. Следует установить критерии приемлемости, условия работы, методы восстановления, срок службы и методы стерилизации или дезинфекции колонок.</w:t>
            </w:r>
          </w:p>
          <w:p>
            <w:pPr>
              <w:spacing w:after="20"/>
              <w:ind w:left="20"/>
              <w:jc w:val="both"/>
            </w:pPr>
            <w:r>
              <w:rPr>
                <w:rFonts w:ascii="Times New Roman"/>
                <w:b w:val="false"/>
                <w:i w:val="false"/>
                <w:color w:val="000000"/>
                <w:sz w:val="20"/>
              </w:rPr>
              <w:t>
   60. Дальнейшие инструкции относительно использования облученных оборудования и материалов указаны в Приложении 12 к настоящему Стандарту.</w:t>
            </w:r>
          </w:p>
          <w:p>
            <w:pPr>
              <w:spacing w:after="20"/>
              <w:ind w:left="20"/>
              <w:jc w:val="both"/>
            </w:pPr>
            <w:r>
              <w:rPr>
                <w:rFonts w:ascii="Times New Roman"/>
                <w:b w:val="false"/>
                <w:i w:val="false"/>
                <w:color w:val="000000"/>
                <w:sz w:val="20"/>
              </w:rPr>
              <w:t>
   61. На предприятии существует система, гарантирующая целостность и герметичность контейнеров после их наполнения, и предусматриваются процедуры на случай любых утечек или просыпаний/проливов, в случае если продукт или промежуточный продукт представляют особый риск. Для операций по розливу и упаковке существуют процедуры по соблюдению условий, обеспечивающих поддержание продукта в установленных пределах, например, время и (или) температура.</w:t>
            </w:r>
          </w:p>
          <w:p>
            <w:pPr>
              <w:spacing w:after="20"/>
              <w:ind w:left="20"/>
              <w:jc w:val="both"/>
            </w:pPr>
            <w:r>
              <w:rPr>
                <w:rFonts w:ascii="Times New Roman"/>
                <w:b w:val="false"/>
                <w:i w:val="false"/>
                <w:color w:val="000000"/>
                <w:sz w:val="20"/>
              </w:rPr>
              <w:t>
   62. Работа с контейнерами, ампулами, флаконами и др., содержащими биологические агенты, проводиься таким образом, чтобы избежать контаминации других лекарственных препаратов или проникновения живых агентов в производственную или окружающую среду. Для принятия решения относительно управления данными рисками принимаются во внимание жизнеспособность таких организмов и их биологическая классификация (группа патогенности).</w:t>
            </w:r>
          </w:p>
          <w:p>
            <w:pPr>
              <w:spacing w:after="20"/>
              <w:ind w:left="20"/>
              <w:jc w:val="both"/>
            </w:pPr>
            <w:r>
              <w:rPr>
                <w:rFonts w:ascii="Times New Roman"/>
                <w:b w:val="false"/>
                <w:i w:val="false"/>
                <w:color w:val="000000"/>
                <w:sz w:val="20"/>
              </w:rPr>
              <w:t>
   63. Следует уделять должное внимание подготовке, печати, хранению и нанесению этикеток на упаковку, в том числе нанесению на первичную и вторичную упаковку специфической информации для пациент-специфических препаратов (продуктов) или об использовании методов генетической инженерии. В случае, если высокотехнологичные лекарственные средства предназначены для аутологичного применения, на этикетке указываются уникальный идентификатор пациента и надпись "только для аутологичного применения" (а если внешняя упаковка отсутствует, то тогда данная информация указывается на первичной упаковке).</w:t>
            </w:r>
          </w:p>
          <w:p>
            <w:pPr>
              <w:spacing w:after="20"/>
              <w:ind w:left="20"/>
              <w:jc w:val="both"/>
            </w:pPr>
            <w:r>
              <w:rPr>
                <w:rFonts w:ascii="Times New Roman"/>
                <w:b w:val="false"/>
                <w:i w:val="false"/>
                <w:color w:val="000000"/>
                <w:sz w:val="20"/>
              </w:rPr>
              <w:t>
   64. В случае использования сверхнизких температур хранения устойчивость маркировки к используемым температурам подтверждается.</w:t>
            </w:r>
          </w:p>
          <w:p>
            <w:pPr>
              <w:spacing w:after="20"/>
              <w:ind w:left="20"/>
              <w:jc w:val="both"/>
            </w:pPr>
            <w:r>
              <w:rPr>
                <w:rFonts w:ascii="Times New Roman"/>
                <w:b w:val="false"/>
                <w:i w:val="false"/>
                <w:color w:val="000000"/>
                <w:sz w:val="20"/>
              </w:rPr>
              <w:t>
   65. Когда информация о состоянии здоровья донора (человека или животного), имеющая значение для качества продукции, становится доступной после закупки, это учитывается в процедурах отзыва.</w:t>
            </w:r>
          </w:p>
          <w:p>
            <w:pPr>
              <w:spacing w:after="20"/>
              <w:ind w:left="20"/>
              <w:jc w:val="both"/>
            </w:pPr>
            <w:r>
              <w:rPr>
                <w:rFonts w:ascii="Times New Roman"/>
                <w:b w:val="false"/>
                <w:i w:val="false"/>
                <w:color w:val="000000"/>
                <w:sz w:val="20"/>
              </w:rPr>
              <w:t>
</w:t>
            </w:r>
            <w:r>
              <w:rPr>
                <w:rFonts w:ascii="Times New Roman"/>
                <w:b/>
                <w:i w:val="false"/>
                <w:color w:val="000000"/>
                <w:sz w:val="20"/>
              </w:rPr>
              <w:t>Контроль качества</w:t>
            </w:r>
            <w:r>
              <w:rPr>
                <w:rFonts w:ascii="Times New Roman"/>
                <w:b w:val="false"/>
                <w:i w:val="false"/>
                <w:color w:val="000000"/>
                <w:sz w:val="20"/>
              </w:rPr>
              <w:t> </w:t>
            </w:r>
          </w:p>
          <w:p>
            <w:pPr>
              <w:spacing w:after="20"/>
              <w:ind w:left="20"/>
              <w:jc w:val="both"/>
            </w:pPr>
            <w:r>
              <w:rPr>
                <w:rFonts w:ascii="Times New Roman"/>
                <w:b w:val="false"/>
                <w:i w:val="false"/>
                <w:color w:val="000000"/>
                <w:sz w:val="20"/>
              </w:rPr>
              <w:t>
   66. Контроль в процессе производства является более важным для обеспечения стабильности качества биологических активных фармацевтических субстанций и лекарственных препаратов, чем для других лекарственных препаратов. Межоперационный контроль осуществляется на соответствующих стадиях производства с целью контроля условий, являющихся важными для качества готового продукта.</w:t>
            </w:r>
          </w:p>
          <w:p>
            <w:pPr>
              <w:spacing w:after="20"/>
              <w:ind w:left="20"/>
              <w:jc w:val="both"/>
            </w:pPr>
            <w:r>
              <w:rPr>
                <w:rFonts w:ascii="Times New Roman"/>
                <w:b w:val="false"/>
                <w:i w:val="false"/>
                <w:color w:val="000000"/>
                <w:sz w:val="20"/>
              </w:rPr>
              <w:t>
   67. В случаях, когда промежуточные продукты могут храниться на протяжении длительного времени (дни, недели или дольше), рассматривается возможность включения в текущую программу испытания стабильности серий готовой продукции, которые произведены из промежуточных продуктов с максимальным периодом хранения в процессе производства.</w:t>
            </w:r>
          </w:p>
          <w:p>
            <w:pPr>
              <w:spacing w:after="20"/>
              <w:ind w:left="20"/>
              <w:jc w:val="both"/>
            </w:pPr>
            <w:r>
              <w:rPr>
                <w:rFonts w:ascii="Times New Roman"/>
                <w:b w:val="false"/>
                <w:i w:val="false"/>
                <w:color w:val="000000"/>
                <w:sz w:val="20"/>
              </w:rPr>
              <w:t>
   68. Для определенных типов клеток (например, аутологичные клетки, используемые в производстве высокотехнологичных лекарственных средств), которые могут быть доступными в ограниченных количествах и если это допускается регистрационным досье, проведение испытаний и порядок хранения контрольных образцов могут быть изменены, что оформляется документально.</w:t>
            </w:r>
          </w:p>
          <w:p>
            <w:pPr>
              <w:spacing w:after="20"/>
              <w:ind w:left="20"/>
              <w:jc w:val="both"/>
            </w:pPr>
            <w:r>
              <w:rPr>
                <w:rFonts w:ascii="Times New Roman"/>
                <w:b w:val="false"/>
                <w:i w:val="false"/>
                <w:color w:val="000000"/>
                <w:sz w:val="20"/>
              </w:rPr>
              <w:t>
   69. Для клеточных высокотехнологичных лекарственных средств тесты на стерильность проводятся на культурах клеток или банках клеток, свободных от антибиотиков, для получения доказательства отсутствия контаминации бактериями и грибами, а также для возможности обнаружения организмов, требующих специальных условий культивирования (если применимо).</w:t>
            </w:r>
          </w:p>
          <w:p>
            <w:pPr>
              <w:spacing w:after="20"/>
              <w:ind w:left="20"/>
              <w:jc w:val="both"/>
            </w:pPr>
            <w:r>
              <w:rPr>
                <w:rFonts w:ascii="Times New Roman"/>
                <w:b w:val="false"/>
                <w:i w:val="false"/>
                <w:color w:val="000000"/>
                <w:sz w:val="20"/>
              </w:rPr>
              <w:t>
   70. Соответствующая стратегия контроля осуществляется для производства биологических лекарственных препаратов с коротким сроком годности, определяемым в настоящем Приложении как срок до 14 дней, для которых требуется выпуск серии еще до окончания проведения испытаний качества всей партии готовой продукции (например, исследование стерильности). Такой контроль основан на глубоком понимании свойств лекарственного препарата и производственного процесса и принимает во внимание контроль и характерные свойства исходных сырья и материалов. Необходимо наличие четкого и полного описания всей процедуры выпуска, включающего обязанности отдельных работников, вовлеченных в оценку производственных и аналитических данных. Проводится непрерывная оценка эффективности системы обеспечения качества, включая ведение записей, позволяющих оценивать тенденции (тренды). Предусматриваются альтернативные методы (например, быстрые микробиологические методы) получения соответствующих результатов, позволяющих проводить предварительное подтверждение соответствия серий в случаях, если невозможно провести испытания готового лекарственного препарата из-за его короткого срока годности. Процедура подтверждения соответствия и выпуска серии может проводиться путем двух и более стадий:</w:t>
            </w:r>
          </w:p>
          <w:p>
            <w:pPr>
              <w:spacing w:after="20"/>
              <w:ind w:left="20"/>
              <w:jc w:val="both"/>
            </w:pPr>
            <w:r>
              <w:rPr>
                <w:rFonts w:ascii="Times New Roman"/>
                <w:b w:val="false"/>
                <w:i w:val="false"/>
                <w:color w:val="000000"/>
                <w:sz w:val="20"/>
              </w:rPr>
              <w:t>
   1) оценка ответственным (-ыми) лицом (-ами) записей, касающихся процесса производства серии, и результатов мониторинга производственной среды (если применимо), которые охватывают условия производства, все отклонения от стандартных процедур и существующие аналитические результаты для первичного разрешения серии продукта к выпуску Уполномоченным лицом;</w:t>
            </w:r>
          </w:p>
          <w:p>
            <w:pPr>
              <w:spacing w:after="20"/>
              <w:ind w:left="20"/>
              <w:jc w:val="both"/>
            </w:pPr>
            <w:r>
              <w:rPr>
                <w:rFonts w:ascii="Times New Roman"/>
                <w:b w:val="false"/>
                <w:i w:val="false"/>
                <w:color w:val="000000"/>
                <w:sz w:val="20"/>
              </w:rPr>
              <w:t>
   2) оценка Уполномоченным лицом результатов окончательных аналитических испытаний и другой доступной информации для заключительного подтверждения соответствия серии установленным требованиям.</w:t>
            </w:r>
          </w:p>
          <w:p>
            <w:pPr>
              <w:spacing w:after="20"/>
              <w:ind w:left="20"/>
              <w:jc w:val="both"/>
            </w:pPr>
            <w:r>
              <w:rPr>
                <w:rFonts w:ascii="Times New Roman"/>
                <w:b w:val="false"/>
                <w:i w:val="false"/>
                <w:color w:val="000000"/>
                <w:sz w:val="20"/>
              </w:rPr>
              <w:t>
   В случае получения результатов испытаний, выходящих за границы спецификаций предусматривается процедура, описывающая необходимые мероприятия, включая взаимодействие с медицинскими работниками. Такие случаи расследуются в полном объеме, соответствующие корректирующие и предупреждающие действия, направленные на предотвращение возможности повторения таких случаев, регистрируются документально.</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
        <w:gridCol w:w="12222"/>
      </w:tblGrid>
      <w:tr>
        <w:trPr>
          <w:trHeight w:val="30" w:hRule="atLeast"/>
        </w:trPr>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B. СПЕЦИАЛЬНОЕ РУКОВОДСТВО ПО ОТДЕЛЬНЫМ ТИПАМ ПРОДУКЦИИ</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B1. Лекарственные препараты животного происхождения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Это руководство применяется к материалам животного происхождения, в том числе к материалам, полученным из таких организаций, как скотобойни. Поскольку цепи поставок могут быть обширными и сложными, применяются средства контроля, основанные на принципах управления рисками для качества. При этом необходимо учитывать фармакопейные требования, включая проведение соответствующих испытаний на определенных стадиях. Ведется соответствующая документация, обеспечивающая прослеживаемость цепи поставок с четким указанием роли каждого участника цепи поставок, включая достаточно подробное описание схемы поставок.</w:t>
            </w:r>
          </w:p>
          <w:p>
            <w:pPr>
              <w:spacing w:after="20"/>
              <w:ind w:left="20"/>
              <w:jc w:val="both"/>
            </w:pPr>
            <w:r>
              <w:rPr>
                <w:rFonts w:ascii="Times New Roman"/>
                <w:b w:val="false"/>
                <w:i w:val="false"/>
                <w:color w:val="000000"/>
                <w:sz w:val="20"/>
              </w:rPr>
              <w:t>
   1. Обеспечивается наличие программ мониторинга опасных для человека болезней животных (ветеринарное освидетельствование). При оценке факторов риска принимаются во внимание сообщения заслуживающих доверие источников относительно распространенности заболевания на территории государства. Одной из организаций, осуществляющей мониторинг заболеваемости животных в мире, является Международное эпизоотическое бюро. Сообщения сопровождаются информацией о проверке состояния здоровья животных и программе(ах) контроля на государственном и местном уровнях. Последнее включает в себя мероприятия контроля источников (например, фермы или загоны для скота), из которых получены животные, и контроль во время транспортирования животных на скотобойню.</w:t>
            </w:r>
          </w:p>
          <w:p>
            <w:pPr>
              <w:spacing w:after="20"/>
              <w:ind w:left="20"/>
              <w:jc w:val="both"/>
            </w:pPr>
            <w:r>
              <w:rPr>
                <w:rFonts w:ascii="Times New Roman"/>
                <w:b w:val="false"/>
                <w:i w:val="false"/>
                <w:color w:val="000000"/>
                <w:sz w:val="20"/>
              </w:rPr>
              <w:t xml:space="preserve">
   2. Скотобойни соответствуют требованиям законодательства при использовании их в качестве поставщиков тканей животных. Принимаются во внимание отчеты уполномоченных органов, подтверждающие соблюдение требований безопасности и качества кормов. </w:t>
            </w:r>
          </w:p>
          <w:p>
            <w:pPr>
              <w:spacing w:after="20"/>
              <w:ind w:left="20"/>
              <w:jc w:val="both"/>
            </w:pPr>
            <w:r>
              <w:rPr>
                <w:rFonts w:ascii="Times New Roman"/>
                <w:b w:val="false"/>
                <w:i w:val="false"/>
                <w:color w:val="000000"/>
                <w:sz w:val="20"/>
              </w:rPr>
              <w:t xml:space="preserve">
   3. Мероприятия по контролю исходных сырья и материалов в таких организациях, как скотобойни, включают определенные элементы системы управления качеством для обеспечения удовлетворительного уровня профессиональной подготовки персонала, прослеживаемости материалов, контроля и стабильности. Меры, не предусмотренные законодательством, используются при условии, что они обеспечивают соответствующий уровень контроля. </w:t>
            </w:r>
          </w:p>
          <w:p>
            <w:pPr>
              <w:spacing w:after="20"/>
              <w:ind w:left="20"/>
              <w:jc w:val="both"/>
            </w:pPr>
            <w:r>
              <w:rPr>
                <w:rFonts w:ascii="Times New Roman"/>
                <w:b w:val="false"/>
                <w:i w:val="false"/>
                <w:color w:val="000000"/>
                <w:sz w:val="20"/>
              </w:rPr>
              <w:t>
   4. Предусматриваются мероприятия по контролю исходных материалов или сырья, обеспечивающие предотвращение вмешательств, влияющих на качество материалов, или, по меньшей мере, предоставляющие информацию о проведении таких мероприятий при продвижении исходных материалов или сырья по производственной цепочке или цепочке поставки. Данные мероприятия проводятся в отношении перемещения материалов от мест первичного сбора, проведения частичной и полной очистки до мест хранения, накопления, размещения и нахождения у посредников. Ведется детальная регистрация проведенных мероприятий в рамках системы, обеспечивающей прослеживаемость продукции, включая регистрацию любых нарушений, связанных с ними расследований и принятых мер.</w:t>
            </w:r>
          </w:p>
          <w:p>
            <w:pPr>
              <w:spacing w:after="20"/>
              <w:ind w:left="20"/>
              <w:jc w:val="both"/>
            </w:pPr>
            <w:r>
              <w:rPr>
                <w:rFonts w:ascii="Times New Roman"/>
                <w:b w:val="false"/>
                <w:i w:val="false"/>
                <w:color w:val="000000"/>
                <w:sz w:val="20"/>
              </w:rPr>
              <w:t>
   5. Проводятся постоянные аудиты поставщиков исходного сырья и материалов, подтверждающие соблюдение требований контроля материалов на разных стадиях производства. В наличии имеется полная документация о расследованиях происшествий, проведенных с тщательностью, соответствующей значимости происшествий. Существуют системы, обеспечивающие проведение эффективных корректирующих и предупреждающих действий.</w:t>
            </w:r>
          </w:p>
          <w:p>
            <w:pPr>
              <w:spacing w:after="20"/>
              <w:ind w:left="20"/>
              <w:jc w:val="both"/>
            </w:pPr>
            <w:r>
              <w:rPr>
                <w:rFonts w:ascii="Times New Roman"/>
                <w:b w:val="false"/>
                <w:i w:val="false"/>
                <w:color w:val="000000"/>
                <w:sz w:val="20"/>
              </w:rPr>
              <w:t>
   6. Клетки, ткани и органы, используемые для производства ксеногенных клеточных лекарственных препаратов, получают исключительно от животных, которые содержатся в неволе изолированно от других животных и выращены специально для этих целей. Ни в коем случае не допускается использование клеток, тканей и органов диких животных или животных со скотобоен. Также не допускается использование тканей животных-основателей (животный организм, несущий чужеродный ген). Следует вести наблюдение и документацию относительно состояния здоровья животных.</w:t>
            </w:r>
          </w:p>
          <w:p>
            <w:pPr>
              <w:spacing w:after="20"/>
              <w:ind w:left="20"/>
              <w:jc w:val="both"/>
            </w:pPr>
            <w:r>
              <w:rPr>
                <w:rFonts w:ascii="Times New Roman"/>
                <w:b w:val="false"/>
                <w:i w:val="false"/>
                <w:color w:val="000000"/>
                <w:sz w:val="20"/>
              </w:rPr>
              <w:t>
   7. При ксеногенной клеточной терапии соблюдаются соответствующие рекомендации относительно поставки и испытаний клеток животных. Требования относительно ксеногенных лекарственных препаратов предусматриваются соответствующими нормативными правовыми актами. </w:t>
            </w:r>
          </w:p>
          <w:p>
            <w:pPr>
              <w:spacing w:after="20"/>
              <w:ind w:left="20"/>
              <w:jc w:val="both"/>
            </w:pPr>
            <w:r>
              <w:rPr>
                <w:rFonts w:ascii="Times New Roman"/>
                <w:b w:val="false"/>
                <w:i w:val="false"/>
                <w:color w:val="000000"/>
                <w:sz w:val="20"/>
              </w:rPr>
              <w:t>
</w:t>
            </w:r>
            <w:r>
              <w:rPr>
                <w:rFonts w:ascii="Times New Roman"/>
                <w:b/>
                <w:i w:val="false"/>
                <w:color w:val="000000"/>
                <w:sz w:val="20"/>
              </w:rPr>
              <w:t>B2. Лекарственные препараты аллергенов</w:t>
            </w:r>
            <w:r>
              <w:rPr>
                <w:rFonts w:ascii="Times New Roman"/>
                <w:b w:val="false"/>
                <w:i w:val="false"/>
                <w:color w:val="000000"/>
                <w:sz w:val="20"/>
              </w:rPr>
              <w:t> </w:t>
            </w:r>
          </w:p>
          <w:p>
            <w:pPr>
              <w:spacing w:after="20"/>
              <w:ind w:left="20"/>
              <w:jc w:val="both"/>
            </w:pPr>
            <w:r>
              <w:rPr>
                <w:rFonts w:ascii="Times New Roman"/>
                <w:b w:val="false"/>
                <w:i w:val="false"/>
                <w:color w:val="000000"/>
                <w:sz w:val="20"/>
              </w:rPr>
              <w:t>
   Материалы, произведенные путем извлечения из естественных источников или с использованием технологии рекомбинантной ДНК:</w:t>
            </w:r>
          </w:p>
          <w:p>
            <w:pPr>
              <w:spacing w:after="20"/>
              <w:ind w:left="20"/>
              <w:jc w:val="both"/>
            </w:pPr>
            <w:r>
              <w:rPr>
                <w:rFonts w:ascii="Times New Roman"/>
                <w:b w:val="false"/>
                <w:i w:val="false"/>
                <w:color w:val="000000"/>
                <w:sz w:val="20"/>
              </w:rPr>
              <w:t>
   1. Для гарантии соответствия поставки исходных материалов существует их описание, включающее необходимые детали, например, общепринятое и научное название, происхождение, природа, пределы содержания контаминантов, метод забора таких материалов. Животные материалы получают от здоровых животных. Для колоний (например, клещей, животных), которые используются для экстракции аллергенов, существует соответствующая система контроля, обеспечивающая биологическую безопасность. Лекарственные препараты аллергенов хранятся в соответствующих условиях, обеспечивающих их качество.</w:t>
            </w:r>
          </w:p>
          <w:p>
            <w:pPr>
              <w:spacing w:after="20"/>
              <w:ind w:left="20"/>
              <w:jc w:val="both"/>
            </w:pPr>
            <w:r>
              <w:rPr>
                <w:rFonts w:ascii="Times New Roman"/>
                <w:b w:val="false"/>
                <w:i w:val="false"/>
                <w:color w:val="000000"/>
                <w:sz w:val="20"/>
              </w:rPr>
              <w:t>
   2. Стадии технологического процесса, включающие предварительную обработку, экстракцию, фильтрацию, диализ, концентрирование или лиофилизацию, детально описываются и валидируются.</w:t>
            </w:r>
          </w:p>
          <w:p>
            <w:pPr>
              <w:spacing w:after="20"/>
              <w:ind w:left="20"/>
              <w:jc w:val="both"/>
            </w:pPr>
            <w:r>
              <w:rPr>
                <w:rFonts w:ascii="Times New Roman"/>
                <w:b w:val="false"/>
                <w:i w:val="false"/>
                <w:color w:val="000000"/>
                <w:sz w:val="20"/>
              </w:rPr>
              <w:t>
   3. Процессы модификации, используемые для производства модифицированных экстрактов аллергенов (например, аллергоидов, конъюгатов), описываются в соответствующей документации. Промежуточные продукты в технологическом процессе идентифицируются и контролируются.</w:t>
            </w:r>
          </w:p>
          <w:p>
            <w:pPr>
              <w:spacing w:after="20"/>
              <w:ind w:left="20"/>
              <w:jc w:val="both"/>
            </w:pPr>
            <w:r>
              <w:rPr>
                <w:rFonts w:ascii="Times New Roman"/>
                <w:b w:val="false"/>
                <w:i w:val="false"/>
                <w:color w:val="000000"/>
                <w:sz w:val="20"/>
              </w:rPr>
              <w:t>
   4. Смеси экстрактов аллергенов приготовливаются из отдельных экстрактов исходных материалов, полученных из одного источника. Каждый отдельный экстракт определяется как отдельная активная фармацевтическая субстанция. </w:t>
            </w:r>
          </w:p>
          <w:p>
            <w:pPr>
              <w:spacing w:after="20"/>
              <w:ind w:left="20"/>
              <w:jc w:val="both"/>
            </w:pPr>
            <w:r>
              <w:rPr>
                <w:rFonts w:ascii="Times New Roman"/>
                <w:b w:val="false"/>
                <w:i w:val="false"/>
                <w:color w:val="000000"/>
                <w:sz w:val="20"/>
              </w:rPr>
              <w:t>
</w:t>
            </w:r>
            <w:r>
              <w:rPr>
                <w:rFonts w:ascii="Times New Roman"/>
                <w:b/>
                <w:i w:val="false"/>
                <w:color w:val="000000"/>
                <w:sz w:val="20"/>
              </w:rPr>
              <w:t>B3. Лекарственные препараты иммунных сывороток животных</w:t>
            </w:r>
            <w:r>
              <w:rPr>
                <w:rFonts w:ascii="Times New Roman"/>
                <w:b w:val="false"/>
                <w:i w:val="false"/>
                <w:color w:val="000000"/>
                <w:sz w:val="20"/>
              </w:rPr>
              <w:t> </w:t>
            </w:r>
          </w:p>
          <w:p>
            <w:pPr>
              <w:spacing w:after="20"/>
              <w:ind w:left="20"/>
              <w:jc w:val="both"/>
            </w:pPr>
            <w:r>
              <w:rPr>
                <w:rFonts w:ascii="Times New Roman"/>
                <w:b w:val="false"/>
                <w:i w:val="false"/>
                <w:color w:val="000000"/>
                <w:sz w:val="20"/>
              </w:rPr>
              <w:t>
   1. Особое внимание уделяется контролю антигенов биологического происхождения для гарантии их качества, постоянства и отсутствия побочных агентов. Подготовка материалов, используемых для иммунизации животных (например, использование или введение антигенов, гаптен-носителей, адъювантов, стабилизирующих агентов), и хранение таких материалов непосредственно перед иммунизацией производится в соответствии с документально оформленными процедурами.</w:t>
            </w:r>
          </w:p>
          <w:p>
            <w:pPr>
              <w:spacing w:after="20"/>
              <w:ind w:left="20"/>
              <w:jc w:val="both"/>
            </w:pPr>
            <w:r>
              <w:rPr>
                <w:rFonts w:ascii="Times New Roman"/>
                <w:b w:val="false"/>
                <w:i w:val="false"/>
                <w:color w:val="000000"/>
                <w:sz w:val="20"/>
              </w:rPr>
              <w:t>
   2. Процедуры иммунизации, исследования крови и забора крови проводятся в соответствии с регистрационным досье.</w:t>
            </w:r>
          </w:p>
          <w:p>
            <w:pPr>
              <w:spacing w:after="20"/>
              <w:ind w:left="20"/>
              <w:jc w:val="both"/>
            </w:pPr>
            <w:r>
              <w:rPr>
                <w:rFonts w:ascii="Times New Roman"/>
                <w:b w:val="false"/>
                <w:i w:val="false"/>
                <w:color w:val="000000"/>
                <w:sz w:val="20"/>
              </w:rPr>
              <w:t>
   3. Условия производства лекарственных препаратов из суб-фрагментов антител (например, участки связывания антигена Fab и F(ab’)</w:t>
            </w:r>
            <w:r>
              <w:rPr>
                <w:rFonts w:ascii="Times New Roman"/>
                <w:b w:val="false"/>
                <w:i w:val="false"/>
                <w:color w:val="000000"/>
                <w:vertAlign w:val="subscript"/>
              </w:rPr>
              <w:t>2</w:t>
            </w:r>
            <w:r>
              <w:rPr>
                <w:rFonts w:ascii="Times New Roman"/>
                <w:b w:val="false"/>
                <w:i w:val="false"/>
                <w:color w:val="000000"/>
                <w:sz w:val="20"/>
              </w:rPr>
              <w:t>) и любые дальнейшие модификации соответствуют валидированным и утвержденным параметрам. Если ферменты, используемые при производстве, состоят из нескольких компонентов, обеспечивается их стабильность.</w:t>
            </w:r>
          </w:p>
          <w:p>
            <w:pPr>
              <w:spacing w:after="20"/>
              <w:ind w:left="20"/>
              <w:jc w:val="both"/>
            </w:pPr>
            <w:r>
              <w:rPr>
                <w:rFonts w:ascii="Times New Roman"/>
                <w:b w:val="false"/>
                <w:i w:val="false"/>
                <w:color w:val="000000"/>
                <w:sz w:val="20"/>
              </w:rPr>
              <w:t>
</w:t>
            </w:r>
            <w:r>
              <w:rPr>
                <w:rFonts w:ascii="Times New Roman"/>
                <w:b/>
                <w:i w:val="false"/>
                <w:color w:val="000000"/>
                <w:sz w:val="20"/>
              </w:rPr>
              <w:t>B4. Вакцины</w:t>
            </w:r>
            <w:r>
              <w:rPr>
                <w:rFonts w:ascii="Times New Roman"/>
                <w:b w:val="false"/>
                <w:i w:val="false"/>
                <w:color w:val="000000"/>
                <w:sz w:val="20"/>
              </w:rPr>
              <w:t> </w:t>
            </w:r>
          </w:p>
          <w:p>
            <w:pPr>
              <w:spacing w:after="20"/>
              <w:ind w:left="20"/>
              <w:jc w:val="both"/>
            </w:pPr>
            <w:r>
              <w:rPr>
                <w:rFonts w:ascii="Times New Roman"/>
                <w:b w:val="false"/>
                <w:i w:val="false"/>
                <w:color w:val="000000"/>
                <w:sz w:val="20"/>
              </w:rPr>
              <w:t>
   1. При использовании эмбрионов птиц, обеспечивается здоровье всех стай, используемых для их получения (для стай, свободных от специфических патогенов, и для здоровых стай).</w:t>
            </w:r>
          </w:p>
          <w:p>
            <w:pPr>
              <w:spacing w:after="20"/>
              <w:ind w:left="20"/>
              <w:jc w:val="both"/>
            </w:pPr>
            <w:r>
              <w:rPr>
                <w:rFonts w:ascii="Times New Roman"/>
                <w:b w:val="false"/>
                <w:i w:val="false"/>
                <w:color w:val="000000"/>
                <w:sz w:val="20"/>
              </w:rPr>
              <w:t>
   2. Проводится валидация целостности контейнеров, используемых для хранения промежуточных продуктов, и времени их хранения.</w:t>
            </w:r>
          </w:p>
          <w:p>
            <w:pPr>
              <w:spacing w:after="20"/>
              <w:ind w:left="20"/>
              <w:jc w:val="both"/>
            </w:pPr>
            <w:r>
              <w:rPr>
                <w:rFonts w:ascii="Times New Roman"/>
                <w:b w:val="false"/>
                <w:i w:val="false"/>
                <w:color w:val="000000"/>
                <w:sz w:val="20"/>
              </w:rPr>
              <w:t>
   3. В зонах, содержащих живые биологические агенты, запрещается открывание сосудов, содержащих инактивированные лекарственные препараты, и отбор проб из них.</w:t>
            </w:r>
          </w:p>
          <w:p>
            <w:pPr>
              <w:spacing w:after="20"/>
              <w:ind w:left="20"/>
              <w:jc w:val="both"/>
            </w:pPr>
            <w:r>
              <w:rPr>
                <w:rFonts w:ascii="Times New Roman"/>
                <w:b w:val="false"/>
                <w:i w:val="false"/>
                <w:color w:val="000000"/>
                <w:sz w:val="20"/>
              </w:rPr>
              <w:t xml:space="preserve">
   4. Последовательность прибавления активных компонентов, адъювантов и вспомогательных веществ в процессе производства промежуточного или готового продукта соответствует технологическим инструкциям. </w:t>
            </w:r>
          </w:p>
          <w:p>
            <w:pPr>
              <w:spacing w:after="20"/>
              <w:ind w:left="20"/>
              <w:jc w:val="both"/>
            </w:pPr>
            <w:r>
              <w:rPr>
                <w:rFonts w:ascii="Times New Roman"/>
                <w:b w:val="false"/>
                <w:i w:val="false"/>
                <w:color w:val="000000"/>
                <w:sz w:val="20"/>
              </w:rPr>
              <w:t>
   5. В случае использования для производства или испытаний микроорганизмов, которым присвоен высший уровень биологической опасности (например, пандемические штаммы) обеспечиваются необходимые меры изоляции. на проведение упомянутых мероприятий от соответствующего(их) уполномоченного(ых) органа(ов) получают документальное подтверждение разрешения. Данная документация имеется в наличии и доступна для проверки. </w:t>
            </w:r>
          </w:p>
          <w:p>
            <w:pPr>
              <w:spacing w:after="20"/>
              <w:ind w:left="20"/>
              <w:jc w:val="both"/>
            </w:pPr>
            <w:r>
              <w:rPr>
                <w:rFonts w:ascii="Times New Roman"/>
                <w:b w:val="false"/>
                <w:i w:val="false"/>
                <w:color w:val="000000"/>
                <w:sz w:val="20"/>
              </w:rPr>
              <w:t>
</w:t>
            </w:r>
            <w:r>
              <w:rPr>
                <w:rFonts w:ascii="Times New Roman"/>
                <w:b/>
                <w:i w:val="false"/>
                <w:color w:val="000000"/>
                <w:sz w:val="20"/>
              </w:rPr>
              <w:t>B5. Рекомбинантные продукты</w:t>
            </w:r>
            <w:r>
              <w:rPr>
                <w:rFonts w:ascii="Times New Roman"/>
                <w:b w:val="false"/>
                <w:i w:val="false"/>
                <w:color w:val="000000"/>
                <w:sz w:val="20"/>
              </w:rPr>
              <w:t> </w:t>
            </w:r>
          </w:p>
          <w:p>
            <w:pPr>
              <w:spacing w:after="20"/>
              <w:ind w:left="20"/>
              <w:jc w:val="both"/>
            </w:pPr>
            <w:r>
              <w:rPr>
                <w:rFonts w:ascii="Times New Roman"/>
                <w:b w:val="false"/>
                <w:i w:val="false"/>
                <w:color w:val="000000"/>
                <w:sz w:val="20"/>
              </w:rPr>
              <w:t>
   1. Для обеспечения постоянства свойств лекарственного препарата, содержащего допустимые примеси в определенном диапазоне, соблюдаются валидированные условия технологических процессов при росте клеток, экспрессии белка и очистке. Для обеспечения отсутствия вирусной контаминации в определенных типах клеток, используемых в производстве, могут потребоваться дополнительные меры. Для лекарственных препаратов, производство которых предусматривает многократные сборы клеток при культивировании, его продолжительность находится в утвержденных пределах.</w:t>
            </w:r>
          </w:p>
          <w:p>
            <w:pPr>
              <w:spacing w:after="20"/>
              <w:ind w:left="20"/>
              <w:jc w:val="both"/>
            </w:pPr>
            <w:r>
              <w:rPr>
                <w:rFonts w:ascii="Times New Roman"/>
                <w:b w:val="false"/>
                <w:i w:val="false"/>
                <w:color w:val="000000"/>
                <w:sz w:val="20"/>
              </w:rPr>
              <w:t>
   2. Процессы очистки от нежелательных белков хозяина-продуцента, нуклеиновых кислот, углеводов, вирусов и других примесей проводятся в рамках определенных валидированных пределов. </w:t>
            </w:r>
          </w:p>
          <w:p>
            <w:pPr>
              <w:spacing w:after="20"/>
              <w:ind w:left="20"/>
              <w:jc w:val="both"/>
            </w:pPr>
            <w:r>
              <w:rPr>
                <w:rFonts w:ascii="Times New Roman"/>
                <w:b w:val="false"/>
                <w:i w:val="false"/>
                <w:color w:val="000000"/>
                <w:sz w:val="20"/>
              </w:rPr>
              <w:t>
</w:t>
            </w:r>
            <w:r>
              <w:rPr>
                <w:rFonts w:ascii="Times New Roman"/>
                <w:b/>
                <w:i w:val="false"/>
                <w:color w:val="000000"/>
                <w:sz w:val="20"/>
              </w:rPr>
              <w:t>B6. Лекарственные препараты моноклональных антител</w:t>
            </w:r>
            <w:r>
              <w:rPr>
                <w:rFonts w:ascii="Times New Roman"/>
                <w:b w:val="false"/>
                <w:i w:val="false"/>
                <w:color w:val="000000"/>
                <w:sz w:val="20"/>
              </w:rPr>
              <w:t> </w:t>
            </w:r>
          </w:p>
          <w:p>
            <w:pPr>
              <w:spacing w:after="20"/>
              <w:ind w:left="20"/>
              <w:jc w:val="both"/>
            </w:pPr>
            <w:r>
              <w:rPr>
                <w:rFonts w:ascii="Times New Roman"/>
                <w:b w:val="false"/>
                <w:i w:val="false"/>
                <w:color w:val="000000"/>
                <w:sz w:val="20"/>
              </w:rPr>
              <w:t>
   1. Для обеспечения безопасности и качества лекарственного препарата проводятся соответствующие мероприятия контроля в отношении исходных клеток (в том числе, питающих клеток, в случае их использования) и исходных материалов, используемых для создания гибридомы или линии клеток. Данные мероприятия проводятся в утвержденных пределах. Особое внимание уделяется доказательству отсутствия вирусов в лекарственном препарате. Для доказательства пригодности лекарственных препаратов, произведенных на одной и той же технологической основе, возможно использование данных, полученных при испытании одного из них.</w:t>
            </w:r>
          </w:p>
          <w:p>
            <w:pPr>
              <w:spacing w:after="20"/>
              <w:ind w:left="20"/>
              <w:jc w:val="both"/>
            </w:pPr>
            <w:r>
              <w:rPr>
                <w:rFonts w:ascii="Times New Roman"/>
                <w:b w:val="false"/>
                <w:i w:val="false"/>
                <w:color w:val="000000"/>
                <w:sz w:val="20"/>
              </w:rPr>
              <w:t>
   2. Проводится проверка того, что критерии на промежуточных и конечной стадии производственного процесса контролируются и находятся в утвержденных пределах.</w:t>
            </w:r>
          </w:p>
          <w:p>
            <w:pPr>
              <w:spacing w:after="20"/>
              <w:ind w:left="20"/>
              <w:jc w:val="both"/>
            </w:pPr>
            <w:r>
              <w:rPr>
                <w:rFonts w:ascii="Times New Roman"/>
                <w:b w:val="false"/>
                <w:i w:val="false"/>
                <w:color w:val="000000"/>
                <w:sz w:val="20"/>
              </w:rPr>
              <w:t>
   3. Производственные условия для приготовления суб-фрагментов антител (например, Fab, F(ab’)</w:t>
            </w:r>
            <w:r>
              <w:rPr>
                <w:rFonts w:ascii="Times New Roman"/>
                <w:b w:val="false"/>
                <w:i w:val="false"/>
                <w:color w:val="000000"/>
                <w:vertAlign w:val="subscript"/>
              </w:rPr>
              <w:t>2</w:t>
            </w:r>
            <w:r>
              <w:rPr>
                <w:rFonts w:ascii="Times New Roman"/>
                <w:b w:val="false"/>
                <w:i w:val="false"/>
                <w:color w:val="000000"/>
                <w:sz w:val="20"/>
              </w:rPr>
              <w:t>, scFv) и любых других модификаций (например, введения радиоактивных меток, конъюгации, химического связывания) соответствуют валидированным параметрам. </w:t>
            </w:r>
          </w:p>
          <w:p>
            <w:pPr>
              <w:spacing w:after="20"/>
              <w:ind w:left="20"/>
              <w:jc w:val="both"/>
            </w:pPr>
            <w:r>
              <w:rPr>
                <w:rFonts w:ascii="Times New Roman"/>
                <w:b w:val="false"/>
                <w:i w:val="false"/>
                <w:color w:val="000000"/>
                <w:sz w:val="20"/>
              </w:rPr>
              <w:t>
</w:t>
            </w:r>
            <w:r>
              <w:rPr>
                <w:rFonts w:ascii="Times New Roman"/>
                <w:b/>
                <w:i w:val="false"/>
                <w:color w:val="000000"/>
                <w:sz w:val="20"/>
              </w:rPr>
              <w:t>B7. Лекарственные препараты трансгенных животных</w:t>
            </w:r>
            <w:r>
              <w:rPr>
                <w:rFonts w:ascii="Times New Roman"/>
                <w:b w:val="false"/>
                <w:i w:val="false"/>
                <w:color w:val="000000"/>
                <w:sz w:val="20"/>
              </w:rPr>
              <w:t> </w:t>
            </w:r>
          </w:p>
          <w:p>
            <w:pPr>
              <w:spacing w:after="20"/>
              <w:ind w:left="20"/>
              <w:jc w:val="both"/>
            </w:pPr>
            <w:r>
              <w:rPr>
                <w:rFonts w:ascii="Times New Roman"/>
                <w:b w:val="false"/>
                <w:i w:val="false"/>
                <w:color w:val="000000"/>
                <w:sz w:val="20"/>
              </w:rPr>
              <w:t>
   Обеспечение постоянства исходного материала, полученного из трансгенного источника, является более проблематичным, чем при использовании стандартных нетрансгенных биотехнологических источников. Следовательно, соблюдаются повышенные требования для доказательства постоянства всех свойств лекарственного препарата от серии к серии.</w:t>
            </w:r>
          </w:p>
          <w:p>
            <w:pPr>
              <w:spacing w:after="20"/>
              <w:ind w:left="20"/>
              <w:jc w:val="both"/>
            </w:pPr>
            <w:r>
              <w:rPr>
                <w:rFonts w:ascii="Times New Roman"/>
                <w:b w:val="false"/>
                <w:i w:val="false"/>
                <w:color w:val="000000"/>
                <w:sz w:val="20"/>
              </w:rPr>
              <w:t>
   1. Для производства биологических лекарственных препаратов используются различные виды животных, в том числе проводится забор и очистка биологических жидкостей, например, молока. Животные имеют четкую и уникальную маркировку, предусматриваются дублирующие меры на случай утраты первичного идентифицирующего маркера.</w:t>
            </w:r>
          </w:p>
          <w:p>
            <w:pPr>
              <w:spacing w:after="20"/>
              <w:ind w:left="20"/>
              <w:jc w:val="both"/>
            </w:pPr>
            <w:r>
              <w:rPr>
                <w:rFonts w:ascii="Times New Roman"/>
                <w:b w:val="false"/>
                <w:i w:val="false"/>
                <w:color w:val="000000"/>
                <w:sz w:val="20"/>
              </w:rPr>
              <w:t>
   2. Условия содержания и ухода за животными обеспечивают наименьший возможный контакт животных с патогенными агентами и зоонозами. Разрабатываются соответствующие меры защиты окружающей среды, программа наблюдения за здоровьем животных с соответствующим внесением записей в документацию. Расследуются любые инциденты и определяется их влияние на возможность дальнейшего использования животного и ранее полученных серий продукции. Исключется возможность контаминации производимого лекарственного препарата с любыми лекарственными препаратами, применявшимися для лечения животных.</w:t>
            </w:r>
          </w:p>
          <w:p>
            <w:pPr>
              <w:spacing w:after="20"/>
              <w:ind w:left="20"/>
              <w:jc w:val="both"/>
            </w:pPr>
            <w:r>
              <w:rPr>
                <w:rFonts w:ascii="Times New Roman"/>
                <w:b w:val="false"/>
                <w:i w:val="false"/>
                <w:color w:val="000000"/>
                <w:sz w:val="20"/>
              </w:rPr>
              <w:t>
   3. Ведется документация с родословной от животного-основателя до животных, использующихся для производства. Запрещается смешивание материалов, полученных из разных трансгенных линий животных, так как они происходят от разных животных-основателей.</w:t>
            </w:r>
          </w:p>
          <w:p>
            <w:pPr>
              <w:spacing w:after="20"/>
              <w:ind w:left="20"/>
              <w:jc w:val="both"/>
            </w:pPr>
            <w:r>
              <w:rPr>
                <w:rFonts w:ascii="Times New Roman"/>
                <w:b w:val="false"/>
                <w:i w:val="false"/>
                <w:color w:val="000000"/>
                <w:sz w:val="20"/>
              </w:rPr>
              <w:t>
   4. Условия, при которых производится забор материалов, соответствуют нормам регистрационного досье и протокола клинических исследований. График забора материала и условия, при которых животные исключаются из процесса производства лекарственного препарата, соответствуют утвержденным процедурам и критериям приемлемости. </w:t>
            </w:r>
          </w:p>
          <w:p>
            <w:pPr>
              <w:spacing w:after="20"/>
              <w:ind w:left="20"/>
              <w:jc w:val="both"/>
            </w:pPr>
            <w:r>
              <w:rPr>
                <w:rFonts w:ascii="Times New Roman"/>
                <w:b w:val="false"/>
                <w:i w:val="false"/>
                <w:color w:val="000000"/>
                <w:sz w:val="20"/>
              </w:rPr>
              <w:t>
</w:t>
            </w:r>
            <w:r>
              <w:rPr>
                <w:rFonts w:ascii="Times New Roman"/>
                <w:b/>
                <w:i w:val="false"/>
                <w:color w:val="000000"/>
                <w:sz w:val="20"/>
              </w:rPr>
              <w:t>B8. Лекарственные препараты трансгенных растений</w:t>
            </w:r>
            <w:r>
              <w:rPr>
                <w:rFonts w:ascii="Times New Roman"/>
                <w:b w:val="false"/>
                <w:i w:val="false"/>
                <w:color w:val="000000"/>
                <w:sz w:val="20"/>
              </w:rPr>
              <w:t> </w:t>
            </w:r>
          </w:p>
          <w:p>
            <w:pPr>
              <w:spacing w:after="20"/>
              <w:ind w:left="20"/>
              <w:jc w:val="both"/>
            </w:pPr>
            <w:r>
              <w:rPr>
                <w:rFonts w:ascii="Times New Roman"/>
                <w:b w:val="false"/>
                <w:i w:val="false"/>
                <w:color w:val="000000"/>
                <w:sz w:val="20"/>
              </w:rPr>
              <w:t>
   Обеспечение постоянства исходного материала, полученного из трансгенного источника, является более проблематичным, чем при использовании стандартных нетрансгенных биотехнологических источников. Следовательно, соблюдаются повышенные требования для доказательства постоянства всех свойств лекарственного препарата от серии к серии.</w:t>
            </w:r>
          </w:p>
          <w:p>
            <w:pPr>
              <w:spacing w:after="20"/>
              <w:ind w:left="20"/>
              <w:jc w:val="both"/>
            </w:pPr>
            <w:r>
              <w:rPr>
                <w:rFonts w:ascii="Times New Roman"/>
                <w:b w:val="false"/>
                <w:i w:val="false"/>
                <w:color w:val="000000"/>
                <w:sz w:val="20"/>
              </w:rPr>
              <w:t>
   1. Для предотвращения контаминации главных и рабочих трансгенных банков посторонними материалами растительного происхождения и соответствующими посторонними агентами могут понадобиться дополнительные меры, предшествующие или следующие за мероприятиями, указанными в Части А. Проводится контроль стабильности гена на протяжении определенного количества генераций.</w:t>
            </w:r>
          </w:p>
          <w:p>
            <w:pPr>
              <w:spacing w:after="20"/>
              <w:ind w:left="20"/>
              <w:jc w:val="both"/>
            </w:pPr>
            <w:r>
              <w:rPr>
                <w:rFonts w:ascii="Times New Roman"/>
                <w:b w:val="false"/>
                <w:i w:val="false"/>
                <w:color w:val="000000"/>
                <w:sz w:val="20"/>
              </w:rPr>
              <w:t>
   2. Для обеспечения постоянства сбора урожая от разных культур растений растения имеют четкую и уникальную маркировку и указываются их основные характеристики. В частности, состояние здоровья растений, входящих в культуру, контролируется с определенной периодичностью на протяжении периода выращивания.</w:t>
            </w:r>
          </w:p>
          <w:p>
            <w:pPr>
              <w:spacing w:after="20"/>
              <w:ind w:left="20"/>
              <w:jc w:val="both"/>
            </w:pPr>
            <w:r>
              <w:rPr>
                <w:rFonts w:ascii="Times New Roman"/>
                <w:b w:val="false"/>
                <w:i w:val="false"/>
                <w:color w:val="000000"/>
                <w:sz w:val="20"/>
              </w:rPr>
              <w:t>
   3. Устанавливаются меры предосторожности для защиты культур. По возможности минимизируется их контаминация микробиологическими агентами и перекрестная контаминация растениями другого вида. Принимаются меры для предотвращения контаминации лекарственного препарата такими материалами, как пестициды и удобрения. Разрабатывается программа мониторинга с соответствующим внесением записей в документацию, расследуются любые инциденты и определяется их влияние на возможность дальнейшего использования культуры в производственном процессе.</w:t>
            </w:r>
          </w:p>
          <w:p>
            <w:pPr>
              <w:spacing w:after="20"/>
              <w:ind w:left="20"/>
              <w:jc w:val="both"/>
            </w:pPr>
            <w:r>
              <w:rPr>
                <w:rFonts w:ascii="Times New Roman"/>
                <w:b w:val="false"/>
                <w:i w:val="false"/>
                <w:color w:val="000000"/>
                <w:sz w:val="20"/>
              </w:rPr>
              <w:t xml:space="preserve">
   4. Условия, при которых растения исключаются из производственного процесса, четко определяются. Устанавливаются пределы приемлемости для материалов, например, основных белков, которые могут помешать процедуре очистки продукции. Подтверждается, что результаты находятся в пределах утвержденных норм. </w:t>
            </w:r>
          </w:p>
          <w:p>
            <w:pPr>
              <w:spacing w:after="20"/>
              <w:ind w:left="20"/>
              <w:jc w:val="both"/>
            </w:pPr>
            <w:r>
              <w:rPr>
                <w:rFonts w:ascii="Times New Roman"/>
                <w:b w:val="false"/>
                <w:i w:val="false"/>
                <w:color w:val="000000"/>
                <w:sz w:val="20"/>
              </w:rPr>
              <w:t>
   5. Документально оформляются условия окружающей среды: температура, дождь, которые влияют на качественные характеристики лекарственного препарата, а также на производственный выход рекомбинантного белка, начиная от времени посева, на протяжении культивирования и до момента сбора и промежуточного хранения собранных материалов.</w:t>
            </w:r>
          </w:p>
          <w:p>
            <w:pPr>
              <w:spacing w:after="20"/>
              <w:ind w:left="20"/>
              <w:jc w:val="both"/>
            </w:pPr>
            <w:r>
              <w:rPr>
                <w:rFonts w:ascii="Times New Roman"/>
                <w:b w:val="false"/>
                <w:i w:val="false"/>
                <w:color w:val="000000"/>
                <w:sz w:val="20"/>
              </w:rPr>
              <w:t>
</w:t>
            </w:r>
            <w:r>
              <w:rPr>
                <w:rFonts w:ascii="Times New Roman"/>
                <w:b/>
                <w:i w:val="false"/>
                <w:color w:val="000000"/>
                <w:sz w:val="20"/>
              </w:rPr>
              <w:t>B9. Лекарственные препараты генной терапии</w:t>
            </w:r>
            <w:r>
              <w:rPr>
                <w:rFonts w:ascii="Times New Roman"/>
                <w:b w:val="false"/>
                <w:i w:val="false"/>
                <w:color w:val="000000"/>
                <w:sz w:val="20"/>
              </w:rPr>
              <w:t> </w:t>
            </w:r>
          </w:p>
          <w:p>
            <w:pPr>
              <w:spacing w:after="20"/>
              <w:ind w:left="20"/>
              <w:jc w:val="both"/>
            </w:pPr>
            <w:r>
              <w:rPr>
                <w:rFonts w:ascii="Times New Roman"/>
                <w:b w:val="false"/>
                <w:i w:val="false"/>
                <w:color w:val="000000"/>
                <w:sz w:val="20"/>
              </w:rPr>
              <w:t>
   Существует несколько типов лекарственных препаратов генной терапии: лекарственные препараты генной терапии, содержащие последовательность(ти) рекомбинантных нуклеиновых кислот или генетически модифицированный(ые) микроорганизм(мы) или вирус(ы), лекарственные препараты генной терапии, содержащие генетически модифицированные клетки, которые охватываются данным разделом. Для лекарственных препаратов генной терапии на основе клеток применяются некоторые положения, изложенные в разделе В10 Части В настоящего Приложения.</w:t>
            </w:r>
          </w:p>
          <w:p>
            <w:pPr>
              <w:spacing w:after="20"/>
              <w:ind w:left="20"/>
              <w:jc w:val="both"/>
            </w:pPr>
            <w:r>
              <w:rPr>
                <w:rFonts w:ascii="Times New Roman"/>
                <w:b w:val="false"/>
                <w:i w:val="false"/>
                <w:color w:val="000000"/>
                <w:sz w:val="20"/>
              </w:rPr>
              <w:t>
   1. Вследствие того, что клетки, используемые для производства лекарственных препаратов генной терапии, получены от людей (аутологичные или аллогенные) или от животных (ксеногенные), существует повышенный риск их контаминации побочными агентами. Для изоляции аутологичных материалов, полученных от инфицированных доноров, предусматриваются особые мероприятия. Для таких исходных материалов, а также для криопротекторов, питательных сред, клеток и векторов надежность контрольных и испытательных мероприятий основывается на принципах управления рисками для качества и соответствует регистрационному досье. Созданные клеточные линии для производства вирусных векторов и проведения контрольных и испытательных мероприятий основываются на принципах управления рисками для качества. В случае необходимости используются вирусные посевные культуры и системы банков клеток.</w:t>
            </w:r>
          </w:p>
          <w:p>
            <w:pPr>
              <w:spacing w:after="20"/>
              <w:ind w:left="20"/>
              <w:jc w:val="both"/>
            </w:pPr>
            <w:r>
              <w:rPr>
                <w:rFonts w:ascii="Times New Roman"/>
                <w:b w:val="false"/>
                <w:i w:val="false"/>
                <w:color w:val="000000"/>
                <w:sz w:val="20"/>
              </w:rPr>
              <w:t>
   2. На возможное содержание примесей, посторонних агентов и перекрестную контаминацию влияют такие факторы, как природа генетического материала, тип вектора (вирусный или не вирусный) и тип клеток, что учитывается при разработке общей стратегии минимизации риска. На основе данной стратегии разрабатывается технологический процесс, проектируются производственные и складские помещения и оборудование, разрабатываются процедуры уборки и деконтаминации, а также упаковки, маркировки и реализации.</w:t>
            </w:r>
          </w:p>
          <w:p>
            <w:pPr>
              <w:spacing w:after="20"/>
              <w:ind w:left="20"/>
              <w:jc w:val="both"/>
            </w:pPr>
            <w:r>
              <w:rPr>
                <w:rFonts w:ascii="Times New Roman"/>
                <w:b w:val="false"/>
                <w:i w:val="false"/>
                <w:color w:val="000000"/>
                <w:sz w:val="20"/>
              </w:rPr>
              <w:t>
   3. Производство и испытание лекарственных препаратов генной терапии требует решения специфических вопросов безопасности и качества готового лекарственного препарата и вопросов безопасности пациентов и персонала. Применяется подход, основанный на управлении рисками, для обеспечения безопасности персонала, окружающей среды и пациентов, а также принимаются меры контроля соответственно установленному классу биологической опасности.</w:t>
            </w:r>
          </w:p>
          <w:p>
            <w:pPr>
              <w:spacing w:after="20"/>
              <w:ind w:left="20"/>
              <w:jc w:val="both"/>
            </w:pPr>
            <w:r>
              <w:rPr>
                <w:rFonts w:ascii="Times New Roman"/>
                <w:b w:val="false"/>
                <w:i w:val="false"/>
                <w:color w:val="000000"/>
                <w:sz w:val="20"/>
              </w:rPr>
              <w:t>
   4. Передвижение персонала, включая персонал, занятый контролем качества, и обслуживающий персонал, и потоки материалов, включая хранящиеся и испытываемые (например, исходные материалы, образцы для внутрипроизводственного контроля, образцы готового лекарственного препарата и пробы производственной среды) организовываются на основе принципов управления рисками для качества. По возможности при этом используют однонаправленные потоки. Учитывается перемещение между зонами, содержащими различные генетически модифицированные организмы, и зонами, содержащими генетически не модифицированные организмы.</w:t>
            </w:r>
          </w:p>
          <w:p>
            <w:pPr>
              <w:spacing w:after="20"/>
              <w:ind w:left="20"/>
              <w:jc w:val="both"/>
            </w:pPr>
            <w:r>
              <w:rPr>
                <w:rFonts w:ascii="Times New Roman"/>
                <w:b w:val="false"/>
                <w:i w:val="false"/>
                <w:color w:val="000000"/>
                <w:sz w:val="20"/>
              </w:rPr>
              <w:t>
   5. При проектировании помещений и оборудования учитываются все возможные специальные процедуры, требующиеся для деконтаминации или очистки от организмов, которые используются при производстве лекарственного препарата. Где возможно, программа мониторинга состояния производственной среды дополняется методами определения присутствия специфических микроорганизмов, культивирование которых производилось.</w:t>
            </w:r>
          </w:p>
          <w:p>
            <w:pPr>
              <w:spacing w:after="20"/>
              <w:ind w:left="20"/>
              <w:jc w:val="both"/>
            </w:pPr>
            <w:r>
              <w:rPr>
                <w:rFonts w:ascii="Times New Roman"/>
                <w:b w:val="false"/>
                <w:i w:val="false"/>
                <w:color w:val="000000"/>
                <w:sz w:val="20"/>
              </w:rPr>
              <w:t>
   6. При использовании вирусных векторов с ограниченной способностью к репликации принимаются меры по предотвращению попадания вирусов дикого типа, которое может привести к возникновению рекомбинантных векторов, способных к репликации.</w:t>
            </w:r>
          </w:p>
          <w:p>
            <w:pPr>
              <w:spacing w:after="20"/>
              <w:ind w:left="20"/>
              <w:jc w:val="both"/>
            </w:pPr>
            <w:r>
              <w:rPr>
                <w:rFonts w:ascii="Times New Roman"/>
                <w:b w:val="false"/>
                <w:i w:val="false"/>
                <w:color w:val="000000"/>
                <w:sz w:val="20"/>
              </w:rPr>
              <w:t>
   7. Предусматривается план аварийных мероприятий на случай непредвиденного выброса живых микроорганизмов. План включает описание методов и процедур по изоляции микроорганизмов, защите операторов, уборке, по проведению деконтаминации и безопасному возобновлению эксплуатации. Оценивается влияние выброса на лекарственные препараты, находящиеся в непосредственной близости, и на любые другие лекарственные препараты, находящиеся в зонах, подверженных такому выбросу.</w:t>
            </w:r>
          </w:p>
          <w:p>
            <w:pPr>
              <w:spacing w:after="20"/>
              <w:ind w:left="20"/>
              <w:jc w:val="both"/>
            </w:pPr>
            <w:r>
              <w:rPr>
                <w:rFonts w:ascii="Times New Roman"/>
                <w:b w:val="false"/>
                <w:i w:val="false"/>
                <w:color w:val="000000"/>
                <w:sz w:val="20"/>
              </w:rPr>
              <w:t>
   8. Предусматриваются меры для отделения помещений для производства вирусных векторов от других зон. Эффективность мер, используемых для разделения, доказывается. Везде, где это применимо, используются закрытые системы. Предотвращается выброс вирусного материала при отборе образцов, введении добавок и передаче материалов.</w:t>
            </w:r>
          </w:p>
          <w:p>
            <w:pPr>
              <w:spacing w:after="20"/>
              <w:ind w:left="20"/>
              <w:jc w:val="both"/>
            </w:pPr>
            <w:r>
              <w:rPr>
                <w:rFonts w:ascii="Times New Roman"/>
                <w:b w:val="false"/>
                <w:i w:val="false"/>
                <w:color w:val="000000"/>
                <w:sz w:val="20"/>
              </w:rPr>
              <w:t>
   9. Не допускается сопутствующее производство различных векторов генной терапии в одной и той же зоне. Одновременное производство невирусных векторов на одном участке контролируется согласно принципам управления рисками для качества. Показывается эффективность процедур перехода между кампаниями.</w:t>
            </w:r>
          </w:p>
          <w:p>
            <w:pPr>
              <w:spacing w:after="20"/>
              <w:ind w:left="20"/>
              <w:jc w:val="both"/>
            </w:pPr>
            <w:r>
              <w:rPr>
                <w:rFonts w:ascii="Times New Roman"/>
                <w:b w:val="false"/>
                <w:i w:val="false"/>
                <w:color w:val="000000"/>
                <w:sz w:val="20"/>
              </w:rPr>
              <w:t>
   10. Для обеспечения прослеживаемости лекарственного препарата от начальных стадий (плазмиды, целевые гены и регуляторные последовательности, банки клеток, а также запас вирусных или невирусных векторов) и до готового лекарственного препарата в наличии имеется детальное описание производства векторов и генетически модифицированных клеток.</w:t>
            </w:r>
          </w:p>
          <w:p>
            <w:pPr>
              <w:spacing w:after="20"/>
              <w:ind w:left="20"/>
              <w:jc w:val="both"/>
            </w:pPr>
            <w:r>
              <w:rPr>
                <w:rFonts w:ascii="Times New Roman"/>
                <w:b w:val="false"/>
                <w:i w:val="false"/>
                <w:color w:val="000000"/>
                <w:sz w:val="20"/>
              </w:rPr>
              <w:t>
   11. Перевозка лекарственных препаратов, содержащих или состоящих из генетически модифицированных организмов, соответствует требованиям законодательства.</w:t>
            </w:r>
          </w:p>
          <w:p>
            <w:pPr>
              <w:spacing w:after="20"/>
              <w:ind w:left="20"/>
              <w:jc w:val="both"/>
            </w:pPr>
            <w:r>
              <w:rPr>
                <w:rFonts w:ascii="Times New Roman"/>
                <w:b w:val="false"/>
                <w:i w:val="false"/>
                <w:color w:val="000000"/>
                <w:sz w:val="20"/>
              </w:rPr>
              <w:t>
   12. К переносу генов в клетки-реципиенты, который проводится вне организма, предъявляются следующие требования:</w:t>
            </w:r>
          </w:p>
          <w:p>
            <w:pPr>
              <w:spacing w:after="20"/>
              <w:ind w:left="20"/>
              <w:jc w:val="both"/>
            </w:pPr>
            <w:r>
              <w:rPr>
                <w:rFonts w:ascii="Times New Roman"/>
                <w:b w:val="false"/>
                <w:i w:val="false"/>
                <w:color w:val="000000"/>
                <w:sz w:val="20"/>
              </w:rPr>
              <w:t>
   1) такой процесс происходит в помещениях, предназначенных для данных действий и имеющих соответствующий уровень изоляции;</w:t>
            </w:r>
          </w:p>
          <w:p>
            <w:pPr>
              <w:spacing w:after="20"/>
              <w:ind w:left="20"/>
              <w:jc w:val="both"/>
            </w:pPr>
            <w:r>
              <w:rPr>
                <w:rFonts w:ascii="Times New Roman"/>
                <w:b w:val="false"/>
                <w:i w:val="false"/>
                <w:color w:val="000000"/>
                <w:sz w:val="20"/>
              </w:rPr>
              <w:t>
   2) принимаются меры, включая требования, указанные в пункте 10 Части А настоящего Приложения, для уменьшения возможности перекрестной контаминации и перепутывания клеток, полученных от разных пациентов. Предусматривается использование валидированных процедур очистки. Одновременное использование разных вирусных векторов контролируется в соответствии с принципами управления рисками для качества. Не разрешается использование некоторых вирусных векторов для производства генетически модифицированных клеток до доказательства отсутствия в них постороннего вектора, способного к репликации;</w:t>
            </w:r>
          </w:p>
          <w:p>
            <w:pPr>
              <w:spacing w:after="20"/>
              <w:ind w:left="20"/>
              <w:jc w:val="both"/>
            </w:pPr>
            <w:r>
              <w:rPr>
                <w:rFonts w:ascii="Times New Roman"/>
                <w:b w:val="false"/>
                <w:i w:val="false"/>
                <w:color w:val="000000"/>
                <w:sz w:val="20"/>
              </w:rPr>
              <w:t>
   3) требования прослеживаемости соблюдаются. Необходимо четкое определение серии продукции, начиная от клеточного сырья и заканчивая контейнером с готовым лекарственным препаратом;</w:t>
            </w:r>
          </w:p>
          <w:p>
            <w:pPr>
              <w:spacing w:after="20"/>
              <w:ind w:left="20"/>
              <w:jc w:val="both"/>
            </w:pPr>
            <w:r>
              <w:rPr>
                <w:rFonts w:ascii="Times New Roman"/>
                <w:b w:val="false"/>
                <w:i w:val="false"/>
                <w:color w:val="000000"/>
                <w:sz w:val="20"/>
              </w:rPr>
              <w:t>
   4) физико-химические свойства лекарственных препаратов, при производстве которых используются небиологические средства доставки гена, исследуются и документально подтверждаются. </w:t>
            </w:r>
          </w:p>
          <w:p>
            <w:pPr>
              <w:spacing w:after="20"/>
              <w:ind w:left="20"/>
              <w:jc w:val="both"/>
            </w:pPr>
            <w:r>
              <w:rPr>
                <w:rFonts w:ascii="Times New Roman"/>
                <w:b w:val="false"/>
                <w:i w:val="false"/>
                <w:color w:val="000000"/>
                <w:sz w:val="20"/>
              </w:rPr>
              <w:t>
</w:t>
            </w:r>
            <w:r>
              <w:rPr>
                <w:rFonts w:ascii="Times New Roman"/>
                <w:b/>
                <w:i w:val="false"/>
                <w:color w:val="000000"/>
                <w:sz w:val="20"/>
              </w:rPr>
              <w:t>B10. Лекарственные препараты терапии соматическими клетками и лекарственные препараты тканевой инженерии</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Для лекарственных препаратов генетически модифицированных клеток, которые не определены как лекарственные препараты генной терапии, могут применяться некоторые аспекты раздела В9 настоящего Приложения. </w:t>
            </w:r>
          </w:p>
          <w:p>
            <w:pPr>
              <w:spacing w:after="20"/>
              <w:ind w:left="20"/>
              <w:jc w:val="both"/>
            </w:pPr>
            <w:r>
              <w:rPr>
                <w:rFonts w:ascii="Times New Roman"/>
                <w:b w:val="false"/>
                <w:i w:val="false"/>
                <w:color w:val="000000"/>
                <w:sz w:val="20"/>
              </w:rPr>
              <w:t>
   1. Для производства данных лекарственных препаратов по возможности используются разрешенные источники (например, разрешенные лекарственные средства или медицинские изделия с маркировкой СЕ, означающей соответствие Европейским стандартам) дополнительных материалов (в частности, клеточных продуктов, биомолекул, биоматериалов, поддерживающих систем, матриц).</w:t>
            </w:r>
          </w:p>
          <w:p>
            <w:pPr>
              <w:spacing w:after="20"/>
              <w:ind w:left="20"/>
              <w:jc w:val="both"/>
            </w:pPr>
            <w:r>
              <w:rPr>
                <w:rFonts w:ascii="Times New Roman"/>
                <w:b w:val="false"/>
                <w:i w:val="false"/>
                <w:color w:val="000000"/>
                <w:sz w:val="20"/>
              </w:rPr>
              <w:t>
   2. В случаях, когда изделия, включая те, которые производят на заказ, являются составной частью готовой продукции, соблюдаются следующие требования:</w:t>
            </w:r>
          </w:p>
          <w:p>
            <w:pPr>
              <w:spacing w:after="20"/>
              <w:ind w:left="20"/>
              <w:jc w:val="both"/>
            </w:pPr>
            <w:r>
              <w:rPr>
                <w:rFonts w:ascii="Times New Roman"/>
                <w:b w:val="false"/>
                <w:i w:val="false"/>
                <w:color w:val="000000"/>
                <w:sz w:val="20"/>
              </w:rPr>
              <w:t>
   1) в наличии имеется письменное соглашение между производителем лекарственного препарата и производителем медицинского изделия, в котором содержится достаточная информация о медицинском изделии, чтобы избежать изменения его свойств во время производства высокотехнологичного лекарственного средства. Соглашение содержит требование о контроле изменений, предложенных для медицинского изделия;</w:t>
            </w:r>
          </w:p>
          <w:p>
            <w:pPr>
              <w:spacing w:after="20"/>
              <w:ind w:left="20"/>
              <w:jc w:val="both"/>
            </w:pPr>
            <w:r>
              <w:rPr>
                <w:rFonts w:ascii="Times New Roman"/>
                <w:b w:val="false"/>
                <w:i w:val="false"/>
                <w:color w:val="000000"/>
                <w:sz w:val="20"/>
              </w:rPr>
              <w:t>
   2) соглашение предусматривает обмен информацией об отклонениях, имевших место при производстве медицинского изделия.</w:t>
            </w:r>
          </w:p>
          <w:p>
            <w:pPr>
              <w:spacing w:after="20"/>
              <w:ind w:left="20"/>
              <w:jc w:val="both"/>
            </w:pPr>
            <w:r>
              <w:rPr>
                <w:rFonts w:ascii="Times New Roman"/>
                <w:b w:val="false"/>
                <w:i w:val="false"/>
                <w:color w:val="000000"/>
                <w:sz w:val="20"/>
              </w:rPr>
              <w:t>
   3. Вследствие того, что соматические клетки получены или от людей (аутологичные или аллогенные) или от животных (ксеногенные), существует повышенный риск их контаминации побочными агентами. Для изоляции аутологичных материалов, полученных от инфицированных доноров предусмариваются особые мероприятия. Обеспечиваетсяе надежность контрольных и испытательных мероприятий для таких исходных материалов.</w:t>
            </w:r>
          </w:p>
          <w:p>
            <w:pPr>
              <w:spacing w:after="20"/>
              <w:ind w:left="20"/>
              <w:jc w:val="both"/>
            </w:pPr>
            <w:r>
              <w:rPr>
                <w:rFonts w:ascii="Times New Roman"/>
                <w:b w:val="false"/>
                <w:i w:val="false"/>
                <w:color w:val="000000"/>
                <w:sz w:val="20"/>
              </w:rPr>
              <w:t>
   4. Если невозможно провести стерилизацию готового лекарственного препарата при помощи стандартных методов, например фильтрацией, стадии технологического процесса проведятся в асептических условиях.</w:t>
            </w:r>
          </w:p>
          <w:p>
            <w:pPr>
              <w:spacing w:after="20"/>
              <w:ind w:left="20"/>
              <w:jc w:val="both"/>
            </w:pPr>
            <w:r>
              <w:rPr>
                <w:rFonts w:ascii="Times New Roman"/>
                <w:b w:val="false"/>
                <w:i w:val="false"/>
                <w:color w:val="000000"/>
                <w:sz w:val="20"/>
              </w:rPr>
              <w:t>
   5. Должное внимание следует уделять специфическим требованиям для всех стадий криоконсервации, например, скорости изменения температур во время замораживания и размораживания. Тип камеры хранения, способы размещения материалов и процессы извлечения сводит к минимуму риск перекрестной контаминации, обеспечивать качество лекарственных препаратов и способствовать их правильному извлечению. Для обеспечения безопасности работы с лекарственными препаратами, в состав которых входят позитивные серологические маркеры, а также хранения этих лекарственных препаратов используется документально оформленные процедуры.</w:t>
            </w:r>
          </w:p>
          <w:p>
            <w:pPr>
              <w:spacing w:after="20"/>
              <w:ind w:left="20"/>
              <w:jc w:val="both"/>
            </w:pPr>
            <w:r>
              <w:rPr>
                <w:rFonts w:ascii="Times New Roman"/>
                <w:b w:val="false"/>
                <w:i w:val="false"/>
                <w:color w:val="000000"/>
                <w:sz w:val="20"/>
              </w:rPr>
              <w:t>
   6. Проводятся испытания стерильности на предмет отсутствия бактериальной или грибковой контаминации в культурах клеток или банках клеток, не содержащих антибиотики. Учитывается необходимость определения специфических микроорганизмов, требующих специальных условий культивирования.</w:t>
            </w:r>
          </w:p>
          <w:p>
            <w:pPr>
              <w:spacing w:after="20"/>
              <w:ind w:left="20"/>
              <w:jc w:val="both"/>
            </w:pPr>
            <w:r>
              <w:rPr>
                <w:rFonts w:ascii="Times New Roman"/>
                <w:b w:val="false"/>
                <w:i w:val="false"/>
                <w:color w:val="000000"/>
                <w:sz w:val="20"/>
              </w:rPr>
              <w:t>
   7. В случае необходимости проводится программа мониторинга стабильности, включающая наличие контрольных и архивных образцов в количестве, достаточном для проведения дальнейших испытаний. </w:t>
            </w:r>
          </w:p>
          <w:p>
            <w:pPr>
              <w:spacing w:after="20"/>
              <w:ind w:left="20"/>
              <w:jc w:val="both"/>
            </w:pPr>
            <w:r>
              <w:rPr>
                <w:rFonts w:ascii="Times New Roman"/>
                <w:b w:val="false"/>
                <w:i w:val="false"/>
                <w:color w:val="000000"/>
                <w:sz w:val="20"/>
              </w:rPr>
              <w:t>
</w:t>
            </w:r>
            <w:r>
              <w:rPr>
                <w:rFonts w:ascii="Times New Roman"/>
                <w:b/>
                <w:i w:val="false"/>
                <w:color w:val="000000"/>
                <w:sz w:val="20"/>
              </w:rPr>
              <w:t>Словарь терминов</w:t>
            </w:r>
          </w:p>
          <w:p>
            <w:pPr>
              <w:spacing w:after="20"/>
              <w:ind w:left="20"/>
              <w:jc w:val="both"/>
            </w:pPr>
            <w:r>
              <w:rPr>
                <w:rFonts w:ascii="Times New Roman"/>
                <w:b w:val="false"/>
                <w:i w:val="false"/>
                <w:color w:val="000000"/>
                <w:sz w:val="20"/>
              </w:rPr>
              <w:t xml:space="preserve">
   В словарь включены только термины, используемые в данном приложении и требующие расширенного объяснения. В данном словаре приводятся также ссылки на определения, существующие в законодательстве или других источниках. В дополнение к данному словарю используется общий словарь терминов и определений настоящего Стандарта. </w:t>
            </w:r>
          </w:p>
          <w:p>
            <w:pPr>
              <w:spacing w:after="20"/>
              <w:ind w:left="20"/>
              <w:jc w:val="both"/>
            </w:pPr>
            <w:r>
              <w:rPr>
                <w:rFonts w:ascii="Times New Roman"/>
                <w:b w:val="false"/>
                <w:i w:val="false"/>
                <w:color w:val="000000"/>
                <w:sz w:val="20"/>
              </w:rPr>
              <w:t xml:space="preserve">
   Адъювант - химическое или биологическое вещество, усиливающее иммунную реакцию на антиген. </w:t>
            </w:r>
          </w:p>
          <w:p>
            <w:pPr>
              <w:spacing w:after="20"/>
              <w:ind w:left="20"/>
              <w:jc w:val="both"/>
            </w:pPr>
            <w:r>
              <w:rPr>
                <w:rFonts w:ascii="Times New Roman"/>
                <w:b w:val="false"/>
                <w:i w:val="false"/>
                <w:color w:val="000000"/>
                <w:sz w:val="20"/>
              </w:rPr>
              <w:t>
   Активная фармацевтическая субстанция - вещество, которое имеет любое указанное ниже происхождение:</w:t>
            </w:r>
          </w:p>
          <w:p>
            <w:pPr>
              <w:spacing w:after="20"/>
              <w:ind w:left="20"/>
              <w:jc w:val="both"/>
            </w:pPr>
            <w:r>
              <w:rPr>
                <w:rFonts w:ascii="Times New Roman"/>
                <w:b w:val="false"/>
                <w:i w:val="false"/>
                <w:color w:val="000000"/>
                <w:sz w:val="20"/>
              </w:rPr>
              <w:t>
   человеческое;</w:t>
            </w:r>
          </w:p>
          <w:p>
            <w:pPr>
              <w:spacing w:after="20"/>
              <w:ind w:left="20"/>
              <w:jc w:val="both"/>
            </w:pPr>
            <w:r>
              <w:rPr>
                <w:rFonts w:ascii="Times New Roman"/>
                <w:b w:val="false"/>
                <w:i w:val="false"/>
                <w:color w:val="000000"/>
                <w:sz w:val="20"/>
              </w:rPr>
              <w:t>
   животное;</w:t>
            </w:r>
          </w:p>
          <w:p>
            <w:pPr>
              <w:spacing w:after="20"/>
              <w:ind w:left="20"/>
              <w:jc w:val="both"/>
            </w:pPr>
            <w:r>
              <w:rPr>
                <w:rFonts w:ascii="Times New Roman"/>
                <w:b w:val="false"/>
                <w:i w:val="false"/>
                <w:color w:val="000000"/>
                <w:sz w:val="20"/>
              </w:rPr>
              <w:t>
   растительное;</w:t>
            </w:r>
          </w:p>
          <w:p>
            <w:pPr>
              <w:spacing w:after="20"/>
              <w:ind w:left="20"/>
              <w:jc w:val="both"/>
            </w:pPr>
            <w:r>
              <w:rPr>
                <w:rFonts w:ascii="Times New Roman"/>
                <w:b w:val="false"/>
                <w:i w:val="false"/>
                <w:color w:val="000000"/>
                <w:sz w:val="20"/>
              </w:rPr>
              <w:t>
   химическое.</w:t>
            </w:r>
          </w:p>
          <w:p>
            <w:pPr>
              <w:spacing w:after="20"/>
              <w:ind w:left="20"/>
              <w:jc w:val="both"/>
            </w:pPr>
            <w:r>
              <w:rPr>
                <w:rFonts w:ascii="Times New Roman"/>
                <w:b w:val="false"/>
                <w:i w:val="false"/>
                <w:color w:val="000000"/>
                <w:sz w:val="20"/>
              </w:rPr>
              <w:t>
   Аллергены - вещества антигенной или гаптеновой природы, способные сенсибилизировать организм и вызывать аллергию.</w:t>
            </w:r>
          </w:p>
          <w:p>
            <w:pPr>
              <w:spacing w:after="20"/>
              <w:ind w:left="20"/>
              <w:jc w:val="both"/>
            </w:pPr>
            <w:r>
              <w:rPr>
                <w:rFonts w:ascii="Times New Roman"/>
                <w:b w:val="false"/>
                <w:i w:val="false"/>
                <w:color w:val="000000"/>
                <w:sz w:val="20"/>
              </w:rPr>
              <w:t>
   Аллергоиды - химически измененные аллергены с пониженной реактивностью иммуноглобулина Е (IgE).</w:t>
            </w:r>
          </w:p>
          <w:p>
            <w:pPr>
              <w:spacing w:after="20"/>
              <w:ind w:left="20"/>
              <w:jc w:val="both"/>
            </w:pPr>
            <w:r>
              <w:rPr>
                <w:rFonts w:ascii="Times New Roman"/>
                <w:b w:val="false"/>
                <w:i w:val="false"/>
                <w:color w:val="000000"/>
                <w:sz w:val="20"/>
              </w:rPr>
              <w:t>
   Антигены - вещества, способные вызвать специфические иммунные реакции.</w:t>
            </w:r>
          </w:p>
          <w:p>
            <w:pPr>
              <w:spacing w:after="20"/>
              <w:ind w:left="20"/>
              <w:jc w:val="both"/>
            </w:pPr>
            <w:r>
              <w:rPr>
                <w:rFonts w:ascii="Times New Roman"/>
                <w:b w:val="false"/>
                <w:i w:val="false"/>
                <w:color w:val="000000"/>
                <w:sz w:val="20"/>
              </w:rPr>
              <w:t>
   Антитело - белки, произведенные B-лимфоцитами, которые специфически связываются с определенными антигенами. На основе ключевых различий в методах их производства выделяют два главных типа антител:</w:t>
            </w:r>
          </w:p>
          <w:p>
            <w:pPr>
              <w:spacing w:after="20"/>
              <w:ind w:left="20"/>
              <w:jc w:val="both"/>
            </w:pPr>
            <w:r>
              <w:rPr>
                <w:rFonts w:ascii="Times New Roman"/>
                <w:b w:val="false"/>
                <w:i w:val="false"/>
                <w:color w:val="000000"/>
                <w:sz w:val="20"/>
              </w:rPr>
              <w:t>
   Моноклональные антитела - гомогенная популяция антител, способных присоединяться к единственному эпитопу (антигенной детерминанте), полученная из единственного клона лимфоцитов или с помощью технологии рекомбинантной ДНК.</w:t>
            </w:r>
          </w:p>
          <w:p>
            <w:pPr>
              <w:spacing w:after="20"/>
              <w:ind w:left="20"/>
              <w:jc w:val="both"/>
            </w:pPr>
            <w:r>
              <w:rPr>
                <w:rFonts w:ascii="Times New Roman"/>
                <w:b w:val="false"/>
                <w:i w:val="false"/>
                <w:color w:val="000000"/>
                <w:sz w:val="20"/>
              </w:rPr>
              <w:t>
   Поликлональные антитела - антитела, полученные от нескольких клонов лимфоцитов и выработанные человеческим или животным организмом в ответ на введение антигена.</w:t>
            </w:r>
          </w:p>
          <w:p>
            <w:pPr>
              <w:spacing w:after="20"/>
              <w:ind w:left="20"/>
              <w:jc w:val="both"/>
            </w:pPr>
            <w:r>
              <w:rPr>
                <w:rFonts w:ascii="Times New Roman"/>
                <w:b w:val="false"/>
                <w:i w:val="false"/>
                <w:color w:val="000000"/>
                <w:sz w:val="20"/>
              </w:rPr>
              <w:t>
   Банк клеток - совокупность соответствующих контейнеров, хранящихся в определенных условиях, содержимое которых имеет однородный состав. Каждый контейнер содержит аликвоту одного пула клеток.</w:t>
            </w:r>
          </w:p>
          <w:p>
            <w:pPr>
              <w:spacing w:after="20"/>
              <w:ind w:left="20"/>
              <w:jc w:val="both"/>
            </w:pPr>
            <w:r>
              <w:rPr>
                <w:rFonts w:ascii="Times New Roman"/>
                <w:b w:val="false"/>
                <w:i w:val="false"/>
                <w:color w:val="000000"/>
                <w:sz w:val="20"/>
              </w:rPr>
              <w:t>
   Биологическая активная фармацевтическая субстанция - активная фармацевтическая субстанция, которая произведена с использованием биологического источника или экстрагирована из биологического источника, которая характеризуется с использованием физических, химических и биологических испытаний и качество которой определяется этими испытаниями в сочетании с контролем процессов ее производства.</w:t>
            </w:r>
          </w:p>
          <w:p>
            <w:pPr>
              <w:spacing w:after="20"/>
              <w:ind w:left="20"/>
              <w:jc w:val="both"/>
            </w:pPr>
            <w:r>
              <w:rPr>
                <w:rFonts w:ascii="Times New Roman"/>
                <w:b w:val="false"/>
                <w:i w:val="false"/>
                <w:color w:val="000000"/>
                <w:sz w:val="20"/>
              </w:rPr>
              <w:t>
   Биологический лекарственный препарат - лекарственный препарат, активная фармацевтическая субстанция которого является биологической активной фармацевтической субстанцией.</w:t>
            </w:r>
          </w:p>
          <w:p>
            <w:pPr>
              <w:spacing w:after="20"/>
              <w:ind w:left="20"/>
              <w:jc w:val="both"/>
            </w:pPr>
            <w:r>
              <w:rPr>
                <w:rFonts w:ascii="Times New Roman"/>
                <w:b w:val="false"/>
                <w:i w:val="false"/>
                <w:color w:val="000000"/>
                <w:sz w:val="20"/>
              </w:rPr>
              <w:t>
   Бионагрузка - уровень и вид микроорганизмов, то есть неприемлемые или допустимые микроорганизмы, которые содержатся в исходном сырье, питательной среде, биологических активных фармацевтических субстанциях, промежуточных продуктах или готовых лекарственных препаратах.</w:t>
            </w:r>
          </w:p>
          <w:p>
            <w:pPr>
              <w:spacing w:after="20"/>
              <w:ind w:left="20"/>
              <w:jc w:val="both"/>
            </w:pPr>
            <w:r>
              <w:rPr>
                <w:rFonts w:ascii="Times New Roman"/>
                <w:b w:val="false"/>
                <w:i w:val="false"/>
                <w:color w:val="000000"/>
                <w:sz w:val="20"/>
              </w:rPr>
              <w:t>
   Вектор - агент трансмиссии, переносящий генетическую информацию от одной клетки или организма к другой, например плазмиды, липосомы, вирусы.</w:t>
            </w:r>
          </w:p>
          <w:p>
            <w:pPr>
              <w:spacing w:after="20"/>
              <w:ind w:left="20"/>
              <w:jc w:val="both"/>
            </w:pPr>
            <w:r>
              <w:rPr>
                <w:rFonts w:ascii="Times New Roman"/>
                <w:b w:val="false"/>
                <w:i w:val="false"/>
                <w:color w:val="000000"/>
                <w:sz w:val="20"/>
              </w:rPr>
              <w:t>
   Вирусный вектор - вектор, произведенный путем модификации вируса с помощью методов молекулярной биологии для удерживания некоторых, но не всех, материнских генов вируса. При удалении генов, ответственных за способность вируса к репликации, созданный вектор является неспособным к репликации.</w:t>
            </w:r>
          </w:p>
          <w:p>
            <w:pPr>
              <w:spacing w:after="20"/>
              <w:ind w:left="20"/>
              <w:jc w:val="both"/>
            </w:pPr>
            <w:r>
              <w:rPr>
                <w:rFonts w:ascii="Times New Roman"/>
                <w:b w:val="false"/>
                <w:i w:val="false"/>
                <w:color w:val="000000"/>
                <w:sz w:val="20"/>
              </w:rPr>
              <w:t xml:space="preserve">
   Вне живого организма - процесс, при котором процедуры проводятся на тканях или клетках вне живого организма с последующим возвратом тканей или клеток в живой организм. </w:t>
            </w:r>
          </w:p>
          <w:p>
            <w:pPr>
              <w:spacing w:after="20"/>
              <w:ind w:left="20"/>
              <w:jc w:val="both"/>
            </w:pPr>
            <w:r>
              <w:rPr>
                <w:rFonts w:ascii="Times New Roman"/>
                <w:b w:val="false"/>
                <w:i w:val="false"/>
                <w:color w:val="000000"/>
                <w:sz w:val="20"/>
              </w:rPr>
              <w:t xml:space="preserve">
   Внутри живого организма - процедуры, проводимые на живых организмах. </w:t>
            </w:r>
          </w:p>
          <w:p>
            <w:pPr>
              <w:spacing w:after="20"/>
              <w:ind w:left="20"/>
              <w:jc w:val="both"/>
            </w:pPr>
            <w:r>
              <w:rPr>
                <w:rFonts w:ascii="Times New Roman"/>
                <w:b w:val="false"/>
                <w:i w:val="false"/>
                <w:color w:val="000000"/>
                <w:sz w:val="20"/>
              </w:rPr>
              <w:t>
   Гаптен - молекула с низкой молекулярной массой, не являющаяся антигеном по своей природе до момента конъюгации с "молекулой-носителем".</w:t>
            </w:r>
          </w:p>
          <w:p>
            <w:pPr>
              <w:spacing w:after="20"/>
              <w:ind w:left="20"/>
              <w:jc w:val="both"/>
            </w:pPr>
            <w:r>
              <w:rPr>
                <w:rFonts w:ascii="Times New Roman"/>
                <w:b w:val="false"/>
                <w:i w:val="false"/>
                <w:color w:val="000000"/>
                <w:sz w:val="20"/>
              </w:rPr>
              <w:t>
   Ген - последовательность ДНК, кодирующая один или несколько белков.</w:t>
            </w:r>
          </w:p>
          <w:p>
            <w:pPr>
              <w:spacing w:after="20"/>
              <w:ind w:left="20"/>
              <w:jc w:val="both"/>
            </w:pPr>
            <w:r>
              <w:rPr>
                <w:rFonts w:ascii="Times New Roman"/>
                <w:b w:val="false"/>
                <w:i w:val="false"/>
                <w:color w:val="000000"/>
                <w:sz w:val="20"/>
              </w:rPr>
              <w:t>
   Генетически модифицированный организм (далее - ГМО) - любой организм, кроме человека, с измененным генетическим материалом, отличающимся от генетического материала, который получается при естественном спаривании и (или) естественной рекомбинации.</w:t>
            </w:r>
          </w:p>
          <w:p>
            <w:pPr>
              <w:spacing w:after="20"/>
              <w:ind w:left="20"/>
              <w:jc w:val="both"/>
            </w:pPr>
            <w:r>
              <w:rPr>
                <w:rFonts w:ascii="Times New Roman"/>
                <w:b w:val="false"/>
                <w:i w:val="false"/>
                <w:color w:val="000000"/>
                <w:sz w:val="20"/>
              </w:rPr>
              <w:t>
   Гибридома - иммортализованная или "бессмертная" линия клеток, производящая желаемые или моноклональные антитела и обычно получаемая путем искусственного слияния В-лимфоцитов с опухолевыми клетками.</w:t>
            </w:r>
          </w:p>
          <w:p>
            <w:pPr>
              <w:spacing w:after="20"/>
              <w:ind w:left="20"/>
              <w:jc w:val="both"/>
            </w:pPr>
            <w:r>
              <w:rPr>
                <w:rFonts w:ascii="Times New Roman"/>
                <w:b w:val="false"/>
                <w:i w:val="false"/>
                <w:color w:val="000000"/>
                <w:sz w:val="20"/>
              </w:rPr>
              <w:t xml:space="preserve">
   Главный банк клеток - аликвота одного пула клеток, которая была получена из конкретного клеточного клона при определенных условиях, распределена во множество контейнеров и хранится при определенных условиях. </w:t>
            </w:r>
          </w:p>
          <w:p>
            <w:pPr>
              <w:spacing w:after="20"/>
              <w:ind w:left="20"/>
              <w:jc w:val="both"/>
            </w:pPr>
            <w:r>
              <w:rPr>
                <w:rFonts w:ascii="Times New Roman"/>
                <w:b w:val="false"/>
                <w:i w:val="false"/>
                <w:color w:val="000000"/>
                <w:sz w:val="20"/>
              </w:rPr>
              <w:t>
   Главный трансгенный банк - аналогично определению главного банка клеток, но в отношении трансгенных растений или животных.</w:t>
            </w:r>
          </w:p>
          <w:p>
            <w:pPr>
              <w:spacing w:after="20"/>
              <w:ind w:left="20"/>
              <w:jc w:val="both"/>
            </w:pPr>
            <w:r>
              <w:rPr>
                <w:rFonts w:ascii="Times New Roman"/>
                <w:b w:val="false"/>
                <w:i w:val="false"/>
                <w:color w:val="000000"/>
                <w:sz w:val="20"/>
              </w:rPr>
              <w:t>
   Закрытая система - система, в которой активная фармацевтическая субстанция или лекарственный препарат не подвержены непосредственному влиянию производственной среды.</w:t>
            </w:r>
          </w:p>
          <w:p>
            <w:pPr>
              <w:spacing w:after="20"/>
              <w:ind w:left="20"/>
              <w:jc w:val="both"/>
            </w:pPr>
            <w:r>
              <w:rPr>
                <w:rFonts w:ascii="Times New Roman"/>
                <w:b w:val="false"/>
                <w:i w:val="false"/>
                <w:color w:val="000000"/>
                <w:sz w:val="20"/>
              </w:rPr>
              <w:t>
   Зона - определенный набор помещений в пределах одного здания, в которых производится один или несколько лекарственных препаратов и которые имеют отдельную систему воздухоподготовки.</w:t>
            </w:r>
          </w:p>
          <w:p>
            <w:pPr>
              <w:spacing w:after="20"/>
              <w:ind w:left="20"/>
              <w:jc w:val="both"/>
            </w:pPr>
            <w:r>
              <w:rPr>
                <w:rFonts w:ascii="Times New Roman"/>
                <w:b w:val="false"/>
                <w:i w:val="false"/>
                <w:color w:val="000000"/>
                <w:sz w:val="20"/>
              </w:rPr>
              <w:t>
   Зооноз - инфекционные и инвазионные заболевания животных, которые при определенных условиях могут передаваться человеку.</w:t>
            </w:r>
          </w:p>
          <w:p>
            <w:pPr>
              <w:spacing w:after="20"/>
              <w:ind w:left="20"/>
              <w:jc w:val="both"/>
            </w:pPr>
            <w:r>
              <w:rPr>
                <w:rFonts w:ascii="Times New Roman"/>
                <w:b w:val="false"/>
                <w:i w:val="false"/>
                <w:color w:val="000000"/>
                <w:sz w:val="20"/>
              </w:rPr>
              <w:t xml:space="preserve">
   Использование в условиях изоляции - любая деятельность, при которой генетически модифицированные организмы получают, культивируют, хранят, транспортируют, разрушают, уничтожают или используют каким-либо способом и при которой используются специальные меры изоляции для ограничения распространения этих организмов и обеспечения безопасности населения и окружающей среды. </w:t>
            </w:r>
          </w:p>
          <w:p>
            <w:pPr>
              <w:spacing w:after="20"/>
              <w:ind w:left="20"/>
              <w:jc w:val="both"/>
            </w:pPr>
            <w:r>
              <w:rPr>
                <w:rFonts w:ascii="Times New Roman"/>
                <w:b w:val="false"/>
                <w:i w:val="false"/>
                <w:color w:val="000000"/>
                <w:sz w:val="20"/>
              </w:rPr>
              <w:t>
   Исходное сырье - любые субстанции, используемые для производства или экстрагирования активных фармацевтических субстанций, но не являющиеся их источником, такие как реагенты, среды для культивирования, сыворотка телячьих эмбрионов, добавки и буферы для хроматографии и др.</w:t>
            </w:r>
          </w:p>
          <w:p>
            <w:pPr>
              <w:spacing w:after="20"/>
              <w:ind w:left="20"/>
              <w:jc w:val="both"/>
            </w:pPr>
            <w:r>
              <w:rPr>
                <w:rFonts w:ascii="Times New Roman"/>
                <w:b w:val="false"/>
                <w:i w:val="false"/>
                <w:color w:val="000000"/>
                <w:sz w:val="20"/>
              </w:rPr>
              <w:t>
   Исходные материалы - все материалы, из которых активная фармацевтическая субстанция производится или экстрагируется. Для биологических лекарственных препаратов исходные материалы представляют собой любые субстанции биологического происхождения, такие как микроорганизмы, органы и ткани растительного или животного происхождения, клетки или жидкости, включая кровь и плазму человеческого или животного происхождения, а также биотехнологические клеточные субстраты: рекомбинантные и природные, включая первичные клетки.</w:t>
            </w:r>
          </w:p>
          <w:p>
            <w:pPr>
              <w:spacing w:after="20"/>
              <w:ind w:left="20"/>
              <w:jc w:val="both"/>
            </w:pPr>
            <w:r>
              <w:rPr>
                <w:rFonts w:ascii="Times New Roman"/>
                <w:b w:val="false"/>
                <w:i w:val="false"/>
                <w:color w:val="000000"/>
                <w:sz w:val="20"/>
              </w:rPr>
              <w:t>
   Клеточный запас - первичные клетки, размножившиеся до заданного количества клеток, аликвоты которых отбираются и используются в качестве исходного материала для производства ограниченного количества серий лекарственных препаратов на основе клеток.</w:t>
            </w:r>
          </w:p>
          <w:p>
            <w:pPr>
              <w:spacing w:after="20"/>
              <w:ind w:left="20"/>
              <w:jc w:val="both"/>
            </w:pPr>
            <w:r>
              <w:rPr>
                <w:rFonts w:ascii="Times New Roman"/>
                <w:b w:val="false"/>
                <w:i w:val="false"/>
                <w:color w:val="000000"/>
                <w:sz w:val="20"/>
              </w:rPr>
              <w:t>
   Перенос генов - процесс переноса гена в клетки, включающий в себя систему экспрессии, содержащуюся в системе доставки, которая называется вектором. Вектор может быть как вирусного, так и невирусного происхождения. После переноса генов, генетически модифицированные клетки также могут иметь название "трансформированные клетки".</w:t>
            </w:r>
          </w:p>
          <w:p>
            <w:pPr>
              <w:spacing w:after="20"/>
              <w:ind w:left="20"/>
              <w:jc w:val="both"/>
            </w:pPr>
            <w:r>
              <w:rPr>
                <w:rFonts w:ascii="Times New Roman"/>
                <w:b w:val="false"/>
                <w:i w:val="false"/>
                <w:color w:val="000000"/>
                <w:sz w:val="20"/>
              </w:rPr>
              <w:t>
   Питающие клетки - клетки, используемые в комбинированной культуре для поддержания плюрипотентности - способности дифференцироваться в множество специализированных типов клеток - стволовых клеток. Для культуры человеческих эмбриональных стволовых клеток типичные питающие слои состоят из эмбриональных фибробластов мыши или эмбриональных фибробластов человека, в которых специальными методами предотвращено деление.</w:t>
            </w:r>
          </w:p>
          <w:p>
            <w:pPr>
              <w:spacing w:after="20"/>
              <w:ind w:left="20"/>
              <w:jc w:val="both"/>
            </w:pPr>
            <w:r>
              <w:rPr>
                <w:rFonts w:ascii="Times New Roman"/>
                <w:b w:val="false"/>
                <w:i w:val="false"/>
                <w:color w:val="000000"/>
                <w:sz w:val="20"/>
              </w:rPr>
              <w:t>
   Плазмида - часть ДНК, обычно существующая в бактериальной клетке в виде кольцевой структуры, отделенной от клеточной хромосомы; плазмида может быть модифицирована с помощью методов молекулярной биологии, выделена из бактериальной клетки и использована для переноса и встраивания ее ДНК в геном другой клетки.</w:t>
            </w:r>
          </w:p>
          <w:p>
            <w:pPr>
              <w:spacing w:after="20"/>
              <w:ind w:left="20"/>
              <w:jc w:val="both"/>
            </w:pPr>
            <w:r>
              <w:rPr>
                <w:rFonts w:ascii="Times New Roman"/>
                <w:b w:val="false"/>
                <w:i w:val="false"/>
                <w:color w:val="000000"/>
                <w:sz w:val="20"/>
              </w:rPr>
              <w:t xml:space="preserve">
   Поддерживающая система - средство поддержки, средство доставки или матрица, которые обеспечивают структуру или содействуют миграции, связыванию или транспорту клеток и (или) биологически активных молекул. </w:t>
            </w:r>
          </w:p>
          <w:p>
            <w:pPr>
              <w:spacing w:after="20"/>
              <w:ind w:left="20"/>
              <w:jc w:val="both"/>
            </w:pPr>
            <w:r>
              <w:rPr>
                <w:rFonts w:ascii="Times New Roman"/>
                <w:b w:val="false"/>
                <w:i w:val="false"/>
                <w:color w:val="000000"/>
                <w:sz w:val="20"/>
              </w:rPr>
              <w:t>
   Помещение для производства нескольких лекарственных препаратов - помещение для последовательного производства или производства по принципу кампаний различных групп биологических активных фармацевтических субстанций и лекарственных препаратов и в котором комплект используемого оборудования может быть специализированным или неспециализированным для каждого отдельного типа субстанций или лекарственных препаратов.</w:t>
            </w:r>
          </w:p>
          <w:p>
            <w:pPr>
              <w:spacing w:after="20"/>
              <w:ind w:left="20"/>
              <w:jc w:val="both"/>
            </w:pPr>
            <w:r>
              <w:rPr>
                <w:rFonts w:ascii="Times New Roman"/>
                <w:b w:val="false"/>
                <w:i w:val="false"/>
                <w:color w:val="000000"/>
                <w:sz w:val="20"/>
              </w:rPr>
              <w:t>
   Преднамеренный выброс - преднамеренный выпуск в окружающую среду генетически модифицированных организмов, для которых не используются специальные меры изоляции для ограничения распространения этих организмов и обеспечения безопасности населения и окружающей среды.</w:t>
            </w:r>
          </w:p>
          <w:p>
            <w:pPr>
              <w:spacing w:after="20"/>
              <w:ind w:left="20"/>
              <w:jc w:val="both"/>
            </w:pPr>
            <w:r>
              <w:rPr>
                <w:rFonts w:ascii="Times New Roman"/>
                <w:b w:val="false"/>
                <w:i w:val="false"/>
                <w:color w:val="000000"/>
                <w:sz w:val="20"/>
              </w:rPr>
              <w:t>
   Производство по принципу кампаний - последовательное производство ряда серий одного и того же лекарственного препарата в течение определенного периода времени, после которого проводятся строгие контрольные мероприятия перед переключением на производство другого лекарственного препарата. Лекарственные препараты не производятся одновременно, но для их производства используется одно и то же оборудование.</w:t>
            </w:r>
          </w:p>
          <w:p>
            <w:pPr>
              <w:spacing w:after="20"/>
              <w:ind w:left="20"/>
              <w:jc w:val="both"/>
            </w:pPr>
            <w:r>
              <w:rPr>
                <w:rFonts w:ascii="Times New Roman"/>
                <w:b w:val="false"/>
                <w:i w:val="false"/>
                <w:color w:val="000000"/>
                <w:sz w:val="20"/>
              </w:rPr>
              <w:t>
   Процедура ретроспективного анализа - документально оформленная процедура, обеспечивающая отслеживание биологических активных фармацевтических субстанций или лекарственных препаратов несоответствующего качества вследствие использования выбракованных животных или человеческих материалов из-за присутствия в этих материалах контаминирующего(щих) агента(ов) или при выявлении негативных факторов у животных или людей, являющихся источником этих материалов.</w:t>
            </w:r>
          </w:p>
          <w:p>
            <w:pPr>
              <w:spacing w:after="20"/>
              <w:ind w:left="20"/>
              <w:jc w:val="both"/>
            </w:pPr>
            <w:r>
              <w:rPr>
                <w:rFonts w:ascii="Times New Roman"/>
                <w:b w:val="false"/>
                <w:i w:val="false"/>
                <w:color w:val="000000"/>
                <w:sz w:val="20"/>
              </w:rPr>
              <w:t xml:space="preserve">
   Рабочий банк клеток - гомогенный пул микроорганизмов или клеток, полученных из главного банка клеток и однородно распределенных в определенное число контейнеров. Рабочий банк клеток хранится в условиях, обеспечивающих его стабильность и использование в производстве. </w:t>
            </w:r>
          </w:p>
          <w:p>
            <w:pPr>
              <w:spacing w:after="20"/>
              <w:ind w:left="20"/>
              <w:jc w:val="both"/>
            </w:pPr>
            <w:r>
              <w:rPr>
                <w:rFonts w:ascii="Times New Roman"/>
                <w:b w:val="false"/>
                <w:i w:val="false"/>
                <w:color w:val="000000"/>
                <w:sz w:val="20"/>
              </w:rPr>
              <w:t xml:space="preserve">
   Рабочий вирусный посевной материал - см. приведенное выше определение, но относительно вирусов. </w:t>
            </w:r>
          </w:p>
          <w:p>
            <w:pPr>
              <w:spacing w:after="20"/>
              <w:ind w:left="20"/>
              <w:jc w:val="both"/>
            </w:pPr>
            <w:r>
              <w:rPr>
                <w:rFonts w:ascii="Times New Roman"/>
                <w:b w:val="false"/>
                <w:i w:val="false"/>
                <w:color w:val="000000"/>
                <w:sz w:val="20"/>
              </w:rPr>
              <w:t xml:space="preserve">
   Свободные от специфических патогенов - животные материалы, использующиеся для производства или контроля качества биологических лекарственных препаратов, полученные из групп животных, свободных от определенных патогенов. </w:t>
            </w:r>
          </w:p>
          <w:p>
            <w:pPr>
              <w:spacing w:after="20"/>
              <w:ind w:left="20"/>
              <w:jc w:val="both"/>
            </w:pPr>
            <w:r>
              <w:rPr>
                <w:rFonts w:ascii="Times New Roman"/>
                <w:b w:val="false"/>
                <w:i w:val="false"/>
                <w:color w:val="000000"/>
                <w:sz w:val="20"/>
              </w:rPr>
              <w:t>
   Соматические клетки - все клетки тела человека или животного, кроме репродуктивных клеток. Эти клетки могут быть аутологичными - от того же пациента, аллогенными - от другого человека или ксеногенными - от животного, соматическими живыми клетками, манипуляции с которыми или изменение которых проводились в условиях вне живого организма с последующим введением в организм человека для достижения терапевтического, диагностического или профилактического действия.</w:t>
            </w:r>
          </w:p>
          <w:p>
            <w:pPr>
              <w:spacing w:after="20"/>
              <w:ind w:left="20"/>
              <w:jc w:val="both"/>
            </w:pPr>
            <w:r>
              <w:rPr>
                <w:rFonts w:ascii="Times New Roman"/>
                <w:b w:val="false"/>
                <w:i w:val="false"/>
                <w:color w:val="000000"/>
                <w:sz w:val="20"/>
              </w:rPr>
              <w:t xml:space="preserve">
   Трансгенный - организм, содержащий в своей обычной генетической структуре чужеродный ген для экспрессии биологических фармацевтических материалов. </w:t>
            </w:r>
          </w:p>
          <w:p>
            <w:pPr>
              <w:spacing w:after="20"/>
              <w:ind w:left="20"/>
              <w:jc w:val="both"/>
            </w:pPr>
            <w:r>
              <w:rPr>
                <w:rFonts w:ascii="Times New Roman"/>
                <w:b w:val="false"/>
                <w:i w:val="false"/>
                <w:color w:val="000000"/>
                <w:sz w:val="20"/>
              </w:rPr>
              <w:t>
   Уровень биологической безопасности - условия изоляции, требующиеся для безопасной работы с микроорганизмами разных уровней патогенности, начиная от 4-й группы патогенности - наименьший риск, маловероятно приводящий к заболеванию человека и до 1-й группы патогенности - наивысший риск, вызывающий тяжелые легко распространяемые заболевания.</w:t>
            </w:r>
          </w:p>
          <w:p>
            <w:pPr>
              <w:spacing w:after="20"/>
              <w:ind w:left="20"/>
              <w:jc w:val="both"/>
            </w:pPr>
            <w:r>
              <w:rPr>
                <w:rFonts w:ascii="Times New Roman"/>
                <w:b w:val="false"/>
                <w:i w:val="false"/>
                <w:color w:val="000000"/>
                <w:sz w:val="20"/>
              </w:rPr>
              <w:t>
   Чистая культура или аксеничная культура - культура, содержащая одинаковые микроорганизмы и не контаминированная любыми другими организмами.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ПРОИЗВОДСТВО РАДИОФАРМАЦЕВТИЧЕСКИХ ЛЕКАРСТВЕННЫХ СРЕДСТВ</w:t>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rPr>
                <w:rFonts w:ascii="Times New Roman"/>
                <w:b/>
                <w:i w:val="false"/>
                <w:color w:val="000000"/>
                <w:sz w:val="20"/>
              </w:rPr>
              <w:t>Принцип</w:t>
            </w:r>
            <w:r>
              <w:rPr>
                <w:rFonts w:ascii="Times New Roman"/>
                <w:b w:val="false"/>
                <w:i w:val="false"/>
                <w:color w:val="000000"/>
                <w:sz w:val="20"/>
              </w:rPr>
              <w:t> </w:t>
            </w:r>
          </w:p>
          <w:p>
            <w:pPr>
              <w:spacing w:after="20"/>
              <w:ind w:left="20"/>
              <w:jc w:val="both"/>
            </w:pPr>
            <w:r>
              <w:rPr>
                <w:rFonts w:ascii="Times New Roman"/>
                <w:b w:val="false"/>
                <w:i w:val="false"/>
                <w:color w:val="000000"/>
                <w:sz w:val="20"/>
              </w:rPr>
              <w:t>
   Производство радиофармацевтических лекарственных средств организовывается в соответствии с принципами, приведенными в частях I и II настоящего Стандарта. Данное Приложение устанавливает правила, специфические для производства радиофармацевтических лекарственных средств.</w:t>
            </w:r>
          </w:p>
          <w:p>
            <w:pPr>
              <w:spacing w:after="20"/>
              <w:ind w:left="20"/>
              <w:jc w:val="both"/>
            </w:pPr>
            <w:r>
              <w:rPr>
                <w:rFonts w:ascii="Times New Roman"/>
                <w:b w:val="false"/>
                <w:i w:val="false"/>
                <w:color w:val="000000"/>
                <w:sz w:val="20"/>
              </w:rPr>
              <w:t>
   Методы, отличающиеся от приведенных в данном Приложении, но позволяющие выполнять требования по обеспечению качества продукции, используются после валидации обеспечения уровня качества, по крайней мере, эквивалентного требованиям данного Приложения.</w:t>
            </w:r>
          </w:p>
          <w:p>
            <w:pPr>
              <w:spacing w:after="20"/>
              <w:ind w:left="20"/>
              <w:jc w:val="both"/>
            </w:pPr>
            <w:r>
              <w:rPr>
                <w:rFonts w:ascii="Times New Roman"/>
                <w:b w:val="false"/>
                <w:i w:val="false"/>
                <w:color w:val="000000"/>
                <w:sz w:val="20"/>
              </w:rPr>
              <w:t>
   </w:t>
            </w:r>
            <w:r>
              <w:rPr>
                <w:rFonts w:ascii="Times New Roman"/>
                <w:b/>
                <w:i w:val="false"/>
                <w:color w:val="000000"/>
                <w:sz w:val="20"/>
              </w:rPr>
              <w:t>Введение</w:t>
            </w:r>
            <w:r>
              <w:rPr>
                <w:rFonts w:ascii="Times New Roman"/>
                <w:b w:val="false"/>
                <w:i w:val="false"/>
                <w:color w:val="000000"/>
                <w:sz w:val="20"/>
              </w:rPr>
              <w:t> </w:t>
            </w:r>
          </w:p>
          <w:p>
            <w:pPr>
              <w:spacing w:after="20"/>
              <w:ind w:left="20"/>
              <w:jc w:val="both"/>
            </w:pPr>
            <w:r>
              <w:rPr>
                <w:rFonts w:ascii="Times New Roman"/>
                <w:b w:val="false"/>
                <w:i w:val="false"/>
                <w:color w:val="000000"/>
                <w:sz w:val="20"/>
              </w:rPr>
              <w:t>
   1. Производство радиофармацевтических лекарственных средств и обращение с ними представляет потенциальную опасность. Уровень рисков зависит, в частности, от типа ионизирующего излучения, энергии излучения и периода полураспада радионуклидов. Особое внимание уделяется предотвращению перекрестной контаминации, хранению остатков радиоактивных материалов и удалению отходов.</w:t>
            </w:r>
          </w:p>
          <w:p>
            <w:pPr>
              <w:spacing w:after="20"/>
              <w:ind w:left="20"/>
              <w:jc w:val="both"/>
            </w:pPr>
            <w:r>
              <w:rPr>
                <w:rFonts w:ascii="Times New Roman"/>
                <w:b w:val="false"/>
                <w:i w:val="false"/>
                <w:color w:val="000000"/>
                <w:sz w:val="20"/>
              </w:rPr>
              <w:t>
   2. Из-за того, что некоторые радионуклиды имеют короткий срок хранения, допускается выпускать в обращение содержащие их радиофармацевтические лекарственные средства до завершения испытаний контроля качества. В этом случае в специальной процедуре четко и подробно определяется порядок выдачи разрешения на выпуск, включая ответственность персонала и непрерывную оценку эффективности системы обеспечения качества.</w:t>
            </w:r>
          </w:p>
          <w:p>
            <w:pPr>
              <w:spacing w:after="20"/>
              <w:ind w:left="20"/>
              <w:jc w:val="both"/>
            </w:pPr>
            <w:r>
              <w:rPr>
                <w:rFonts w:ascii="Times New Roman"/>
                <w:b w:val="false"/>
                <w:i w:val="false"/>
                <w:color w:val="000000"/>
                <w:sz w:val="20"/>
              </w:rPr>
              <w:t>
   3. Областью применения данного Приложения является деятельность промышленных производств, ядерных центров, институтов по производству и контролю качества следующих типов продукции:</w:t>
            </w:r>
          </w:p>
          <w:p>
            <w:pPr>
              <w:spacing w:after="20"/>
              <w:ind w:left="20"/>
              <w:jc w:val="both"/>
            </w:pPr>
            <w:r>
              <w:rPr>
                <w:rFonts w:ascii="Times New Roman"/>
                <w:b w:val="false"/>
                <w:i w:val="false"/>
                <w:color w:val="000000"/>
                <w:sz w:val="20"/>
              </w:rPr>
              <w:t>
   радиофармацевтических лекарственных средств;</w:t>
            </w:r>
          </w:p>
          <w:p>
            <w:pPr>
              <w:spacing w:after="20"/>
              <w:ind w:left="20"/>
              <w:jc w:val="both"/>
            </w:pPr>
            <w:r>
              <w:rPr>
                <w:rFonts w:ascii="Times New Roman"/>
                <w:b w:val="false"/>
                <w:i w:val="false"/>
                <w:color w:val="000000"/>
                <w:sz w:val="20"/>
              </w:rPr>
              <w:t>
   радиофармацевтических лекарственных средств для позитронно-эмиссионной томографии (далее – ПЭТ);</w:t>
            </w:r>
          </w:p>
          <w:p>
            <w:pPr>
              <w:spacing w:after="20"/>
              <w:ind w:left="20"/>
              <w:jc w:val="both"/>
            </w:pPr>
            <w:r>
              <w:rPr>
                <w:rFonts w:ascii="Times New Roman"/>
                <w:b w:val="false"/>
                <w:i w:val="false"/>
                <w:color w:val="000000"/>
                <w:sz w:val="20"/>
              </w:rPr>
              <w:t>
   радиоактивных предшественников для производства радиофармацевтических лекарственных препаратов;</w:t>
            </w:r>
          </w:p>
          <w:p>
            <w:pPr>
              <w:spacing w:after="20"/>
              <w:ind w:left="20"/>
              <w:jc w:val="both"/>
            </w:pPr>
            <w:r>
              <w:rPr>
                <w:rFonts w:ascii="Times New Roman"/>
                <w:b w:val="false"/>
                <w:i w:val="false"/>
                <w:color w:val="000000"/>
                <w:sz w:val="20"/>
              </w:rPr>
              <w:t>
   радионуклидных генераторов.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182"/>
              <w:gridCol w:w="1062"/>
              <w:gridCol w:w="1062"/>
              <w:gridCol w:w="2396"/>
              <w:gridCol w:w="2397"/>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производства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Стандарт</w:t>
                  </w:r>
                </w:p>
                <w:p>
                  <w:pPr>
                    <w:spacing w:after="20"/>
                    <w:ind w:left="20"/>
                    <w:jc w:val="both"/>
                  </w:pPr>
                  <w:r>
                    <w:rPr>
                      <w:rFonts w:ascii="Times New Roman"/>
                      <w:b w:val="false"/>
                      <w:i w:val="false"/>
                      <w:color w:val="000000"/>
                      <w:sz w:val="20"/>
                    </w:rPr>
                    <w:t>
не распро</w:t>
                  </w:r>
                </w:p>
                <w:p>
                  <w:pPr>
                    <w:spacing w:after="20"/>
                    <w:ind w:left="20"/>
                    <w:jc w:val="both"/>
                  </w:pPr>
                  <w:r>
                    <w:rPr>
                      <w:rFonts w:ascii="Times New Roman"/>
                      <w:b w:val="false"/>
                      <w:i w:val="false"/>
                      <w:color w:val="000000"/>
                      <w:sz w:val="20"/>
                    </w:rPr>
                    <w:t xml:space="preserve">
страняется </w:t>
                  </w:r>
                </w:p>
                <w:p>
                  <w:pPr>
                    <w:spacing w:after="20"/>
                    <w:ind w:left="20"/>
                    <w:jc w:val="both"/>
                  </w:pPr>
                  <w:r>
                    <w:rPr>
                      <w:rFonts w:ascii="Times New Roman"/>
                      <w:b w:val="false"/>
                      <w:i w:val="false"/>
                      <w:color w:val="000000"/>
                      <w:sz w:val="20"/>
                    </w:rPr>
                    <w:t>
&lt;*&gt;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выполнять требования частей II и I настоящего Стандарта, включая соответствующие приложения</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Радиофармацевтические лекарственные средства</w:t>
                  </w:r>
                </w:p>
                <w:p>
                  <w:pPr>
                    <w:spacing w:after="20"/>
                    <w:ind w:left="20"/>
                    <w:jc w:val="both"/>
                  </w:pPr>
                  <w:r>
                    <w:rPr>
                      <w:rFonts w:ascii="Times New Roman"/>
                      <w:b w:val="false"/>
                      <w:i w:val="false"/>
                      <w:color w:val="000000"/>
                      <w:sz w:val="20"/>
                    </w:rPr>
                    <w:t xml:space="preserve">
Радиофармацевтические лекарственные средства для ПЭТ </w:t>
                  </w:r>
                </w:p>
                <w:p>
                  <w:pPr>
                    <w:spacing w:after="20"/>
                    <w:ind w:left="20"/>
                    <w:jc w:val="both"/>
                  </w:pPr>
                  <w:r>
                    <w:rPr>
                      <w:rFonts w:ascii="Times New Roman"/>
                      <w:b w:val="false"/>
                      <w:i w:val="false"/>
                      <w:color w:val="000000"/>
                      <w:sz w:val="20"/>
                    </w:rPr>
                    <w:t xml:space="preserve">
Радиоактивные </w:t>
                  </w:r>
                </w:p>
                <w:p>
                  <w:pPr>
                    <w:spacing w:after="20"/>
                    <w:ind w:left="20"/>
                    <w:jc w:val="both"/>
                  </w:pPr>
                  <w:r>
                    <w:rPr>
                      <w:rFonts w:ascii="Times New Roman"/>
                      <w:b w:val="false"/>
                      <w:i w:val="false"/>
                      <w:color w:val="000000"/>
                      <w:sz w:val="20"/>
                    </w:rPr>
                    <w:t>
предшественники</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w:t>
                  </w:r>
                </w:p>
                <w:p>
                  <w:pPr>
                    <w:spacing w:after="20"/>
                    <w:ind w:left="20"/>
                    <w:jc w:val="both"/>
                  </w:pPr>
                  <w:r>
                    <w:rPr>
                      <w:rFonts w:ascii="Times New Roman"/>
                      <w:b w:val="false"/>
                      <w:i w:val="false"/>
                      <w:color w:val="000000"/>
                      <w:sz w:val="20"/>
                    </w:rPr>
                    <w:t>
реакторов и</w:t>
                  </w:r>
                </w:p>
                <w:p>
                  <w:pPr>
                    <w:spacing w:after="20"/>
                    <w:ind w:left="20"/>
                    <w:jc w:val="both"/>
                  </w:pPr>
                  <w:r>
                    <w:rPr>
                      <w:rFonts w:ascii="Times New Roman"/>
                      <w:b w:val="false"/>
                      <w:i w:val="false"/>
                      <w:color w:val="000000"/>
                      <w:sz w:val="20"/>
                    </w:rPr>
                    <w:t>
циклотронов</w:t>
                  </w:r>
                  <w:r>
                    <w:rPr>
                      <w:rFonts w:ascii="Times New Roman"/>
                      <w:b w:val="false"/>
                      <w:i w:val="false"/>
                      <w:color w:val="000000"/>
                      <w:vertAlign w:val="superscript"/>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w:t>
                  </w:r>
                </w:p>
                <w:p>
                  <w:pPr>
                    <w:spacing w:after="20"/>
                    <w:ind w:left="20"/>
                    <w:jc w:val="both"/>
                  </w:pPr>
                  <w:r>
                    <w:rPr>
                      <w:rFonts w:ascii="Times New Roman"/>
                      <w:b w:val="false"/>
                      <w:i w:val="false"/>
                      <w:color w:val="000000"/>
                      <w:sz w:val="20"/>
                    </w:rPr>
                    <w:t xml:space="preserve">
кий </w:t>
                  </w:r>
                </w:p>
                <w:p>
                  <w:pPr>
                    <w:spacing w:after="20"/>
                    <w:ind w:left="20"/>
                    <w:jc w:val="both"/>
                  </w:pPr>
                  <w:r>
                    <w:rPr>
                      <w:rFonts w:ascii="Times New Roman"/>
                      <w:b w:val="false"/>
                      <w:i w:val="false"/>
                      <w:color w:val="000000"/>
                      <w:sz w:val="20"/>
                    </w:rPr>
                    <w:t>
синтез</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Стадии </w:t>
                  </w:r>
                </w:p>
                <w:p>
                  <w:pPr>
                    <w:spacing w:after="20"/>
                    <w:ind w:left="20"/>
                    <w:jc w:val="both"/>
                  </w:pPr>
                  <w:r>
                    <w:rPr>
                      <w:rFonts w:ascii="Times New Roman"/>
                      <w:b w:val="false"/>
                      <w:i w:val="false"/>
                      <w:color w:val="000000"/>
                      <w:sz w:val="20"/>
                    </w:rPr>
                    <w:t>
очистки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приготовление, дозирование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Асептическое производство</w:t>
                  </w:r>
                </w:p>
                <w:p>
                  <w:pPr>
                    <w:spacing w:after="20"/>
                    <w:ind w:left="20"/>
                    <w:jc w:val="both"/>
                  </w:pPr>
                  <w:r>
                    <w:rPr>
                      <w:rFonts w:ascii="Times New Roman"/>
                      <w:b w:val="false"/>
                      <w:i w:val="false"/>
                      <w:color w:val="000000"/>
                      <w:sz w:val="20"/>
                    </w:rPr>
                    <w:t>
или финишная стерилизация</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Радионуклидные </w:t>
                  </w:r>
                </w:p>
                <w:p>
                  <w:pPr>
                    <w:spacing w:after="20"/>
                    <w:ind w:left="20"/>
                    <w:jc w:val="both"/>
                  </w:pPr>
                  <w:r>
                    <w:rPr>
                      <w:rFonts w:ascii="Times New Roman"/>
                      <w:b w:val="false"/>
                      <w:i w:val="false"/>
                      <w:color w:val="000000"/>
                      <w:sz w:val="20"/>
                    </w:rPr>
                    <w:t>
генераторы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w:t>
                  </w:r>
                </w:p>
                <w:p>
                  <w:pPr>
                    <w:spacing w:after="20"/>
                    <w:ind w:left="20"/>
                    <w:jc w:val="both"/>
                  </w:pPr>
                  <w:r>
                    <w:rPr>
                      <w:rFonts w:ascii="Times New Roman"/>
                      <w:b w:val="false"/>
                      <w:i w:val="false"/>
                      <w:color w:val="000000"/>
                      <w:sz w:val="20"/>
                    </w:rPr>
                    <w:t>
реакторов и</w:t>
                  </w:r>
                </w:p>
                <w:p>
                  <w:pPr>
                    <w:spacing w:after="20"/>
                    <w:ind w:left="20"/>
                    <w:jc w:val="both"/>
                  </w:pPr>
                  <w:r>
                    <w:rPr>
                      <w:rFonts w:ascii="Times New Roman"/>
                      <w:b w:val="false"/>
                      <w:i w:val="false"/>
                      <w:color w:val="000000"/>
                      <w:sz w:val="20"/>
                    </w:rPr>
                    <w:t>
циклотронов</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сборка колонки, генератора, зарядка генератора и другие стадии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Мишень и система передачи от циклотрона к установке синтеза могут рассматриваться как первая стадия производства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Продукция, полученная в результате радиохимического выделения радионуклида из облученной радиоактивной мишени;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Продукция, полученная в результате радиохимического выделения материнского радионуклида из облученной радиоактивной мишени.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Производитель готового радиофармацевтического лекарственного средства имеет описание технологического процесса производства активной фармацевтической субстанции, готового радиофармацевтического лекарственного средства и указывает, какие требования частей I или II настоящего Стандарта распространяются на различные технологические операции или стадии.</w:t>
            </w:r>
          </w:p>
          <w:p>
            <w:pPr>
              <w:spacing w:after="20"/>
              <w:ind w:left="20"/>
              <w:jc w:val="both"/>
            </w:pPr>
            <w:r>
              <w:rPr>
                <w:rFonts w:ascii="Times New Roman"/>
                <w:b w:val="false"/>
                <w:i w:val="false"/>
                <w:color w:val="000000"/>
                <w:sz w:val="20"/>
              </w:rPr>
              <w:t>
   5. Производство радиофармацевтических лекарственных средств выполняется в соответствии с требованиями норм радиационной безопасности.</w:t>
            </w:r>
          </w:p>
          <w:p>
            <w:pPr>
              <w:spacing w:after="20"/>
              <w:ind w:left="20"/>
              <w:jc w:val="both"/>
            </w:pPr>
            <w:r>
              <w:rPr>
                <w:rFonts w:ascii="Times New Roman"/>
                <w:b w:val="false"/>
                <w:i w:val="false"/>
                <w:color w:val="000000"/>
                <w:sz w:val="20"/>
              </w:rPr>
              <w:t>
   6. Производство радиофармацевтических лекарственных средств, предназначенных для парентерального введения, выполняется в соответствии с требованиями, предъявляемыми к стерильности таких лекарственных средств, с соблюдением в соответствующих случаях асептических условий производства в соответствии с Приложением I к настоящему Стандарту.</w:t>
            </w:r>
          </w:p>
          <w:p>
            <w:pPr>
              <w:spacing w:after="20"/>
              <w:ind w:left="20"/>
              <w:jc w:val="both"/>
            </w:pPr>
            <w:r>
              <w:rPr>
                <w:rFonts w:ascii="Times New Roman"/>
                <w:b w:val="false"/>
                <w:i w:val="false"/>
                <w:color w:val="000000"/>
                <w:sz w:val="20"/>
              </w:rPr>
              <w:t>
   7. Спецификации и методы контроля качества радиофармацевтических лекарственных средств устанавливаются Государственной Фармакопеей Республики Казахстан или в регистрационных досье на эти лекарственные средства. </w:t>
            </w:r>
          </w:p>
          <w:p>
            <w:pPr>
              <w:spacing w:after="20"/>
              <w:ind w:left="20"/>
              <w:jc w:val="both"/>
            </w:pPr>
            <w:r>
              <w:rPr>
                <w:rFonts w:ascii="Times New Roman"/>
                <w:b w:val="false"/>
                <w:i w:val="false"/>
                <w:color w:val="000000"/>
                <w:sz w:val="20"/>
              </w:rPr>
              <w:t>
   </w:t>
            </w:r>
            <w:r>
              <w:rPr>
                <w:rFonts w:ascii="Times New Roman"/>
                <w:b/>
                <w:i w:val="false"/>
                <w:color w:val="000000"/>
                <w:sz w:val="20"/>
              </w:rPr>
              <w:t>Клинические исследования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8. На производство радиофармацевтических лекарственных средств, предназначенных для клинических исследований, распространяются также требования Приложения 13 к настоящему Стандарту. </w:t>
            </w:r>
          </w:p>
          <w:p>
            <w:pPr>
              <w:spacing w:after="20"/>
              <w:ind w:left="20"/>
              <w:jc w:val="both"/>
            </w:pPr>
            <w:r>
              <w:rPr>
                <w:rFonts w:ascii="Times New Roman"/>
                <w:b w:val="false"/>
                <w:i w:val="false"/>
                <w:color w:val="000000"/>
                <w:sz w:val="20"/>
              </w:rPr>
              <w:t>
   </w:t>
            </w:r>
            <w:r>
              <w:rPr>
                <w:rFonts w:ascii="Times New Roman"/>
                <w:b/>
                <w:i w:val="false"/>
                <w:color w:val="000000"/>
                <w:sz w:val="20"/>
              </w:rPr>
              <w:t>Обеспечение качества</w:t>
            </w:r>
            <w:r>
              <w:rPr>
                <w:rFonts w:ascii="Times New Roman"/>
                <w:b w:val="false"/>
                <w:i w:val="false"/>
                <w:color w:val="000000"/>
                <w:sz w:val="20"/>
              </w:rPr>
              <w:t> </w:t>
            </w:r>
          </w:p>
          <w:p>
            <w:pPr>
              <w:spacing w:after="20"/>
              <w:ind w:left="20"/>
              <w:jc w:val="both"/>
            </w:pPr>
            <w:r>
              <w:rPr>
                <w:rFonts w:ascii="Times New Roman"/>
                <w:b w:val="false"/>
                <w:i w:val="false"/>
                <w:color w:val="000000"/>
                <w:sz w:val="20"/>
              </w:rPr>
              <w:t>
   9. Обеспечение качества при производстве радиофармацевтических лекарственных средств имеет особое значение в виду их специфических особенностей, малых объемов серий и в некоторых случаях необходимости их медицинского применения до завершения контроля качества.</w:t>
            </w:r>
          </w:p>
          <w:p>
            <w:pPr>
              <w:spacing w:after="20"/>
              <w:ind w:left="20"/>
              <w:jc w:val="both"/>
            </w:pPr>
            <w:r>
              <w:rPr>
                <w:rFonts w:ascii="Times New Roman"/>
                <w:b w:val="false"/>
                <w:i w:val="false"/>
                <w:color w:val="000000"/>
                <w:sz w:val="20"/>
              </w:rPr>
              <w:t>
   10. Защита продукции от контаминации и перекрестной контаминации обеспечивается так же, как и при производстве любых лекарственных средств. Но в данном случае предъявляется дополнительное требование по защите производственной среды и персонала от ионизирующего излучения. Это означает, что система обеспечения качества приобретает исключительно важное значение.</w:t>
            </w:r>
          </w:p>
          <w:p>
            <w:pPr>
              <w:spacing w:after="20"/>
              <w:ind w:left="20"/>
              <w:jc w:val="both"/>
            </w:pPr>
            <w:r>
              <w:rPr>
                <w:rFonts w:ascii="Times New Roman"/>
                <w:b w:val="false"/>
                <w:i w:val="false"/>
                <w:color w:val="000000"/>
                <w:sz w:val="20"/>
              </w:rPr>
              <w:t>
   11. Очень важным является тщательная регистрация данных мониторинга помещений и процессов. Оценка этих данных является частью процесса выпуска серии в обращение.</w:t>
            </w:r>
          </w:p>
          <w:p>
            <w:pPr>
              <w:spacing w:after="20"/>
              <w:ind w:left="20"/>
              <w:jc w:val="both"/>
            </w:pPr>
            <w:r>
              <w:rPr>
                <w:rFonts w:ascii="Times New Roman"/>
                <w:b w:val="false"/>
                <w:i w:val="false"/>
                <w:color w:val="000000"/>
                <w:sz w:val="20"/>
              </w:rPr>
              <w:t>
   12. При производстве радиофармацевтических лекарственных средств следует в необходимом объеме проводить квалификацию и валидацию. Для определения объема работ по квалификации и валидации применяется подход, основанный на управлении рисками, с особым вниманием к комбинации требований настоящего Стандарта и радиационной безопасности. </w:t>
            </w:r>
          </w:p>
          <w:p>
            <w:pPr>
              <w:spacing w:after="20"/>
              <w:ind w:left="20"/>
              <w:jc w:val="both"/>
            </w:pPr>
            <w:r>
              <w:rPr>
                <w:rFonts w:ascii="Times New Roman"/>
                <w:b w:val="false"/>
                <w:i w:val="false"/>
                <w:color w:val="000000"/>
                <w:sz w:val="20"/>
              </w:rPr>
              <w:t>
   </w:t>
            </w:r>
            <w:r>
              <w:rPr>
                <w:rFonts w:ascii="Times New Roman"/>
                <w:b/>
                <w:i w:val="false"/>
                <w:color w:val="000000"/>
                <w:sz w:val="20"/>
              </w:rPr>
              <w:t>Персонал</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Все технологические операции выполняются персоналом, имеющим специальную подготовку по радиационной безопасности. Персонал, занятый в производстве, контроле качества и выпуске радиофармацевтических лекарственных средств, проходит соответствующее обучение, связанное с особенностями системы обеспечения качества радиофармацевтических лекарственных средств. Уполномоченное лицо несет полную ответственность за выпуск радиофармацевтических лекарственных средств. </w:t>
            </w:r>
          </w:p>
          <w:p>
            <w:pPr>
              <w:spacing w:after="20"/>
              <w:ind w:left="20"/>
              <w:jc w:val="both"/>
            </w:pPr>
            <w:r>
              <w:rPr>
                <w:rFonts w:ascii="Times New Roman"/>
                <w:b w:val="false"/>
                <w:i w:val="false"/>
                <w:color w:val="000000"/>
                <w:sz w:val="20"/>
              </w:rPr>
              <w:t xml:space="preserve">
   14. Персонал, работающий в зонах производства радиофармацевтических лекарственных средств (включая занятый уборкой и техническим обслуживанием), проходит дополнительное обучение, связанное со спецификой процессов и продукции. </w:t>
            </w:r>
          </w:p>
          <w:p>
            <w:pPr>
              <w:spacing w:after="20"/>
              <w:ind w:left="20"/>
              <w:jc w:val="both"/>
            </w:pPr>
            <w:r>
              <w:rPr>
                <w:rFonts w:ascii="Times New Roman"/>
                <w:b w:val="false"/>
                <w:i w:val="false"/>
                <w:color w:val="000000"/>
                <w:sz w:val="20"/>
              </w:rPr>
              <w:t>
   15. Если производственные помещения и оборудование используются также для проведения исследований, то исследовательский персонал проходит обучение настоящему Стандарту. Служба обеспечения качества рассматривает и дает разрешение на проведение работ, связанных с исследованиями, для того чтобы исключить их опасное влияние на производство. </w:t>
            </w:r>
          </w:p>
          <w:p>
            <w:pPr>
              <w:spacing w:after="20"/>
              <w:ind w:left="20"/>
              <w:jc w:val="both"/>
            </w:pPr>
            <w:r>
              <w:rPr>
                <w:rFonts w:ascii="Times New Roman"/>
                <w:b w:val="false"/>
                <w:i w:val="false"/>
                <w:color w:val="000000"/>
                <w:sz w:val="20"/>
              </w:rPr>
              <w:t>
   </w:t>
            </w:r>
            <w:r>
              <w:rPr>
                <w:rFonts w:ascii="Times New Roman"/>
                <w:b/>
                <w:i w:val="false"/>
                <w:color w:val="000000"/>
                <w:sz w:val="20"/>
              </w:rPr>
              <w:t>Помещения и оборудование</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Общие положения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16. Производство радиофармацевтических лекарственных средств проводится в контролируемых зонах, в которых выполняются требования к производственной среде и радиационной безопасности. Все технологические операции выполняются в помещениях и на оборудовании, специально предназначенных для производства радиофармацевтических лекарственных средств.</w:t>
            </w:r>
          </w:p>
          <w:p>
            <w:pPr>
              <w:spacing w:after="20"/>
              <w:ind w:left="20"/>
              <w:jc w:val="both"/>
            </w:pPr>
            <w:r>
              <w:rPr>
                <w:rFonts w:ascii="Times New Roman"/>
                <w:b w:val="false"/>
                <w:i w:val="false"/>
                <w:color w:val="000000"/>
                <w:sz w:val="20"/>
              </w:rPr>
              <w:t>
   17. Следует принять меры по предотвращению перекрестной контаминации от персонала, исходного сырья, материалов, радионуклидов и пр. Везде, где это возможно, следует использовать закрытое или изолированное оборудование. При использовании оборудования открытого типа или при открывании оборудования следует принять меры по сведению риска контаминации к минимуму. При оценке рисков следует показать, что чистота производственной среды удовлетворяет требованиям, предъявляемым к типу выпускаемой продукции.</w:t>
            </w:r>
          </w:p>
          <w:p>
            <w:pPr>
              <w:spacing w:after="20"/>
              <w:ind w:left="20"/>
              <w:jc w:val="both"/>
            </w:pPr>
            <w:r>
              <w:rPr>
                <w:rFonts w:ascii="Times New Roman"/>
                <w:b w:val="false"/>
                <w:i w:val="false"/>
                <w:color w:val="000000"/>
                <w:sz w:val="20"/>
              </w:rPr>
              <w:t>
   18. Вход в производственные зоны осуществляется через комнаты для переодевания (санпропускники) и ограничивается только для персонала, имеющего право доступа в них.</w:t>
            </w:r>
          </w:p>
          <w:p>
            <w:pPr>
              <w:spacing w:after="20"/>
              <w:ind w:left="20"/>
              <w:jc w:val="both"/>
            </w:pPr>
            <w:r>
              <w:rPr>
                <w:rFonts w:ascii="Times New Roman"/>
                <w:b w:val="false"/>
                <w:i w:val="false"/>
                <w:color w:val="000000"/>
                <w:sz w:val="20"/>
              </w:rPr>
              <w:t>
   19. Следует проводить мониторинг рабочих мест и производственной среды в отношении уровня радиации, концентрации частиц и микроорганизмов. Порядок проведения мониторинга устанавливается при квалификации эксплуатации (PQ).</w:t>
            </w:r>
          </w:p>
          <w:p>
            <w:pPr>
              <w:spacing w:after="20"/>
              <w:ind w:left="20"/>
              <w:jc w:val="both"/>
            </w:pPr>
            <w:r>
              <w:rPr>
                <w:rFonts w:ascii="Times New Roman"/>
                <w:b w:val="false"/>
                <w:i w:val="false"/>
                <w:color w:val="000000"/>
                <w:sz w:val="20"/>
              </w:rPr>
              <w:t>
   20. Для гарантии того, что используемые помещения и оборудование являются соответствующими и прошедшими квалификацию, необходимо проводить профилактическое техническое обслуживание, калибровку и квалификацию. Эти работы выполняются подготовленным персоналом, а факт их проведения и полученные результаты оформляются документально.</w:t>
            </w:r>
          </w:p>
          <w:p>
            <w:pPr>
              <w:spacing w:after="20"/>
              <w:ind w:left="20"/>
              <w:jc w:val="both"/>
            </w:pPr>
            <w:r>
              <w:rPr>
                <w:rFonts w:ascii="Times New Roman"/>
                <w:b w:val="false"/>
                <w:i w:val="false"/>
                <w:color w:val="000000"/>
                <w:sz w:val="20"/>
              </w:rPr>
              <w:t>
   21. Следует принять меры по защите производственной зоны от радиоактивного загрязнения. Следует организовать надлежащий контроль радиоактивных загрязнений прямым методом с помощью дозиметров или косвенно – методом смывов в установленном порядке.</w:t>
            </w:r>
          </w:p>
          <w:p>
            <w:pPr>
              <w:spacing w:after="20"/>
              <w:ind w:left="20"/>
              <w:jc w:val="both"/>
            </w:pPr>
            <w:r>
              <w:rPr>
                <w:rFonts w:ascii="Times New Roman"/>
                <w:b w:val="false"/>
                <w:i w:val="false"/>
                <w:color w:val="000000"/>
                <w:sz w:val="20"/>
              </w:rPr>
              <w:t xml:space="preserve">
   22. Поверхности оборудования, соприкасающиеся с продуктом, не вступают с ним в реакцию, ничего не выделяют и не абсорбируют продукт, чтобы таким образом не изменить качество радиофармацевтического лекарственного средства. </w:t>
            </w:r>
          </w:p>
          <w:p>
            <w:pPr>
              <w:spacing w:after="20"/>
              <w:ind w:left="20"/>
              <w:jc w:val="both"/>
            </w:pPr>
            <w:r>
              <w:rPr>
                <w:rFonts w:ascii="Times New Roman"/>
                <w:b w:val="false"/>
                <w:i w:val="false"/>
                <w:color w:val="000000"/>
                <w:sz w:val="20"/>
              </w:rPr>
              <w:t>
   23. Рециркуляция воздуха из помещений, в которых выполняется работа с радиофармацевтическими лекарственными средствами, не допускается, за исключением случаев, когда применение рециркуляции обосновано. В вытяжных системах предусматривается защита от загрязнения окружающей среды радиоактивными частицами и газами. В контролируемых зонах предусматривается защита от контаминации частицами и микроорганизмами.</w:t>
            </w:r>
          </w:p>
          <w:p>
            <w:pPr>
              <w:spacing w:after="20"/>
              <w:ind w:left="20"/>
              <w:jc w:val="both"/>
            </w:pPr>
            <w:r>
              <w:rPr>
                <w:rFonts w:ascii="Times New Roman"/>
                <w:b w:val="false"/>
                <w:i w:val="false"/>
                <w:color w:val="000000"/>
                <w:sz w:val="20"/>
              </w:rPr>
              <w:t>
   24. Чтобы не допустить распространения радиоактивных частиц, может оказаться необходимым в зонах, где находится открытый продукт, поддерживать отрицательное давление по отношению к окружающим зонам. В то же время следует защитить продукт от контаминации из производственной среды. Это может быть достигнуто за счет применения барьерной технологии и воздушных шлюзов, работающих по принципу каскада давлений. </w:t>
            </w:r>
          </w:p>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стерильной продукции</w:t>
            </w:r>
            <w:r>
              <w:rPr>
                <w:rFonts w:ascii="Times New Roman"/>
                <w:b w:val="false"/>
                <w:i w:val="false"/>
                <w:color w:val="000000"/>
                <w:sz w:val="20"/>
              </w:rPr>
              <w:t> </w:t>
            </w:r>
          </w:p>
          <w:p>
            <w:pPr>
              <w:spacing w:after="20"/>
              <w:ind w:left="20"/>
              <w:jc w:val="both"/>
            </w:pPr>
            <w:r>
              <w:rPr>
                <w:rFonts w:ascii="Times New Roman"/>
                <w:b w:val="false"/>
                <w:i w:val="false"/>
                <w:color w:val="000000"/>
                <w:sz w:val="20"/>
              </w:rPr>
              <w:t>
   25. Стерильные радиофармацевтические лекарственные средства разделяются на две группы: лекарственные препараты, выпускаемые в асептических условиях, и лекарственные препараты, подлежащие финишной стерилизации. В производстве должен поддерживаться уровень чистоты производственной среды, соответствующий виду выполняемых операций. Соблюдаются требования к чистоте рабочих зон, в которых продукция или первичная упаковка может находиться в контакте с окружающим воздухом, приведенные в Приложении I к настоящему Стандарту.</w:t>
            </w:r>
          </w:p>
          <w:p>
            <w:pPr>
              <w:spacing w:after="20"/>
              <w:ind w:left="20"/>
              <w:jc w:val="both"/>
            </w:pPr>
            <w:r>
              <w:rPr>
                <w:rFonts w:ascii="Times New Roman"/>
                <w:b w:val="false"/>
                <w:i w:val="false"/>
                <w:color w:val="000000"/>
                <w:sz w:val="20"/>
              </w:rPr>
              <w:t>
   26. Для определения требований к перепадам давления, направлению потока воздуха и его качества могут использоваться методы оценки рисков.</w:t>
            </w:r>
          </w:p>
          <w:p>
            <w:pPr>
              <w:spacing w:after="20"/>
              <w:ind w:left="20"/>
              <w:jc w:val="both"/>
            </w:pPr>
            <w:r>
              <w:rPr>
                <w:rFonts w:ascii="Times New Roman"/>
                <w:b w:val="false"/>
                <w:i w:val="false"/>
                <w:color w:val="000000"/>
                <w:sz w:val="20"/>
              </w:rPr>
              <w:t>
   27. В закрытых автоматизированных системах, представляющих собой горячие камеры с размещением в них установок химического синтеза, систем очистки, стерилизующей фильтрации "на линии", достаточно обеспечить класс чистоты C. В горячие камеры, находящиеся в закрытом состоянии, подается воздух после фильтрации с высокой степенью чистоты. Асептические операции выполняются в зоне класса A.</w:t>
            </w:r>
          </w:p>
          <w:p>
            <w:pPr>
              <w:spacing w:after="20"/>
              <w:ind w:left="20"/>
              <w:jc w:val="both"/>
            </w:pPr>
            <w:r>
              <w:rPr>
                <w:rFonts w:ascii="Times New Roman"/>
                <w:b w:val="false"/>
                <w:i w:val="false"/>
                <w:color w:val="000000"/>
                <w:sz w:val="20"/>
              </w:rPr>
              <w:t>
   28. До начала производства сборка стерильного оборудования и компонентов (трубок, стерилизующих фильтров), подсоединение линий подачи жидкостей к укупоренным герметичным стерильным флаконам, выполняюся в асептических условиях. </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Документация</w:t>
            </w:r>
            <w:r>
              <w:rPr>
                <w:rFonts w:ascii="Times New Roman"/>
                <w:b w:val="false"/>
                <w:i w:val="false"/>
                <w:color w:val="000000"/>
                <w:sz w:val="20"/>
              </w:rPr>
              <w:t> </w:t>
            </w:r>
          </w:p>
          <w:p>
            <w:pPr>
              <w:spacing w:after="20"/>
              <w:ind w:left="20"/>
              <w:jc w:val="both"/>
            </w:pPr>
            <w:r>
              <w:rPr>
                <w:rFonts w:ascii="Times New Roman"/>
                <w:b w:val="false"/>
                <w:i w:val="false"/>
                <w:color w:val="000000"/>
                <w:sz w:val="20"/>
              </w:rPr>
              <w:t>
   29. Все документы, касающиеся производства радиофармацевтических лекарственных средств, разрабатываются, согласовываются, утверждаются и выдаются в соответствии с письменной процедурой.</w:t>
            </w:r>
          </w:p>
          <w:p>
            <w:pPr>
              <w:spacing w:after="20"/>
              <w:ind w:left="20"/>
              <w:jc w:val="both"/>
            </w:pPr>
            <w:r>
              <w:rPr>
                <w:rFonts w:ascii="Times New Roman"/>
                <w:b w:val="false"/>
                <w:i w:val="false"/>
                <w:color w:val="000000"/>
                <w:sz w:val="20"/>
              </w:rPr>
              <w:t>
   30. Требования к исходному сырью, упаковочным материалам, материалам для маркировки, критическим промежуточным материалам и готовым радиофармацевтическим лекарственным средствам указываются в спецификациях. Спецификации также утверждаются на критические материалы и компоненты (вспомогательные материалы, уплотнения, наборы для стерилизующей фильтрации и др.), используемые в процессе производства и способные оказать критическое влияние на качество продукции.</w:t>
            </w:r>
          </w:p>
          <w:p>
            <w:pPr>
              <w:spacing w:after="20"/>
              <w:ind w:left="20"/>
              <w:jc w:val="both"/>
            </w:pPr>
            <w:r>
              <w:rPr>
                <w:rFonts w:ascii="Times New Roman"/>
                <w:b w:val="false"/>
                <w:i w:val="false"/>
                <w:color w:val="000000"/>
                <w:sz w:val="20"/>
              </w:rPr>
              <w:t>
   31. Для радиофармацевтических лекарственных средств следует установить критерии приемлемости, включая спецификации на момент выпуска и на период срока годности (например, для радиохимической чистоты, объемной активности, радионуклидной чистоты и удельной активности).</w:t>
            </w:r>
          </w:p>
          <w:p>
            <w:pPr>
              <w:spacing w:after="20"/>
              <w:ind w:left="20"/>
              <w:jc w:val="both"/>
            </w:pPr>
            <w:r>
              <w:rPr>
                <w:rFonts w:ascii="Times New Roman"/>
                <w:b w:val="false"/>
                <w:i w:val="false"/>
                <w:color w:val="000000"/>
                <w:sz w:val="20"/>
              </w:rPr>
              <w:t>
   32. В записях по использованию, очистке, дезинфекции или стерилизации, техническому обслуживанию основного оборудования указывают дату и время выполнения операции, ставится подпись лица, выполнившего работу, и, при необходимости, указывается наименование продукции и номер серии.</w:t>
            </w:r>
          </w:p>
          <w:p>
            <w:pPr>
              <w:spacing w:after="20"/>
              <w:ind w:left="20"/>
              <w:jc w:val="both"/>
            </w:pPr>
            <w:r>
              <w:rPr>
                <w:rFonts w:ascii="Times New Roman"/>
                <w:b w:val="false"/>
                <w:i w:val="false"/>
                <w:color w:val="000000"/>
                <w:sz w:val="20"/>
              </w:rPr>
              <w:t>
   33. Записи хранят в течение не менее трех лет, если иное не установлено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w:t>
            </w:r>
          </w:p>
          <w:p>
            <w:pPr>
              <w:spacing w:after="20"/>
              <w:ind w:left="20"/>
              <w:jc w:val="both"/>
            </w:pPr>
            <w:r>
              <w:rPr>
                <w:rFonts w:ascii="Times New Roman"/>
                <w:b w:val="false"/>
                <w:i w:val="false"/>
                <w:color w:val="000000"/>
                <w:sz w:val="20"/>
              </w:rPr>
              <w:t>
   34. Одновременное производство различных радиофармацевтических лекарственных средств в одной рабочей зоне: горячей камере, ламинарной зоне или шкафу не допускается с целью сведения к минимуму риска перекрестного загрязнения радиоактивными веществами или перепутывания материалов.</w:t>
            </w:r>
          </w:p>
          <w:p>
            <w:pPr>
              <w:spacing w:after="20"/>
              <w:ind w:left="20"/>
              <w:jc w:val="both"/>
            </w:pPr>
            <w:r>
              <w:rPr>
                <w:rFonts w:ascii="Times New Roman"/>
                <w:b w:val="false"/>
                <w:i w:val="false"/>
                <w:color w:val="000000"/>
                <w:sz w:val="20"/>
              </w:rPr>
              <w:t>
   35. Особое внимание следует уделять валидации, включая валидацию компьютеризированных систем в соответствии с Приложением 11 к настоящему Стандарту. Новые процессы проходят перспективную валидацию.</w:t>
            </w:r>
          </w:p>
          <w:p>
            <w:pPr>
              <w:spacing w:after="20"/>
              <w:ind w:left="20"/>
              <w:jc w:val="both"/>
            </w:pPr>
            <w:r>
              <w:rPr>
                <w:rFonts w:ascii="Times New Roman"/>
                <w:b w:val="false"/>
                <w:i w:val="false"/>
                <w:color w:val="000000"/>
                <w:sz w:val="20"/>
              </w:rPr>
              <w:t>
   36. Критические параметры следует определять до или в процессе проведения валидации. При этом следует определять допустимые предельные значения изменений параметров, необходимые для стабильного производства.</w:t>
            </w:r>
          </w:p>
          <w:p>
            <w:pPr>
              <w:spacing w:after="20"/>
              <w:ind w:left="20"/>
              <w:jc w:val="both"/>
            </w:pPr>
            <w:r>
              <w:rPr>
                <w:rFonts w:ascii="Times New Roman"/>
                <w:b w:val="false"/>
                <w:i w:val="false"/>
                <w:color w:val="000000"/>
                <w:sz w:val="20"/>
              </w:rPr>
              <w:t>
   37. Для продуктов, наполняемых в асептических условиях, следует проводить контроль целостности мембранных фильтров, принимая во внимание необходимость обеспечения радиационной безопасности и сохранения стерильности фильтров.</w:t>
            </w:r>
          </w:p>
          <w:p>
            <w:pPr>
              <w:spacing w:after="20"/>
              <w:ind w:left="20"/>
              <w:jc w:val="both"/>
            </w:pPr>
            <w:r>
              <w:rPr>
                <w:rFonts w:ascii="Times New Roman"/>
                <w:b w:val="false"/>
                <w:i w:val="false"/>
                <w:color w:val="000000"/>
                <w:sz w:val="20"/>
              </w:rPr>
              <w:t>
   38. Учитывая радиационную активность готовой продукции, маркировку на первичную упаковку наносят до начала производства. На стерильные пустые закрытые флаконы наносится маркировка с частичной информацией до операции наполнения, при этом стерильность не нарушается и не создаются помехи для визуального контроля наполненных флаконов. </w:t>
            </w:r>
          </w:p>
          <w:p>
            <w:pPr>
              <w:spacing w:after="20"/>
              <w:ind w:left="20"/>
              <w:jc w:val="both"/>
            </w:pPr>
            <w:r>
              <w:rPr>
                <w:rFonts w:ascii="Times New Roman"/>
                <w:b w:val="false"/>
                <w:i w:val="false"/>
                <w:color w:val="000000"/>
                <w:sz w:val="20"/>
              </w:rPr>
              <w:t>
   </w:t>
            </w:r>
            <w:r>
              <w:rPr>
                <w:rFonts w:ascii="Times New Roman"/>
                <w:b/>
                <w:i w:val="false"/>
                <w:color w:val="000000"/>
                <w:sz w:val="20"/>
              </w:rPr>
              <w:t>Контроль качества</w:t>
            </w:r>
          </w:p>
          <w:p>
            <w:pPr>
              <w:spacing w:after="20"/>
              <w:ind w:left="20"/>
              <w:jc w:val="both"/>
            </w:pPr>
            <w:r>
              <w:rPr>
                <w:rFonts w:ascii="Times New Roman"/>
                <w:b w:val="false"/>
                <w:i w:val="false"/>
                <w:color w:val="000000"/>
                <w:sz w:val="20"/>
              </w:rPr>
              <w:t>
   39. Некоторые радиофармацевтические лекарственные средства выпускаются и используются на основе оценки документации на серию до завершения всех химических и микробиологических испытаний.</w:t>
            </w:r>
          </w:p>
          <w:p>
            <w:pPr>
              <w:spacing w:after="20"/>
              <w:ind w:left="20"/>
              <w:jc w:val="both"/>
            </w:pPr>
            <w:r>
              <w:rPr>
                <w:rFonts w:ascii="Times New Roman"/>
                <w:b w:val="false"/>
                <w:i w:val="false"/>
                <w:color w:val="000000"/>
                <w:sz w:val="20"/>
              </w:rPr>
              <w:t>
   Оформление разрешения на выпуск радиофармацевтических лекарственных средств выполняется в два и более этапов до и после завершения аналитического контроля в полном объеме:</w:t>
            </w:r>
          </w:p>
          <w:p>
            <w:pPr>
              <w:spacing w:after="20"/>
              <w:ind w:left="20"/>
              <w:jc w:val="both"/>
            </w:pPr>
            <w:r>
              <w:rPr>
                <w:rFonts w:ascii="Times New Roman"/>
                <w:b w:val="false"/>
                <w:i w:val="false"/>
                <w:color w:val="000000"/>
                <w:sz w:val="20"/>
              </w:rPr>
              <w:t>
   1) оценка назначенным лицом записей по производству серии, которые охватывают условия производства и аналитический контроль, проведенные до момента разрешения транспортировки радиофармацевтического лекарственного средства в статусе "карантин" в клиническое подразделение;</w:t>
            </w:r>
          </w:p>
          <w:p>
            <w:pPr>
              <w:spacing w:after="20"/>
              <w:ind w:left="20"/>
              <w:jc w:val="both"/>
            </w:pPr>
            <w:r>
              <w:rPr>
                <w:rFonts w:ascii="Times New Roman"/>
                <w:b w:val="false"/>
                <w:i w:val="false"/>
                <w:color w:val="000000"/>
                <w:sz w:val="20"/>
              </w:rPr>
              <w:t>
   2) Уполномоченное лицо выдает разрешение на выпуск после проведения оценки окончательных результатов аналитического контроля, всех отклонений от нормального процесса, которые оформляются документально, обоснованы и утверждены. Если некоторые результаты контроля невозможно получить до использования лекарственного средства, то Уполномоченное лицо оформляет разрешение на выпуск лекарственного средства условно до начала его использования и окончательно оформляет разрешение на выпуск лекарственного средства после получения всех результатов контроля.</w:t>
            </w:r>
          </w:p>
          <w:p>
            <w:pPr>
              <w:spacing w:after="20"/>
              <w:ind w:left="20"/>
              <w:jc w:val="both"/>
            </w:pPr>
            <w:r>
              <w:rPr>
                <w:rFonts w:ascii="Times New Roman"/>
                <w:b w:val="false"/>
                <w:i w:val="false"/>
                <w:color w:val="000000"/>
                <w:sz w:val="20"/>
              </w:rPr>
              <w:t>
   40. Большинство радиофармацевтических лекарственных средств используется в течение короткого периода времени, что обусловлено коротким периодом полураспада радионуклидов, поэтому их срок годности указывается четко.</w:t>
            </w:r>
          </w:p>
          <w:p>
            <w:pPr>
              <w:spacing w:after="20"/>
              <w:ind w:left="20"/>
              <w:jc w:val="both"/>
            </w:pPr>
            <w:r>
              <w:rPr>
                <w:rFonts w:ascii="Times New Roman"/>
                <w:b w:val="false"/>
                <w:i w:val="false"/>
                <w:color w:val="000000"/>
                <w:sz w:val="20"/>
              </w:rPr>
              <w:t>
   41. Радиофармацевтические лекарственные средства, содержащие радионуклиды с большим периодом полураспада, контролируются на соответствие всем требованиям до оформления разрешения на выпуск Уполномоченным лицом.</w:t>
            </w:r>
          </w:p>
          <w:p>
            <w:pPr>
              <w:spacing w:after="20"/>
              <w:ind w:left="20"/>
              <w:jc w:val="both"/>
            </w:pPr>
            <w:r>
              <w:rPr>
                <w:rFonts w:ascii="Times New Roman"/>
                <w:b w:val="false"/>
                <w:i w:val="false"/>
                <w:color w:val="000000"/>
                <w:sz w:val="20"/>
              </w:rPr>
              <w:t>
   42. Контроль проб проводится не сразу после их отбора, чтобы обеспечить требуемое снижение уровня активности. Все виды контроля, включая контроль на стерильность, проводятся как можно быстрее.</w:t>
            </w:r>
          </w:p>
          <w:p>
            <w:pPr>
              <w:spacing w:after="20"/>
              <w:ind w:left="20"/>
              <w:jc w:val="both"/>
            </w:pPr>
            <w:r>
              <w:rPr>
                <w:rFonts w:ascii="Times New Roman"/>
                <w:b w:val="false"/>
                <w:i w:val="false"/>
                <w:color w:val="000000"/>
                <w:sz w:val="20"/>
              </w:rPr>
              <w:t>
   43. Письменная процедура устанавливает порядок оценки продукции и результатов контроля до отправки продукции.</w:t>
            </w:r>
          </w:p>
          <w:p>
            <w:pPr>
              <w:spacing w:after="20"/>
              <w:ind w:left="20"/>
              <w:jc w:val="both"/>
            </w:pPr>
            <w:r>
              <w:rPr>
                <w:rFonts w:ascii="Times New Roman"/>
                <w:b w:val="false"/>
                <w:i w:val="false"/>
                <w:color w:val="000000"/>
                <w:sz w:val="20"/>
              </w:rPr>
              <w:t>
   44. Продукция, не соответствующая установленным требованиям, отклоняется. Если предусмотрена переработка материала, то она выполняется по заранее утвержденной процедуре. Готовая продукция соответствует установленным требованиям, что подтверждается до ее выпуска. Не допускается переработка возвращенной продукции, с которой следует обращаться как с радиоактивными отходами.</w:t>
            </w:r>
          </w:p>
          <w:p>
            <w:pPr>
              <w:spacing w:after="20"/>
              <w:ind w:left="20"/>
              <w:jc w:val="both"/>
            </w:pPr>
            <w:r>
              <w:rPr>
                <w:rFonts w:ascii="Times New Roman"/>
                <w:b w:val="false"/>
                <w:i w:val="false"/>
                <w:color w:val="000000"/>
                <w:sz w:val="20"/>
              </w:rPr>
              <w:t>
   45. В специальной процедуре определяется порядок действий Уполномоченного лица в случае обнаружения несоответствия продукции требованиям спецификации после ее отгрузки до истечения срока годности. Такие случаи расследуются, выполняются необходимые предупреждающие и корректирующие мероприятия для недопущения подобных ситуаций в будущем. Этот процесс документально оформляется.</w:t>
            </w:r>
          </w:p>
          <w:p>
            <w:pPr>
              <w:spacing w:after="20"/>
              <w:ind w:left="20"/>
              <w:jc w:val="both"/>
            </w:pPr>
            <w:r>
              <w:rPr>
                <w:rFonts w:ascii="Times New Roman"/>
                <w:b w:val="false"/>
                <w:i w:val="false"/>
                <w:color w:val="000000"/>
                <w:sz w:val="20"/>
              </w:rPr>
              <w:t>
   46. При необходимости следует информировать ответственный персонал медицинской организации. Для содействия этому обеспечена прослеживаемость в отношении радиофармацевтических лекарственных средств.</w:t>
            </w:r>
          </w:p>
          <w:p>
            <w:pPr>
              <w:spacing w:after="20"/>
              <w:ind w:left="20"/>
              <w:jc w:val="both"/>
            </w:pPr>
            <w:r>
              <w:rPr>
                <w:rFonts w:ascii="Times New Roman"/>
                <w:b w:val="false"/>
                <w:i w:val="false"/>
                <w:color w:val="000000"/>
                <w:sz w:val="20"/>
              </w:rPr>
              <w:t>
   47. Устанавливается порядок контроля исходного сырья и материалов. При выборе и утверждении поставщика следует убедиться в том, что поставляемые им исходное сырье и материалы неизменно соответствуют требованиям спецификаций. Исходное сырье, упаковочные материалы и вспомогательные материалы для критических процессов приобретаются только у утвержденных поставщиков. </w:t>
            </w:r>
          </w:p>
          <w:p>
            <w:pPr>
              <w:spacing w:after="20"/>
              <w:ind w:left="20"/>
              <w:jc w:val="both"/>
            </w:pPr>
            <w:r>
              <w:rPr>
                <w:rFonts w:ascii="Times New Roman"/>
                <w:b w:val="false"/>
                <w:i w:val="false"/>
                <w:color w:val="000000"/>
                <w:sz w:val="20"/>
              </w:rPr>
              <w:t>
   </w:t>
            </w:r>
            <w:r>
              <w:rPr>
                <w:rFonts w:ascii="Times New Roman"/>
                <w:b/>
                <w:i w:val="false"/>
                <w:color w:val="000000"/>
                <w:sz w:val="20"/>
              </w:rPr>
              <w:t>Контрольные и архивные образцы</w:t>
            </w:r>
          </w:p>
          <w:p>
            <w:pPr>
              <w:spacing w:after="20"/>
              <w:ind w:left="20"/>
              <w:jc w:val="both"/>
            </w:pPr>
            <w:r>
              <w:rPr>
                <w:rFonts w:ascii="Times New Roman"/>
                <w:b w:val="false"/>
                <w:i w:val="false"/>
                <w:color w:val="000000"/>
                <w:sz w:val="20"/>
              </w:rPr>
              <w:t>
   48. От каждой серии нерасфасованных радиофармацевтических лекарственных средств отбирается достаточное количество образцов, которые хранятся не менее шести месяцев после истечения срока годности готовой продукции, если иное не установлено в процессе управления рисками.</w:t>
            </w:r>
          </w:p>
          <w:p>
            <w:pPr>
              <w:spacing w:after="20"/>
              <w:ind w:left="20"/>
              <w:jc w:val="both"/>
            </w:pPr>
            <w:r>
              <w:rPr>
                <w:rFonts w:ascii="Times New Roman"/>
                <w:b w:val="false"/>
                <w:i w:val="false"/>
                <w:color w:val="000000"/>
                <w:sz w:val="20"/>
              </w:rPr>
              <w:t>
   49. Образцы используемого в производстве исходного сырья, за исключением растворителей, газов и воды, хранятся не менее двух лет после выпуска продукции. Этот срок может быть сокращен, если в спецификации на сырье указан более короткий период стабильности.</w:t>
            </w:r>
          </w:p>
          <w:p>
            <w:pPr>
              <w:spacing w:after="20"/>
              <w:ind w:left="20"/>
              <w:jc w:val="both"/>
            </w:pPr>
            <w:r>
              <w:rPr>
                <w:rFonts w:ascii="Times New Roman"/>
                <w:b w:val="false"/>
                <w:i w:val="false"/>
                <w:color w:val="000000"/>
                <w:sz w:val="20"/>
              </w:rPr>
              <w:t>
   50. По согласованию с уполномоченным органом может быть определен иной порядок отбора и хранения проб исходного сырья, материалов, продукции, произведенных по индивидуальному заказу или в малых количествах или если их хранение может вызвать особые трудности. </w:t>
            </w:r>
          </w:p>
          <w:p>
            <w:pPr>
              <w:spacing w:after="20"/>
              <w:ind w:left="20"/>
              <w:jc w:val="both"/>
            </w:pPr>
            <w:r>
              <w:rPr>
                <w:rFonts w:ascii="Times New Roman"/>
                <w:b w:val="false"/>
                <w:i w:val="false"/>
                <w:color w:val="000000"/>
                <w:sz w:val="20"/>
              </w:rPr>
              <w:t>
   </w:t>
            </w:r>
            <w:r>
              <w:rPr>
                <w:rFonts w:ascii="Times New Roman"/>
                <w:b/>
                <w:i w:val="false"/>
                <w:color w:val="000000"/>
                <w:sz w:val="20"/>
              </w:rPr>
              <w:t>Реализация</w:t>
            </w:r>
            <w:r>
              <w:rPr>
                <w:rFonts w:ascii="Times New Roman"/>
                <w:b w:val="false"/>
                <w:i w:val="false"/>
                <w:color w:val="000000"/>
                <w:sz w:val="20"/>
              </w:rPr>
              <w:t> </w:t>
            </w:r>
          </w:p>
          <w:p>
            <w:pPr>
              <w:spacing w:after="20"/>
              <w:ind w:left="20"/>
              <w:jc w:val="both"/>
            </w:pPr>
            <w:r>
              <w:rPr>
                <w:rFonts w:ascii="Times New Roman"/>
                <w:b w:val="false"/>
                <w:i w:val="false"/>
                <w:color w:val="000000"/>
                <w:sz w:val="20"/>
              </w:rPr>
              <w:t>
   51. Для радиофармацевтических лекарственных средств допускается реализация готовой продукции в контролируемых условиях до получения результатов всех необходимых испытаний. При этом гарантируется, что лекарственный препарат не будет применен в медицинской организации до получения удовлетворительных результатов испытаний и их оценки Уполномоченным лицом. </w:t>
            </w:r>
          </w:p>
          <w:p>
            <w:pPr>
              <w:spacing w:after="20"/>
              <w:ind w:left="20"/>
              <w:jc w:val="both"/>
            </w:pPr>
            <w:r>
              <w:rPr>
                <w:rFonts w:ascii="Times New Roman"/>
                <w:b w:val="false"/>
                <w:i w:val="false"/>
                <w:color w:val="000000"/>
                <w:sz w:val="20"/>
              </w:rPr>
              <w:t>
   </w:t>
            </w:r>
            <w:r>
              <w:rPr>
                <w:rFonts w:ascii="Times New Roman"/>
                <w:b/>
                <w:i w:val="false"/>
                <w:color w:val="000000"/>
                <w:sz w:val="20"/>
              </w:rPr>
              <w:t>Термины и определения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Горячая камера - экранированное рабочее место для производства и обращения с радиоактивными материалами. Горячая камера не есть изолятор.</w:t>
            </w:r>
          </w:p>
          <w:p>
            <w:pPr>
              <w:spacing w:after="20"/>
              <w:ind w:left="20"/>
              <w:jc w:val="both"/>
            </w:pPr>
            <w:r>
              <w:rPr>
                <w:rFonts w:ascii="Times New Roman"/>
                <w:b w:val="false"/>
                <w:i w:val="false"/>
                <w:color w:val="000000"/>
                <w:sz w:val="20"/>
              </w:rPr>
              <w:t>
   Приготовление - подготовка набора в медицинской организации путем внесения в него радионуклида, элюированного из генератора, или с помощью радиоактивных предшественников. Наборы, генераторы и радиоактивные предшественники регистрируются в установленном порядке.</w:t>
            </w:r>
          </w:p>
          <w:p>
            <w:pPr>
              <w:spacing w:after="20"/>
              <w:ind w:left="20"/>
              <w:jc w:val="both"/>
            </w:pPr>
            <w:r>
              <w:rPr>
                <w:rFonts w:ascii="Times New Roman"/>
                <w:b w:val="false"/>
                <w:i w:val="false"/>
                <w:color w:val="000000"/>
                <w:sz w:val="20"/>
              </w:rPr>
              <w:t>
   Радиофармацевтические лекарственные средства - лекарственные средства, которые содержат в готовой для использования форме один радионуклид или несколько радионуклидов или радиоактивных изотопов.</w:t>
            </w:r>
          </w:p>
          <w:p>
            <w:pPr>
              <w:spacing w:after="20"/>
              <w:ind w:left="20"/>
              <w:jc w:val="both"/>
            </w:pPr>
            <w:r>
              <w:rPr>
                <w:rFonts w:ascii="Times New Roman"/>
                <w:b w:val="false"/>
                <w:i w:val="false"/>
                <w:color w:val="000000"/>
                <w:sz w:val="20"/>
              </w:rPr>
              <w:t>
   Радиоактивный предшественник – радиоактивное вещество, предназначенное для введения радионуклидной метки в другое вещество перед его применением.</w:t>
            </w:r>
          </w:p>
          <w:p>
            <w:pPr>
              <w:spacing w:after="20"/>
              <w:ind w:left="20"/>
              <w:jc w:val="both"/>
            </w:pPr>
            <w:r>
              <w:rPr>
                <w:rFonts w:ascii="Times New Roman"/>
                <w:b w:val="false"/>
                <w:i w:val="false"/>
                <w:color w:val="000000"/>
                <w:sz w:val="20"/>
              </w:rPr>
              <w:t>
   Уполномоченное лицо - это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настоящего Стандарта. Обязанности Уполномоченного лица детально описаны в главе 2 части I и Приложении 16 к настоящему Стандарту.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w:t>
            </w:r>
          </w:p>
        </w:tc>
      </w:tr>
    </w:tbl>
    <w:p>
      <w:pPr>
        <w:spacing w:after="0"/>
        <w:ind w:left="0"/>
        <w:jc w:val="both"/>
      </w:pPr>
      <w:r>
        <w:rPr>
          <w:rFonts w:ascii="Times New Roman"/>
          <w:b w:val="false"/>
          <w:i w:val="false"/>
          <w:color w:val="ff0000"/>
          <w:sz w:val="28"/>
        </w:rPr>
        <w:t xml:space="preserve">
      Сноска. Приложение 6 с изменениями, внесенными приказом Министра здравоохранения РК от 08.05.2019 </w:t>
      </w:r>
      <w:r>
        <w:rPr>
          <w:rFonts w:ascii="Times New Roman"/>
          <w:b w:val="false"/>
          <w:i w:val="false"/>
          <w:color w:val="ff0000"/>
          <w:sz w:val="28"/>
        </w:rPr>
        <w:t>№ ҚР ДСМ-71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0"/>
              <w:gridCol w:w="4520"/>
            </w:tblGrid>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ПРОИЗВОДСТВО МЕДИЦИНСКИХ ГАЗОВ</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Принцип</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Производство газов, относящихся к лекарственным средствам (далее – медицинские газы) следует осуществлять согласно соответствующим нормативным правовым актам. Данное Приложение посвящено производству газов как активных фармацевтических субстанций (АФС) и производству газов для медицинского применения (медицинских газов).</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Разграничение между производством АФС и производством лекарственных препаратов четко определяется в каждом регистрационном досье. Обычно стадии производства и очистки газов относят к производству АФС. К производству лекарственных препаратов относят газы, поступающие на последующие этапы из контейнеров первичного хранения.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Производство газов как АФС следует осуществлять в соответствии с требованиями Части II настоящего Стандарта, данного Приложения и других соответствующих Приложений к настоящему Стандарту.</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Производство медицинских газов следует осуществлять в соответствии с требованиями Части I настоящего Стандарта, данного Приложения и других соответствующих Приложений к настоящему Стандарту.</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исключительных случаях непрерывные процессы, начиная с исходного сырья для производства АФС до производства лекарственного препарата, где невозможно промежуточное хранение газа, следует рассматривать как производство лекарственных препаратов. Это четко указывается в регистрационном досье.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Данное Приложение не распространяется на производство и обращение медицинских газов в медицинских организациях, если такой процесс не является промышленным производством. Тем не менее, соответствующие разделы данного Приложения могут быть использованы в качестве основы для организации этой работы.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Производство газов как активных фармацевтических субстанций</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Газы как активные фармацевтические субстанции могут быть произведены путем химического синтеза или из натуральных источников путем их очистки.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Технологические процессы получения газов этими двумя методами следует осуществлять в соответствии с требованиями Части II настоящего Стандарта, при этом: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 требования к исходному сырью для активных фармацевтических субстанций в соответствии с частью II раздел 7 настоящего Стандарта не применимы к производству активных фармацевтических субстанций – газов методом разделения воздуха, но производитель гарантирует, что качество используемого воздуха соответствует установленному и изменения качества воздуха из внешней среды не оказывают влияние на качество газов, производимых как АФС;</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b) требования к непрерывному изучению стабильности газов как активных фармацевтических субстанций соответствуют части II пункта 11.5 настоящего Стандарта, осуществляемому с целью подтверждения условий хранения и срока годности или даты повторного контроля в соответствии с частью II пункта 11.2 настоящего Стандарта не применяются в случае, если в качестве данных первичного изучения стабильности были использованы литературные данные;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c) требования к контрольным и архивным образцам в соответствии с частью II пункта 11.7 настоящего Стандарта не применяются к газам как активным фармацевтическим субстанциям, если не определено иное.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Следует проводить постоянный мониторинг качества газов как активных фармацевтических субстанций, производимых непрерывным методом (например, разделением воздуха). Результаты мониторинга следует хранить в виде, позволяющем осуществлять оценку тенденций.</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Кроме того:</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 условия транспортирования и доставки нерасфасованных газов как активных фармацевтических субстанций соответстуют требованиям, установленным для медицинских газов (пункты 19–21 данного Приложения);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b) операции наполнения баллонов или переносных криогенных емкостей газами как активными фармацевтическими субстанциями следует проводить в соответствии с требованиями, установленными для медицинских газов (пункты 22-37 данного Приложения), и требованиями раздела 9 части II настоящего Стандарта.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Производство медицинских газов</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Производство медицинских газов осуществляется в закрытом оборудовании. В связи с этим риск контаминации данной продукции из производственной среды является минимальным. Однако существует риск контаминации или перекрестной контаминации другими газами, в особенности при повторном использовании емкостей.</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Требования, применяемые к баллонам, следует также применять к группам или связкам баллонов, за исключением случая хранения и транспортирования в специальных контейнерах.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Персонал</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Персонал, занятый в производстве и реализации медицинских газов, должен пройти соответствующее обучение настоящему Стандарту, специфическое в отношении этого вида продукции. Персонал должен знать критически важные аспекты и возможную опасность для пациентов, которую могут представлять собой лекарственные препараты в виде медицинских газов. Водители, осуществляющие перевозку медицинских газов, обучаются по соответствующей программе.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 Персонал подрядчиков, который может оказать влияние на качество медицинских газов, проходит соответствующее обучение.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Помещения и оборудование</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Помещения</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 Баллоны и переносные криогенные емкости необходимо проверять, подготавливать, наполнять и хранить в зонах, отделенных от зон работы с немедицинскими газами. Запрещается обмен баллонами, переносными криогенными емкостями между этими зонами. Однако в одних и тех же зонах допускается контроль, подготовка, наполнение и хранение других газов, если требования к ним соответствуют требованиям к медицинским газам, а производственные операции осуществляются в соответствии с требованиями настоящего Стандарта.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 Помещения, в которых выполняются операции по производству, проведению испытаний и хранению медицинских газов, имеют достаточную площадь для исключения риска перепутывания. Планировка помещений обеспечивает:</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отдельные маркированные зоны для различных газов;</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однозначное обозначение и разделение пустых баллонов, переносных криогенных емкостей и баллонов, переносных криогенных емкостей, находящихся на разных стадиях производства путем маркировки "ожидает контроля", "ожидает наполнения", "карантин", "разрешен", "отклонен", "готов к отправке".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Способ, используемый для достижения различных уровней разделения, зависит от характера, объема и сложности технологического процесса. Мерами по разделению могут быть зоны с разметками на полу, перегородки, барьеры, обозначения.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 Пустые баллоны, переносные криогенные емкости после сортировки или технического обслуживания и наполненные баллоны, переносные криогенные емкости следует хранить под навесами, защищающими их от неблагоприятных погодных условий. Наполненные баллоны, переносные криогенные емкости следует хранить в условиях, гарантирующих их доставку в чистом виде, который отвечает условиям, в которых они будут использоваться.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 Обеспечиваются особые условия хранения, соответствующие требованиям регистрационного досье, например, для газовых смесей, в которых происходит разделение фаз в случае замораживания.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Оборудование</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 Оборудование проектируется таким образом, чтобы гарантировать, что надлежащий газ наполняется в надлежащий контейнер, между трубопроводами, по которым проходят различные газы, не имеется соединений. В случае, когда такие соединения необходимы путем проведения квалификации необходимо гарантировать отсутствие риска перекрестной контаминации разными газами. В дополнение к этому распределительные коллекторы оборудуются специфическими соединительными элементами. Требования к использованию распределительных коллекторов и их соединений с клапанами баллонов могут быть установлены в соответствующих нормативных правовых актах. Использование на одном производственном участке соединений, соответствующих различным стандартам, следует тщательно контролировать, также, как и использование адаптеров, применение которых бывает необходимым в некоторых случаях соединения специфических систем наполнения.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 Резервуары для хранения и передвижные цистерны для доставки предназначаются только для одного вида газа определенного качества. Медицинские газы допускается хранить или транспортировать в тех же резервуарах, что и аналогичные немедицинские газы, при условии, что качество последних, по меньшей мере, эквивалентно качеству медицинских газов и соблюдаются требования настоящего Стандарта. В таких случаях осуществляется и документально оформляется процедура управления рисками.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 Общая система распределения газа с коллекторами медицинского и немедицинского назначения приемлема лишь в случае наличия валидированного метода недопущения обратного потока газа из немедицинской системы в медицинскую.</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 Для одного медицинского газа или для определенной смеси медицинских газов имеются специально предназначенные коллекторы наполнения. В исключительных случаях допускается наполнение газов для других медицинских целей с использованием коллекторов, предназначенных для медицинских газов, если доказана такая возможность и весь процесс находится под контролем. В этих случаях качество немедицинского газа является равным требуемому качеству медицинского газа и соблюдаются требования настоящего Стандарта. Наполнение производится по принципу организации циклов производства.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 Работы по ремонту и техническому обслуживанию оборудования, включая очистку и продувку, не влияют на качество медицинских газов. В частности, следует разработать и документально оформить мероприятия, проводимые после ремонта и технического обслуживания, включающего разгерметизацию систем. Особенно важной является демонстрация того, что оборудование свободно от любой контаминации, которая может оказать влияние на качество готового продукта до выпуска его в реализацию. Записи проведенных работ сохраняются.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 Следует разработать и документально оформить процедуры, осуществляемые при возврате цистерны на участок работы с медицинскими газами после транспортирования немедицинского газа в условиях, указанных в пункте 12 данного Приложения, или после операций по техническому обслуживанию. Такая процедура включает аналитические испытания.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Документация</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 Данные, включенные в досье на каждую серию наполненных баллонов, переносных криогенных емкостей, обеспечивают для каждого наполненного баллона, переносных криогенных емкостей прослеживаемость информации обо всех основных параметрах соответствующих стадий наполнения. Записи, относящиеся к серии (досье на серию), содержат следующую информацию:</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наименование продукции;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номер серии;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дата и время проведения операции по наполнению;</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персонал, выполнявший существенные этапы процесса;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ссылка на номер(а) серии(ий) газа(ов), который использовался для операций по наполнению согласно пункту 22 данного Приложения, включая его статус - разрешение к наполнению;</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 оборудование, которое использовалось;</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 количество баллонов, переносных криогенных емкостей до операции наполнения, включая идентификационные данные каждой емкости и ее геометрический объем;</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 операции, выполненные до наполнения согласно пункту 30 данного Приложения;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 ключевые параметры, необходимые для подтверждения правильности проведения операции по наполнению при стандартных условиях;</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 результаты соответствующих проверок, гарантирующих, что баллоны, переносные криогенные емкости были наполнены;</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 образец этикетки серии;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 спецификация лекарственного средства и результаты испытаний по контролю качества, включая ссылки на текущее состояние калибровки оборудования, использованного ходе испытаний;</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 количество отклоненных баллонов, переносных криогенных емкостей с приведением их индивидуальных идентификационных данных и причины отклонения;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 подробные сведения обо всех проблемах и отклонениях, утвержденное разрешение на любое отклонение от инструкций по наполнению;</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 разрешение Уполномоченного лица на выпуск серии, дата и подпись.</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 Досье на каждую серию газа, предназначенную для наполнения резервуаров в медицинских организациях, сохраняются. Досье включают следующую информацию:</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наименование продукции;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номер серии;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ссылка на идентификационный номер емкости, цистерны, в которой серия разрешена к реализации;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дата и время операции по наполнению;</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персонал, выполнивший наполнение емкости, цистерны;</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 информация о емкости, цистерне, из которой производилось наполнение, информация о газе, использовавшемся для наполнения;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 сведения обо всех существенных деталях наполнения;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 спецификация на готовый лекарственный препарат и результаты контроля качества, включая ссылки на текущее состояние калибровки оборудования, использованного в ходе испытаний;</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 подробные сведения обо всех проблемах и отклонениях, утвержденное разрешение на любое отклонение от инструкций по наполнению;</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 разрешение Уполномоченного лица на выпуск серии, дата и подпись.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Перемещение и доставка криогенных и сжиженных газов</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 Перемещение криогенных или сжиженных газов с места первичного хранения, включая контроль перед перемещением, следует осуществлять в соответствии с валидированными процедурами, разработанными с целью предотвращения возможной контаминации. Трубопровод, по которому перемещается газ, оборудуется обратным клапаном или другим соответствующим устройством. Гибкие соединения, нестационарные соединительные шланги и средства для соединения перед использованием промываются потоком соответствующего газа.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 Шланги, используемые для наполнения резервуаров и цистерн, оборудуются средствами для соединения, специально предназначенными для данной продукции. Использование адаптеров, позволяющих подключать резервуары и цистерны, контролируется надлежащим образом.</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21. Подача газа в резервуары, содержащие аналогичный газ такого же уровня качества, осуществляется при наличии положительных результатов испытаний качества подаваемого газа. Образец отбирается как из подаваемого газа, так и из резервуара после завершения подачи газа.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Наполнение и маркировка баллонов и переносных криогенных емкостей</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 Перед наполнением баллонов и переносных криогенных емкостей серия газа идентифицируется и контролируется в соответствии со спецификациями и разрешается для проведения наполнения.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 В случае непрерывных процессов, определение которых дано в разделе "Принцип" данного Приложения, для обеспечения соответствия газа спецификациям следует установить соответствующие точки контроля производства.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 Баллоны, переносные криогенные емкости и клапаны отвечают установленным техническим спецификациям и требованиям регистрационного досье. Они предназначаются только для одного медицинского газа или определенной смеси медицинских газов. Баллоны маркируются с использованием цветовой маркировки по соответствующим стандартам. Для обеспечения соответствующей защиты от контаминации баллоны следует оснащать клапанами удержания минимального давления с механизмами предотвращения потока в обратном направлении.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 Баллоны, переносные криогенные емкости и клапаны следует проверять перед первым использованием в производстве и следует обслуживать надлежащим образом. При использовании медицинских изделий, имеющих маркировку СЕ, техническое обслуживание осуществляется согласно инструкциям производителя.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26. Операции по проверке и техническому обслуживанию не оказывают отрицательного воздействия на качество и безопасность лекарственного препарата. Вода, используемая для испытаний баллонов гидростатическим давлением, является как минимум питьевого качества.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 Для гарантии отсутствия контаминации внутреннее состояние баллонов до установки клапана подвергаются визуальному осмотру на предмет отсутствия остатков воды или других контаминантов. Эту операцию выполняют как часть проверок и технического обслуживания. Она осуществляется в случаях:</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использования новых баллонов для медицинских газов;</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после проведения испытаний гидростатическим давлением или эквивалентным испытанием с демонтажем клапана;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каждый раз при замене клапана.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После установки клапан находится в закрытом состоянии для предотвращения любой контаминации. В случае возникновения любых сомнений относительно внутреннего состояния баллона клапан демонтируется, а баллон подвергается внутреннему осмотру для обеспечения уверенности в отсутствии контаминации.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 Производитель лекарственных препаратов несет ответственность за техническое обслуживание и ремонт баллонов, переносных криогенных емкостей и клапанов. При выполнении этих работ по контракту работы выполняются только утвержденными исполнителями по контрактам, содержащим технические условия выполнения таких работ. Для обеспечения уверенности в соблюдении соответствующих стандартов деятельность контрактных исполнителей периодически аудируется.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29. В наличии имеется система, позволяющая обеспечить прослеживаемость баллонов, переносных криогенных емкостей и клапанов.</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30. Проверки перед операцией наполнения включают:</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в случае баллонов, проверку по установленной процедуре наличия остаточного избыточного давления для каждого баллона: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если баллон оборудован клапаном удержания минимального давления, то при отсутствии сигнала, свидетельствующего о наличии остаточного избыточного давления, проводится проверка клапана; если клапан функционирует неправильно, баллон отправляется на техническое обслуживание;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если баллон не оборудован клапаном удержания минимального давления и в баллоне не обнаружено остаточного избыточного давления, такой баллон отправляется для проведения дополнительных испытаний с целью проверки отсутствия контаминации водой или другими веществами; дополнительные меры включают визуальный осмотр внутреннего состояния баллона, который проводится после очистки с использованием валидированного метода;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проверку для гарантии того, что идентификационные этикетки предыдущей серии отсутствуют;</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проверку того, что все поврежденные идентификационные этикетки продукта удалены и заменены;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внешний визуальный осмотр каждого баллона, переносной криогенной емкости и клапана с целью выявления раковин, сварочных прожигов, других повреждений и контаминации маслами, при необходимости проведение очистки;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проверку соединения патрубка каждого баллона или переносной криогенной емкости на соответствие типу соединения для наполняемого газа;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 проверку даты следующего испытания клапана (для клапанов, подлежащих периодической проверке);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 проверку баллонов или переносных криогенных емкостей для обеспечения гарантии проведения всех необходимых испытаний (например, проверку гидростатическим давлением или эквивалентным испытанием), требуемых соответствующими нормативными правовыми актами, и проверку действительности результатов этих испытаний;</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 проверку цветовой маркировки каждого баллона в соответствии с регистрационным досье (цветовая кодировка согласно соответствующим нормативным правовым актам).</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31. Размер серии определяется в зависимости от операции наполнения.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32. Баллоны, возвращаемые на повторную заправку, тщательно подготавливаются с целью минимизации риска контаминации согласно требованиям регистрационного досье. Методики, включающие процедуры откачивания и (или) продувки, валидируются. Для сжатых газов теоретическое содержание примеси при давлении наполнения 200 бар составляет не более 500 объемных частей на миллион при 15ҮC. Для других давлений определяются эквивалентные значения.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 С целью минимизации риска контаминации переносные криогенные емкости, возвращаемые на повторную заправку, тщательно подготавливаются согласно процедурам, описанным в регистрационном досье. Переносные емкости, в которых отсутствует остаточное давление, подготавливаются с использованием валидированного метода.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34. Для обеспечения гарантии правильного наполнения каждого баллона, переносной криогенной емкости следует проводить соответствующие проверки.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 Каждый наполненный баллон до установки устройства контроля первого вскрытия как указано в пункте 36 данного Приложения контролируется с использованием соответствующего метода на отсутствие утечки. Используемый метод контроля не приводит к контаминации поверхности патрубка клапана баллона, и, по возможности, такой контроль осуществляется после отбора всех образцов для контроля качества.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 После наполнения патрубки клапанов баллонов закрываются колпачками для защиты от контаминации. На баллоны и переносные криогенные емкости устанавливаются устройства контроля первого вскрытия.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 Каждый баллон или переносная криогенная емкость маркируются с помощью этикеток. Номер серии и срок годности могут быть указаны на отдельной этикетке.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38. При производстве медицинских газов путем смешивания двух или более различных газов (в линии для наполнения либо непосредственно в баллонах) используется валидированный метод смешивания, который гарантирует, что газы должным образом смешаны в каждом баллоне и гомогенность смеси обеспечена.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Контроль качества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39. Каждая серия медицинского газа: баллоны, переносные криогенные емкости, резервуары в медицинских организациях - контролируется в соответствии с регистрационным досье и получает разрешение Уполномоченного лица на выпуск.</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40. План отбора проб и объем проводимых испытаний отвечают следующим требованиям в отношении баллонов, если в регистрационном досье не установлено иное: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если только один медицинский газ наполняется в баллоны с использованием коллектора, к которому одновременно подсоединяются несколько баллонов, газ контролируется, как минимум, из одного баллона для установления подлинности и количественного определения; образцы отбираются от каждого цикла наполнения при замене баллонов, подключенных к коллектору;</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если только один медицинский газ наполняется в баллоны в рамках одного производственного цикла в один промежуток времени, то, по крайней мере, один баллон при каждом непрерывном цикле наполнения проверяется на подлинность и количественное содержание. Примером непрерывного цикла наполнения является производство в течение одной смены одним и тем же персоналом с использованием одного оборудования и одной серии газа, который расфасовывался;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если медицинский газ готовится путем смешивания в баллоне двух или более различных газов из одного и того же распределительного коллектора, то газ из каждого баллона контролируется на подлинность и количественное содержание всех компонентов газовой смеси. В отношении вспомогательных веществ, при их наличии, испытание на подлинность выполняется для одного баллона из цикла наполнения или для каждого непрерывного цикла наполнения. Меньшее количество баллонов может подвергаться испытаниям в случае использования валидированных автоматизированных систем наполнения;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в отношении газов, смешивание которых происходит до наполнения, следует соблюдать те же принципы, что и в отношении наполнения одним газом, когда на линии осуществляется непрерывный контроль смеси газов, используемых для наполнения.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отношении газов, смешивание которых происходит до стадии наполнения, следует придерживаться тех же принципов, как и для газов, смешивание которых проводится в баллонах, при отсутствии на линии непрерывного контроля смеси газов, используемых для наполнения.</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Выполняются испытания на содержание воды, если не установлено иное.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Возможно использование других методик отбора образцов и испытаний при наличии, как минимум, такого же уровня обеспечения качества.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41. Завершающие испытания переносных криогенных емкостей включают испытания на подлинность и количественное определение в каждой емкости, если иное не предусмотрено в регистрационном досье. Выборочный посерийный контроль может использоваться только в случае, если было продемонстрировано, что перед повторным наполнением критические характеристики остаточного газа в каждой емкости остались без изменений.</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42. Не требуется проведение отбора образцов после повторного наполнения криогенных емкостей потребителей в месте использования: резервуары в медицинских организациях или переносные криогенные емкости из специально предназначенных цистерн при наличии документа, подтверждающего качество содержимого цистерны, сопровождающего поставку. Однако при этом после последовательных повторных наполнений следует продемонстрировать, что качество газа в емкостях поддерживается на установленном уровне.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43. Не требуется сохранять контрольные и архивные образцы серий продукции, если это не предусмотрено документацией.</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44. Не требуется проведение продолжающегося изучения стабильности, если первичное изучение стабильности было заменено библиографическими данными.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Транспортирование газов</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45. Наполненные газовые баллоны и переносные криогенные емкости защищаются во время транспортирования, в частности, доставляются заказчикам в чистом состоянии, соответствующем условиям их дальнейшего использования.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Термины и определения</w:t>
                  </w:r>
                  <w:r>
                    <w:rPr>
                      <w:rFonts w:ascii="Times New Roman"/>
                      <w:b w:val="false"/>
                      <w:i w:val="false"/>
                      <w:color w:val="000000"/>
                      <w:sz w:val="20"/>
                    </w:rPr>
                    <w:t>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Амбулаторный криогенный сосуд - переносной термически изолированный контейнер, сконструированный для хранения сжиженного кислорода и использования газообразного кислорода на дому у пациента.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Баллон - контейнер обычно цилиндрической формы, приспособленный для сжатого, сжиженного или растворенного газа, оснащенный приспособлением для регулировки спонтанного вытекания газа при атмосферном давлении и комнатной температуре.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Газ - вещество или смесь веществ, которые при давлении 1,013 бар и температуре +20</w:t>
                  </w:r>
                  <w:r>
                    <w:rPr>
                      <w:rFonts w:ascii="Times New Roman"/>
                      <w:b w:val="false"/>
                      <w:i w:val="false"/>
                      <w:color w:val="000000"/>
                      <w:vertAlign w:val="superscript"/>
                    </w:rPr>
                    <w:t>0</w:t>
                  </w:r>
                  <w:r>
                    <w:rPr>
                      <w:rFonts w:ascii="Times New Roman"/>
                      <w:b w:val="false"/>
                      <w:i w:val="false"/>
                      <w:color w:val="000000"/>
                      <w:sz w:val="20"/>
                    </w:rPr>
                    <w:t>С находятся полностью в газообразном состоянии или при +50</w:t>
                  </w:r>
                  <w:r>
                    <w:rPr>
                      <w:rFonts w:ascii="Times New Roman"/>
                      <w:b w:val="false"/>
                      <w:i w:val="false"/>
                      <w:color w:val="000000"/>
                      <w:vertAlign w:val="superscript"/>
                    </w:rPr>
                    <w:t>0</w:t>
                  </w:r>
                  <w:r>
                    <w:rPr>
                      <w:rFonts w:ascii="Times New Roman"/>
                      <w:b w:val="false"/>
                      <w:i w:val="false"/>
                      <w:color w:val="000000"/>
                      <w:sz w:val="20"/>
                    </w:rPr>
                    <w:t>С давление их паров превышает 3 бар.</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Газ как активная фармацевтическая субстанция - газ, предназначенный для использования в качестве активной фармацевтической субстанции для производства лекарственного препарата.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Группа или связка баллонов - собранные и закрепленные вместе баллоны, подключенные через распределительный коллектор и транспортируемые и используемые как единое целое.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Испытание гидростатическим давлением - испытание, проводимое с целью обеспечения безопасности в соответствии с требованиями норм для проверки того, что баллоны или резервуары выдерживают запланированные высокие давления.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Клапан - устройство для открывания и закрывания контейнера.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Клапан удержания остаточного давления - клапан, установленный на баллоне и поддерживающий в использованном баллоне давление выше атмосферного с целью предотвращения контаминации внутреннего объема баллона.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Контейнер - криогенный сосуд, бак, цистерна, мобильная криогенная емкость другого типа, баллон, связка баллонов или любая другая упаковка, которая находится в непосредственном контакте с медицинским газом.</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Криогенный газ - газ, который при давлении 1,013 бар сжижается при температуре ниже минус 150</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Максимальный теоретический остаточный уровень примеси - газообразная примесь от возможного обратного потока газов, оставшаяся после предварительной обработки баллонов перед их наполнением. Расчет максимального теоретического уровня примеси имеет значение только для сжатых газов в предположении, что эти газы ведут себя как идеальные.</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Медицинский газ - любой газ или смесь газов, являющиеся лекарственными препаратами.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Обратный клапан - клапан, который позволяет потоку проходить только в одном направлении.</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Откачивать - удалять остаточный газ из контейнера/системы с помощью вакуума до давления меньше чем 1,013 бар.</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Переносной криогенный сосуд - переносной термически изолированный контейнер, сконструированный для хранения в нем веществ в жидком состоянии. В контексте данного Приложения этот термин не включает понятие "цистерна".</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Продувка - удаление остаточного газа из контейнера или системы путем первоначального нагнетания давления с помощью используемого газа с последующим сбросом давления газа до 1,013 бар. </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Разделение воздуха - разделение атмосферного воздуха на составляющие его газы путем фракционной дистилляции при криогенных температурах.</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Распределительный коллектор - оборудование или устройство, сконструированные для одновременного опорожнения или наполнения газом одного или более контейнеров.</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Резервуар - стационарный термически изолированный контейнер для хранения сжиженного или криогенного газа, также называемый "стационарный криогенный сосуд".</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Сброс давления - операция по удалению остаточного газа из контейнера или системы до величины остаточного давления 1,013 бар путем соединения контейнера или системы с атмосферным воздухом.</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Сжатый газ - газ, расфасованный под давлением с целью транспортирования, который остается полностью в газообразном состоянии при температуре выше минус 50</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Сжиженный газ - газ, расфасованный с целью транспортирования, который остается частично жидким или твердым при температуре выше минус 50</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76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Цистерна – в контексте данного Приложения – термически изолированный контейнер, установленный на транспортное средство для перевозки сжиженного или криогенного газа.</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ПРОИЗВОДСТВО ЛЕКАРСТВЕННЫХ РАСТИТЕЛЬНЫХ ПРЕПАРАТОВ</w:t>
                  </w:r>
                </w:p>
              </w:tc>
            </w:tr>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Принцип</w:t>
                  </w:r>
                </w:p>
              </w:tc>
            </w:tr>
          </w:tbl>
          <w:p/>
          <w:p>
            <w:pPr>
              <w:spacing w:after="20"/>
              <w:ind w:left="20"/>
              <w:jc w:val="both"/>
            </w:pPr>
            <w:r>
              <w:rPr>
                <w:rFonts w:ascii="Times New Roman"/>
                <w:b w:val="false"/>
                <w:i w:val="false"/>
                <w:color w:val="000000"/>
                <w:sz w:val="20"/>
              </w:rPr>
              <w:t>
   Лекарственные растительные препараты имеют сложную природу и разнообразные характеристики, в связи с чем при их производстве особую роль играет контроль исходных материалов, условий хранения и переработки.</w:t>
            </w:r>
          </w:p>
          <w:p>
            <w:pPr>
              <w:spacing w:after="20"/>
              <w:ind w:left="20"/>
              <w:jc w:val="both"/>
            </w:pPr>
            <w:r>
              <w:rPr>
                <w:rFonts w:ascii="Times New Roman"/>
                <w:b w:val="false"/>
                <w:i w:val="false"/>
                <w:color w:val="000000"/>
                <w:sz w:val="20"/>
              </w:rPr>
              <w:t>
   Исходными материалами при производстве лекарственных растительных препаратов могут быть необработанные растения, растительное сырье или промежуточные продукты. Растительное сырье имеет требуемое качество, а подтверждающие это данные предоставляются производителю лекарственного растительного препарата. Для обеспечения постоянного качества растительного сырья может потребоваться более подробная информация о способе его получения (выращивания). Отбор семян, условия культивирования и сбора урожая являются важными аспектами качества растительного сырья и могут влиять на постоянство качества готового лекарственного препарата. Рекомендации в отношении соответствующей системы обеспечения качества по правилам надлежащего выращивания и сбора растений приведены в документе HMPC (The Committee on Herbal Medicinal Products – Комитет по растительным лекарственным препаратам Европейского агентства по лекарственным средствам) "Guideline on Good Agricultural and Collection Practice for starting materials of herbal origin" ("Руководство по правилам надлежащего выращивания и сбора исходного сырья растительного происхождения")</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Данное Приложение распространяется на все исходные материалы растительного происхождения: лекарственные растения, растительное сырье и промежуточные продукты из растительного сырья.</w:t>
            </w:r>
          </w:p>
          <w:p>
            <w:pPr>
              <w:spacing w:after="20"/>
              <w:ind w:left="20"/>
              <w:jc w:val="both"/>
            </w:pPr>
            <w:r>
              <w:rPr>
                <w:rFonts w:ascii="Times New Roman"/>
                <w:b w:val="false"/>
                <w:i w:val="false"/>
                <w:color w:val="000000"/>
                <w:sz w:val="20"/>
              </w:rPr>
              <w:t>
   Иллюстрация применения различных правил, в том числе настоящего Стандарта к производству лекарственных растительных препаратов, приведена в таблице. </w:t>
            </w:r>
          </w:p>
          <w:p>
            <w:pPr>
              <w:spacing w:after="20"/>
              <w:ind w:left="20"/>
              <w:jc w:val="both"/>
            </w:pPr>
            <w:r>
              <w:rPr>
                <w:rFonts w:ascii="Times New Roman"/>
                <w:b w:val="false"/>
                <w:i w:val="false"/>
                <w:color w:val="000000"/>
                <w:sz w:val="20"/>
              </w:rPr>
              <w:t>
   Таблица, иллюстрирующая применение различных правил к производству лекарственных растительных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4"/>
              <w:gridCol w:w="5011"/>
              <w:gridCol w:w="1460"/>
              <w:gridCol w:w="1065"/>
            </w:tblGrid>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Виды работ</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Правила</w:t>
                  </w:r>
                </w:p>
                <w:p>
                  <w:pPr>
                    <w:spacing w:after="20"/>
                    <w:ind w:left="20"/>
                    <w:jc w:val="both"/>
                  </w:pPr>
                  <w:r>
                    <w:rPr>
                      <w:rFonts w:ascii="Times New Roman"/>
                      <w:b w:val="false"/>
                      <w:i w:val="false"/>
                      <w:color w:val="000000"/>
                      <w:sz w:val="20"/>
                    </w:rPr>
                    <w:t>
</w:t>
                  </w:r>
                  <w:r>
                    <w:rPr>
                      <w:rFonts w:ascii="Times New Roman"/>
                      <w:b/>
                      <w:i w:val="false"/>
                      <w:color w:val="000000"/>
                      <w:sz w:val="20"/>
                    </w:rPr>
                    <w:t>надлежащего выращивания и сбора (GACP)</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II</w:t>
                  </w:r>
                </w:p>
                <w:p>
                  <w:pPr>
                    <w:spacing w:after="20"/>
                    <w:ind w:left="20"/>
                    <w:jc w:val="both"/>
                  </w:pPr>
                  <w:r>
                    <w:rPr>
                      <w:rFonts w:ascii="Times New Roman"/>
                      <w:b w:val="false"/>
                      <w:i w:val="false"/>
                      <w:color w:val="000000"/>
                      <w:sz w:val="20"/>
                    </w:rPr>
                    <w:t>
</w:t>
                  </w:r>
                  <w:r>
                    <w:rPr>
                      <w:rFonts w:ascii="Times New Roman"/>
                      <w:b/>
                      <w:i w:val="false"/>
                      <w:color w:val="000000"/>
                      <w:sz w:val="20"/>
                    </w:rPr>
                    <w:t>настоящего Стандарта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I</w:t>
                  </w:r>
                </w:p>
                <w:p>
                  <w:pPr>
                    <w:spacing w:after="20"/>
                    <w:ind w:left="20"/>
                    <w:jc w:val="both"/>
                  </w:pPr>
                  <w:r>
                    <w:rPr>
                      <w:rFonts w:ascii="Times New Roman"/>
                      <w:b w:val="false"/>
                      <w:i w:val="false"/>
                      <w:color w:val="000000"/>
                      <w:sz w:val="20"/>
                    </w:rPr>
                    <w:t>
</w:t>
                  </w:r>
                  <w:r>
                    <w:rPr>
                      <w:rFonts w:ascii="Times New Roman"/>
                      <w:b/>
                      <w:i w:val="false"/>
                      <w:color w:val="000000"/>
                      <w:sz w:val="20"/>
                    </w:rPr>
                    <w:t>Настоящего Стандарта</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 и сбор растений, водорослей, грибов и лишайников, сбор экссудатов (выделений)</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и сушка растений, водорослей, грибов, лишайников и экссудатов (выделений)*</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 растений и перегонка**</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обработка экссудатов, экстракция из растений, фракционирование, очистка, концентрирование или ферментация растительных субстанций</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Дальнейшая обработка для получения лекарственной формы, включая упаковку лекарственного препарата</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p>
                <w:p>
                  <w:pPr>
                    <w:spacing w:after="20"/>
                    <w:ind w:left="20"/>
                    <w:jc w:val="both"/>
                  </w:pPr>
                  <w:r>
                    <w:rPr>
                      <w:rFonts w:ascii="Times New Roman"/>
                      <w:b w:val="false"/>
                      <w:i w:val="false"/>
                      <w:color w:val="000000"/>
                      <w:sz w:val="20"/>
                    </w:rPr>
                    <w:t>
   * Производители гарантируют, что данные стадии осуществляются в соответствии с установленными требованиями. Для начальных стадий применимы стандарты надлежащей практики выращивания и сбора для исходных материалов растительного происхождения (далее - GACP). Настоящий Стандарт применяется к производственным стадиям резки и сушки.</w:t>
                  </w:r>
                </w:p>
                <w:p>
                  <w:pPr>
                    <w:spacing w:after="20"/>
                    <w:ind w:left="20"/>
                    <w:jc w:val="both"/>
                  </w:pPr>
                  <w:r>
                    <w:rPr>
                      <w:rFonts w:ascii="Times New Roman"/>
                      <w:b w:val="false"/>
                      <w:i w:val="false"/>
                      <w:color w:val="000000"/>
                      <w:sz w:val="20"/>
                    </w:rPr>
                    <w:t>
   ** В отношении стадий отжима растений и перегонки, если необходимо, чтобы эти работы составляли неотъемлемую часть операций заготовки с целью сохранения качества продукции в рамках утвержденных спецификаций, считается приемлемым их проведение в условиях заготовки, если культивирование осуществляется в соответствии с GACP. Такие условия рассматривают как исключение и обосновывают в документах регистрационного досье. Для таких работ, осуществляемых в условиях заготовки, необходимо обеспечить ведение соответствующей документации, контроль и валидацию согласно принципам настоящего Стандарта. Надзорные органы проводят инспектирование таких работ с целью оценки соответствия настоящему Стандарту.</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Помещения и оборудование</w:t>
            </w:r>
          </w:p>
          <w:p>
            <w:pPr>
              <w:spacing w:after="20"/>
              <w:ind w:left="20"/>
              <w:jc w:val="both"/>
            </w:pPr>
            <w:r>
              <w:rPr>
                <w:rFonts w:ascii="Times New Roman"/>
                <w:b w:val="false"/>
                <w:i w:val="false"/>
                <w:color w:val="000000"/>
                <w:sz w:val="20"/>
              </w:rPr>
              <w:t>
</w:t>
            </w:r>
            <w:r>
              <w:rPr>
                <w:rFonts w:ascii="Times New Roman"/>
                <w:b/>
                <w:i w:val="false"/>
                <w:color w:val="000000"/>
                <w:sz w:val="20"/>
              </w:rPr>
              <w:t>Зоны хранения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1. Растительное сырье хранят в отдельных зонах. Эти зоны защищаюттся от проникновения в них насекомых и животных, особенно грызунов. Принимаются эффективные меры по предотвращению распространения любых таких животных и микроорганизмов, привносимых с растительным сырьем, для предотвращения ферментации или роста плесени, а также перекрестной контаминации. Следует использовать выделенные зоны для карантина поступающего растительного сырья и растительного сырья, разрешенного для использования.</w:t>
            </w:r>
          </w:p>
          <w:p>
            <w:pPr>
              <w:spacing w:after="20"/>
              <w:ind w:left="20"/>
              <w:jc w:val="both"/>
            </w:pPr>
            <w:r>
              <w:rPr>
                <w:rFonts w:ascii="Times New Roman"/>
                <w:b w:val="false"/>
                <w:i w:val="false"/>
                <w:color w:val="000000"/>
                <w:sz w:val="20"/>
              </w:rPr>
              <w:t xml:space="preserve">
   2. Зона хранения хорошо вентилируется. Порядок размещения упаковок не препятствует свободной циркуляции воздуха. </w:t>
            </w:r>
          </w:p>
          <w:p>
            <w:pPr>
              <w:spacing w:after="20"/>
              <w:ind w:left="20"/>
              <w:jc w:val="both"/>
            </w:pPr>
            <w:r>
              <w:rPr>
                <w:rFonts w:ascii="Times New Roman"/>
                <w:b w:val="false"/>
                <w:i w:val="false"/>
                <w:color w:val="000000"/>
                <w:sz w:val="20"/>
              </w:rPr>
              <w:t xml:space="preserve">
   3. Особое внимание следует уделять чистоте и надлежащему обслуживанию зон хранения, особенно там, где образуется пыль. </w:t>
            </w:r>
          </w:p>
          <w:p>
            <w:pPr>
              <w:spacing w:after="20"/>
              <w:ind w:left="20"/>
              <w:jc w:val="both"/>
            </w:pPr>
            <w:r>
              <w:rPr>
                <w:rFonts w:ascii="Times New Roman"/>
                <w:b w:val="false"/>
                <w:i w:val="false"/>
                <w:color w:val="000000"/>
                <w:sz w:val="20"/>
              </w:rPr>
              <w:t>
   4. Для хранения исходных материалов и растительных препаратов могут требоваться особые условия в отношении влажности, температуры и защиты от света; такие условия следует обеспечивать и контролировать.  </w:t>
            </w:r>
          </w:p>
          <w:p>
            <w:pPr>
              <w:spacing w:after="20"/>
              <w:ind w:left="20"/>
              <w:jc w:val="both"/>
            </w:pPr>
            <w:r>
              <w:rPr>
                <w:rFonts w:ascii="Times New Roman"/>
                <w:b w:val="false"/>
                <w:i w:val="false"/>
                <w:color w:val="000000"/>
                <w:sz w:val="20"/>
              </w:rPr>
              <w:t>
   </w:t>
            </w:r>
            <w:r>
              <w:rPr>
                <w:rFonts w:ascii="Times New Roman"/>
                <w:b/>
                <w:i w:val="false"/>
                <w:color w:val="000000"/>
                <w:sz w:val="20"/>
              </w:rPr>
              <w:t>Производственная зона</w:t>
            </w:r>
            <w:r>
              <w:rPr>
                <w:rFonts w:ascii="Times New Roman"/>
                <w:b w:val="false"/>
                <w:i w:val="false"/>
                <w:color w:val="000000"/>
                <w:sz w:val="20"/>
              </w:rPr>
              <w:t> </w:t>
            </w:r>
          </w:p>
          <w:p>
            <w:pPr>
              <w:spacing w:after="20"/>
              <w:ind w:left="20"/>
              <w:jc w:val="both"/>
            </w:pPr>
            <w:r>
              <w:rPr>
                <w:rFonts w:ascii="Times New Roman"/>
                <w:b w:val="false"/>
                <w:i w:val="false"/>
                <w:color w:val="000000"/>
                <w:sz w:val="20"/>
              </w:rPr>
              <w:t>
   5. При отборе проб, взвешивании, смешивании и других технологических операциях с растительным сырьем и промежуточным продуктом, сопровождающихся пылеобразованием, следует принимать особые меры по поддержанию чистоты, а также по предотвращению перекрестного загрязнения (удаление пыли, выделение специальных помещений и т.п.). </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Документация</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Спецификации на исходное сырье</w:t>
            </w:r>
            <w:r>
              <w:rPr>
                <w:rFonts w:ascii="Times New Roman"/>
                <w:b w:val="false"/>
                <w:i w:val="false"/>
                <w:color w:val="000000"/>
                <w:sz w:val="20"/>
              </w:rPr>
              <w:t> </w:t>
            </w:r>
          </w:p>
          <w:p>
            <w:pPr>
              <w:spacing w:after="20"/>
              <w:ind w:left="20"/>
              <w:jc w:val="both"/>
            </w:pPr>
            <w:r>
              <w:rPr>
                <w:rFonts w:ascii="Times New Roman"/>
                <w:b w:val="false"/>
                <w:i w:val="false"/>
                <w:color w:val="000000"/>
                <w:sz w:val="20"/>
              </w:rPr>
              <w:t>
   7. Производители лекарственных растительных препаратов убеждаются в том, что они используют только те исходные материалы растительного происхождения, которые произведены в соответствии с настоящим Стандартом и регистрационным досье (в соответствии с таблицей данного приложения). Следует иметь в наличии исчерпывающую документацию касательно аудитов поставщиков исходных материалов растительного происхождения, проведенных либо самим производителем лекарственного растительного препарата, либо по его поручению. Результаты аудитов в отношении растительного сырья являются основополагающими для качества исходных материалов. Производитель убеждается в том, что поставщики растительного сырья/препарата работают в соответствии с правилами надлежащего выращивания и сбора растений (GACP).</w:t>
            </w:r>
          </w:p>
          <w:p>
            <w:pPr>
              <w:spacing w:after="20"/>
              <w:ind w:left="20"/>
              <w:jc w:val="both"/>
            </w:pPr>
            <w:r>
              <w:rPr>
                <w:rFonts w:ascii="Times New Roman"/>
                <w:b w:val="false"/>
                <w:i w:val="false"/>
                <w:color w:val="000000"/>
                <w:sz w:val="20"/>
              </w:rPr>
              <w:t>
   8. Чтобы соответствовать требованиям, установленным в части I - главе 4 - настоящего Стандарта, в спецификации на растительное сырье/препараты, следует включать:</w:t>
            </w:r>
          </w:p>
          <w:p>
            <w:pPr>
              <w:spacing w:after="20"/>
              <w:ind w:left="20"/>
              <w:jc w:val="both"/>
            </w:pPr>
            <w:r>
              <w:rPr>
                <w:rFonts w:ascii="Times New Roman"/>
                <w:b w:val="false"/>
                <w:i w:val="false"/>
                <w:color w:val="000000"/>
                <w:sz w:val="20"/>
              </w:rPr>
              <w:t>
   научное название растения в соответствии с бинарной системой (род, виды, подвиды/разновидности, а также автора (например, Линней); при необходимости также следует представить другую соответствующую информацию, такую как название сорта и хемотипическую разновидность;</w:t>
            </w:r>
          </w:p>
          <w:p>
            <w:pPr>
              <w:spacing w:after="20"/>
              <w:ind w:left="20"/>
              <w:jc w:val="both"/>
            </w:pPr>
            <w:r>
              <w:rPr>
                <w:rFonts w:ascii="Times New Roman"/>
                <w:b w:val="false"/>
                <w:i w:val="false"/>
                <w:color w:val="000000"/>
                <w:sz w:val="20"/>
              </w:rPr>
              <w:t xml:space="preserve">
   подробные данные о происхождении растения (страна или регион произрастания либо культивирования, время и способ заготовки, вероятно использованные пестициды, возможное радиоактивное загрязнение и т.д.); </w:t>
            </w:r>
          </w:p>
          <w:p>
            <w:pPr>
              <w:spacing w:after="20"/>
              <w:ind w:left="20"/>
              <w:jc w:val="both"/>
            </w:pPr>
            <w:r>
              <w:rPr>
                <w:rFonts w:ascii="Times New Roman"/>
                <w:b w:val="false"/>
                <w:i w:val="false"/>
                <w:color w:val="000000"/>
                <w:sz w:val="20"/>
              </w:rPr>
              <w:t xml:space="preserve">
   сведения о том, какая(ие) часть(и) растения используется(ются); </w:t>
            </w:r>
          </w:p>
          <w:p>
            <w:pPr>
              <w:spacing w:after="20"/>
              <w:ind w:left="20"/>
              <w:jc w:val="both"/>
            </w:pPr>
            <w:r>
              <w:rPr>
                <w:rFonts w:ascii="Times New Roman"/>
                <w:b w:val="false"/>
                <w:i w:val="false"/>
                <w:color w:val="000000"/>
                <w:sz w:val="20"/>
              </w:rPr>
              <w:t xml:space="preserve">
   информацию о способе сушки, если используют высушенные растения; </w:t>
            </w:r>
          </w:p>
          <w:p>
            <w:pPr>
              <w:spacing w:after="20"/>
              <w:ind w:left="20"/>
              <w:jc w:val="both"/>
            </w:pPr>
            <w:r>
              <w:rPr>
                <w:rFonts w:ascii="Times New Roman"/>
                <w:b w:val="false"/>
                <w:i w:val="false"/>
                <w:color w:val="000000"/>
                <w:sz w:val="20"/>
              </w:rPr>
              <w:t>
   описание растительного сырья, а также данные его макро- и микроскопического исследований;</w:t>
            </w:r>
          </w:p>
          <w:p>
            <w:pPr>
              <w:spacing w:after="20"/>
              <w:ind w:left="20"/>
              <w:jc w:val="both"/>
            </w:pPr>
            <w:r>
              <w:rPr>
                <w:rFonts w:ascii="Times New Roman"/>
                <w:b w:val="false"/>
                <w:i w:val="false"/>
                <w:color w:val="000000"/>
                <w:sz w:val="20"/>
              </w:rPr>
              <w:t>
   данные о необходимых испытаниях на подлинность, включая при необходимости испытания на подлинность для ингредиентов с известной терапевтической активностью или маркеров. Если растительное сырье фальсифицируется или подменяется, то необходимы специфичные дифференцирующие испытания. Для определения подлинности в распоряжении имеется аутентичный образец для сравнения;</w:t>
            </w:r>
          </w:p>
          <w:p>
            <w:pPr>
              <w:spacing w:after="20"/>
              <w:ind w:left="20"/>
              <w:jc w:val="both"/>
            </w:pPr>
            <w:r>
              <w:rPr>
                <w:rFonts w:ascii="Times New Roman"/>
                <w:b w:val="false"/>
                <w:i w:val="false"/>
                <w:color w:val="000000"/>
                <w:sz w:val="20"/>
              </w:rPr>
              <w:t>
   содержание влаги в растительном сырье, определяемое в соответствии с фармакопейными требованиями;</w:t>
            </w:r>
          </w:p>
          <w:p>
            <w:pPr>
              <w:spacing w:after="20"/>
              <w:ind w:left="20"/>
              <w:jc w:val="both"/>
            </w:pPr>
            <w:r>
              <w:rPr>
                <w:rFonts w:ascii="Times New Roman"/>
                <w:b w:val="false"/>
                <w:i w:val="false"/>
                <w:color w:val="000000"/>
                <w:sz w:val="20"/>
              </w:rPr>
              <w:t>
   методики количественного определения компонентов с известной терапевтической активностью или, если необходимо, маркеров; методы, пригодные для определения возможной контаминации пестицидами и пределы приемлемости в соответствии с фармакопейными требованиями, или, при отсутствии фармакопейных требований, соответствующий валидированный метод, если не обосновано иное;</w:t>
            </w:r>
          </w:p>
          <w:p>
            <w:pPr>
              <w:spacing w:after="20"/>
              <w:ind w:left="20"/>
              <w:jc w:val="both"/>
            </w:pPr>
            <w:r>
              <w:rPr>
                <w:rFonts w:ascii="Times New Roman"/>
                <w:b w:val="false"/>
                <w:i w:val="false"/>
                <w:color w:val="000000"/>
                <w:sz w:val="20"/>
              </w:rPr>
              <w:t>
   методики испытаний по определению грибковой и (или) микробной контаминации, включая афлатоксины, другие микотоксины и инвазию паразитами, а также допустимые пределы, если необходимо;</w:t>
            </w:r>
          </w:p>
          <w:p>
            <w:pPr>
              <w:spacing w:after="20"/>
              <w:ind w:left="20"/>
              <w:jc w:val="both"/>
            </w:pPr>
            <w:r>
              <w:rPr>
                <w:rFonts w:ascii="Times New Roman"/>
                <w:b w:val="false"/>
                <w:i w:val="false"/>
                <w:color w:val="000000"/>
                <w:sz w:val="20"/>
              </w:rPr>
              <w:t xml:space="preserve">
   методики испытаний на наличие токсичных металлов, а также на возможные контаминанты и примеси, если необходимо; </w:t>
            </w:r>
          </w:p>
          <w:p>
            <w:pPr>
              <w:spacing w:after="20"/>
              <w:ind w:left="20"/>
              <w:jc w:val="both"/>
            </w:pPr>
            <w:r>
              <w:rPr>
                <w:rFonts w:ascii="Times New Roman"/>
                <w:b w:val="false"/>
                <w:i w:val="false"/>
                <w:color w:val="000000"/>
                <w:sz w:val="20"/>
              </w:rPr>
              <w:t>
   методики испытаний на наличие инородных материалов, если необходимо;</w:t>
            </w:r>
          </w:p>
          <w:p>
            <w:pPr>
              <w:spacing w:after="20"/>
              <w:ind w:left="20"/>
              <w:jc w:val="both"/>
            </w:pPr>
            <w:r>
              <w:rPr>
                <w:rFonts w:ascii="Times New Roman"/>
                <w:b w:val="false"/>
                <w:i w:val="false"/>
                <w:color w:val="000000"/>
                <w:sz w:val="20"/>
              </w:rPr>
              <w:t>
   другие виды контроля в соответствии с фармакопейными требованиями.</w:t>
            </w:r>
          </w:p>
          <w:p>
            <w:pPr>
              <w:spacing w:after="20"/>
              <w:ind w:left="20"/>
              <w:jc w:val="both"/>
            </w:pPr>
            <w:r>
              <w:rPr>
                <w:rFonts w:ascii="Times New Roman"/>
                <w:b w:val="false"/>
                <w:i w:val="false"/>
                <w:color w:val="000000"/>
                <w:sz w:val="20"/>
              </w:rPr>
              <w:t>
   Любую проведенную обработку для снижения грибковой/микробной контаминации или другой инвазии следует оформлять документально. Необходимо иметь в распоряжении спецификации и методики, которые включают подробные сведения о процессе обработки и испытаниях, а также предельные значения остаточной контаминации.  </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Технологические инструкции</w:t>
            </w:r>
            <w:r>
              <w:rPr>
                <w:rFonts w:ascii="Times New Roman"/>
                <w:b w:val="false"/>
                <w:i w:val="false"/>
                <w:color w:val="000000"/>
                <w:sz w:val="20"/>
              </w:rPr>
              <w:t> </w:t>
            </w:r>
          </w:p>
          <w:p>
            <w:pPr>
              <w:spacing w:after="20"/>
              <w:ind w:left="20"/>
              <w:jc w:val="both"/>
            </w:pPr>
            <w:r>
              <w:rPr>
                <w:rFonts w:ascii="Times New Roman"/>
                <w:b w:val="false"/>
                <w:i w:val="false"/>
                <w:color w:val="000000"/>
                <w:sz w:val="20"/>
              </w:rPr>
              <w:t>
   9. В технологических инструкциях описываются различные операции, осуществляемые с растительным сырьем, такие как очистка, сушка, измельчение и просеивание, а также данные о продолжительности и температуре сушки и методах, используемых для контроля размеров фрагментов кусочков или частиц.</w:t>
            </w:r>
          </w:p>
          <w:p>
            <w:pPr>
              <w:spacing w:after="20"/>
              <w:ind w:left="20"/>
              <w:jc w:val="both"/>
            </w:pPr>
            <w:r>
              <w:rPr>
                <w:rFonts w:ascii="Times New Roman"/>
                <w:b w:val="false"/>
                <w:i w:val="false"/>
                <w:color w:val="000000"/>
                <w:sz w:val="20"/>
              </w:rPr>
              <w:t>
   10. Разрабатываются письменные инструкции и ведутся записи, которые гарантируют, что каждая тара с растительным сырьем проверена с целью обнаружения какой-либо фальсификации или подмены, наличия посторонних материалов, таких как фрагменты металла, стекла, остатки животных, их экскременты, камни, песок; признаков гниения.</w:t>
            </w:r>
          </w:p>
          <w:p>
            <w:pPr>
              <w:spacing w:after="20"/>
              <w:ind w:left="20"/>
              <w:jc w:val="both"/>
            </w:pPr>
            <w:r>
              <w:rPr>
                <w:rFonts w:ascii="Times New Roman"/>
                <w:b w:val="false"/>
                <w:i w:val="false"/>
                <w:color w:val="000000"/>
                <w:sz w:val="20"/>
              </w:rPr>
              <w:t>
   11. Технологические инструкции содержат методы удаления посторонних материалов и соответствующие методики очистки или отбора материала растительного происхождения перед его хранением в качестве разрешенного растительного сырья или перед началом производства.</w:t>
            </w:r>
          </w:p>
          <w:p>
            <w:pPr>
              <w:spacing w:after="20"/>
              <w:ind w:left="20"/>
              <w:jc w:val="both"/>
            </w:pPr>
            <w:r>
              <w:rPr>
                <w:rFonts w:ascii="Times New Roman"/>
                <w:b w:val="false"/>
                <w:i w:val="false"/>
                <w:color w:val="000000"/>
                <w:sz w:val="20"/>
              </w:rPr>
              <w:t>
   12. Инструкции по производству растительных препаратов включают подробные сведения о растворителе, продолжительности и температуре экстрагирования, информацию о любых стадиях концентрирования и используемых способах.</w:t>
            </w:r>
          </w:p>
          <w:p>
            <w:pPr>
              <w:spacing w:after="20"/>
              <w:ind w:left="20"/>
              <w:jc w:val="both"/>
            </w:pPr>
            <w:r>
              <w:rPr>
                <w:rFonts w:ascii="Times New Roman"/>
                <w:b w:val="false"/>
                <w:i w:val="false"/>
                <w:color w:val="000000"/>
                <w:sz w:val="20"/>
              </w:rPr>
              <w:t>
   </w:t>
            </w:r>
            <w:r>
              <w:rPr>
                <w:rFonts w:ascii="Times New Roman"/>
                <w:b/>
                <w:i w:val="false"/>
                <w:color w:val="000000"/>
                <w:sz w:val="20"/>
              </w:rPr>
              <w:t>Контроль качества</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Отбор проб</w:t>
            </w:r>
            <w:r>
              <w:rPr>
                <w:rFonts w:ascii="Times New Roman"/>
                <w:b w:val="false"/>
                <w:i w:val="false"/>
                <w:color w:val="000000"/>
                <w:sz w:val="20"/>
              </w:rPr>
              <w:t> </w:t>
            </w:r>
          </w:p>
          <w:p>
            <w:pPr>
              <w:spacing w:after="20"/>
              <w:ind w:left="20"/>
              <w:jc w:val="both"/>
            </w:pPr>
            <w:r>
              <w:rPr>
                <w:rFonts w:ascii="Times New Roman"/>
                <w:b w:val="false"/>
                <w:i w:val="false"/>
                <w:color w:val="000000"/>
                <w:sz w:val="20"/>
              </w:rPr>
              <w:t>
   13. Поскольку растительное сырье по своей природе неоднородно, отбор проб из него осуществляет персонал, обладающий специальными навыками. Каждую серию следует идентифицировать по документации на эту серию.</w:t>
            </w:r>
          </w:p>
          <w:p>
            <w:pPr>
              <w:spacing w:after="20"/>
              <w:ind w:left="20"/>
              <w:jc w:val="both"/>
            </w:pPr>
            <w:r>
              <w:rPr>
                <w:rFonts w:ascii="Times New Roman"/>
                <w:b w:val="false"/>
                <w:i w:val="false"/>
                <w:color w:val="000000"/>
                <w:sz w:val="20"/>
              </w:rPr>
              <w:t>
   14. Следует сохранять контрольные образцы растительного сырья. При производстве порошков следует сохранять образцы неизмельченного растительного сырья.</w:t>
            </w:r>
          </w:p>
          <w:p>
            <w:pPr>
              <w:spacing w:after="20"/>
              <w:ind w:left="20"/>
              <w:jc w:val="both"/>
            </w:pPr>
            <w:r>
              <w:rPr>
                <w:rFonts w:ascii="Times New Roman"/>
                <w:b w:val="false"/>
                <w:i w:val="false"/>
                <w:color w:val="000000"/>
                <w:sz w:val="20"/>
              </w:rPr>
              <w:t>
   15. Персонал, проводящий контроль качества, имеет специальную подготовку и опыт работы с растительным сырьем, промежуточными продуктами или лекарственными растительными препаратами для проведения испытаний на подлинность и наличие примесей, выявления в полученном сырье роста грибов, заражения амбарными вредителями, выявления неоднородности сырья и т.п.</w:t>
            </w:r>
          </w:p>
          <w:p>
            <w:pPr>
              <w:spacing w:after="20"/>
              <w:ind w:left="20"/>
              <w:jc w:val="both"/>
            </w:pPr>
            <w:r>
              <w:rPr>
                <w:rFonts w:ascii="Times New Roman"/>
                <w:b w:val="false"/>
                <w:i w:val="false"/>
                <w:color w:val="000000"/>
                <w:sz w:val="20"/>
              </w:rPr>
              <w:t>
   16. Подлинность и качество растительного сырья, промежуточных продуктов и лекарственных растительных препаратов следует определять в соответствии с нормативной документацией.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8"/>
              <w:gridCol w:w="4512"/>
            </w:tblGrid>
            <w:tr>
              <w:trPr>
                <w:trHeight w:val="30" w:hRule="atLeast"/>
              </w:trPr>
              <w:tc>
                <w:tcPr>
                  <w:tcW w:w="76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2"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ОТБОР ПРОБ ИСХОДНЫХ И УПАКОВОЧНЫХ МАТЕРИАЛОВ</w:t>
                  </w:r>
                </w:p>
              </w:tc>
            </w:tr>
            <w:tr>
              <w:trPr>
                <w:trHeight w:val="30" w:hRule="atLeast"/>
              </w:trPr>
              <w:tc>
                <w:tcPr>
                  <w:tcW w:w="76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2"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Принцип</w:t>
                  </w:r>
                </w:p>
              </w:tc>
            </w:tr>
            <w:tr>
              <w:trPr>
                <w:trHeight w:val="30" w:hRule="atLeast"/>
              </w:trPr>
              <w:tc>
                <w:tcPr>
                  <w:tcW w:w="76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Отбор проб является важной операцией, при которой отбирается только небольшая часть серии. Достоверные заключения по отношению ко всей серии не могут основываться на испытаниях, проведенных на непредставительных пробах. Таким образом, правильный отбор проб является неотъемлемой частью системы обеспечения качества.</w:t>
            </w:r>
          </w:p>
          <w:p>
            <w:pPr>
              <w:spacing w:after="20"/>
              <w:ind w:left="20"/>
              <w:jc w:val="both"/>
            </w:pPr>
            <w:r>
              <w:rPr>
                <w:rFonts w:ascii="Times New Roman"/>
                <w:b w:val="false"/>
                <w:i w:val="false"/>
                <w:color w:val="000000"/>
                <w:sz w:val="20"/>
              </w:rPr>
              <w:t>
   Отбор проб рассматривается в главе 6 части I настоящего Стандарта. Данное Приложение содержит дополнительные указания по отбору проб исходных и упаковочных материалов.</w:t>
            </w:r>
          </w:p>
          <w:p>
            <w:pPr>
              <w:spacing w:after="20"/>
              <w:ind w:left="20"/>
              <w:jc w:val="both"/>
            </w:pPr>
            <w:r>
              <w:rPr>
                <w:rFonts w:ascii="Times New Roman"/>
                <w:b w:val="false"/>
                <w:i w:val="false"/>
                <w:color w:val="000000"/>
                <w:sz w:val="20"/>
              </w:rPr>
              <w:t>
   </w:t>
            </w:r>
            <w:r>
              <w:rPr>
                <w:rFonts w:ascii="Times New Roman"/>
                <w:b/>
                <w:i w:val="false"/>
                <w:color w:val="000000"/>
                <w:sz w:val="20"/>
              </w:rPr>
              <w:t>Персонал</w:t>
            </w:r>
          </w:p>
          <w:p>
            <w:pPr>
              <w:spacing w:after="20"/>
              <w:ind w:left="20"/>
              <w:jc w:val="both"/>
            </w:pPr>
            <w:r>
              <w:rPr>
                <w:rFonts w:ascii="Times New Roman"/>
                <w:b w:val="false"/>
                <w:i w:val="false"/>
                <w:color w:val="000000"/>
                <w:sz w:val="20"/>
              </w:rPr>
              <w:t>
   1. Персонал, проводящий отбор проб, должен пройти начальное обучение и в последующем регулярно обучаться дисциплинам, имеющим отношение к правильному отбору проб. Такое обучение включает рассмотрение следующих вопросов:</w:t>
            </w:r>
          </w:p>
          <w:p>
            <w:pPr>
              <w:spacing w:after="20"/>
              <w:ind w:left="20"/>
              <w:jc w:val="both"/>
            </w:pPr>
            <w:r>
              <w:rPr>
                <w:rFonts w:ascii="Times New Roman"/>
                <w:b w:val="false"/>
                <w:i w:val="false"/>
                <w:color w:val="000000"/>
                <w:sz w:val="20"/>
              </w:rPr>
              <w:t>
   порядок отбора проб;</w:t>
            </w:r>
          </w:p>
          <w:p>
            <w:pPr>
              <w:spacing w:after="20"/>
              <w:ind w:left="20"/>
              <w:jc w:val="both"/>
            </w:pPr>
            <w:r>
              <w:rPr>
                <w:rFonts w:ascii="Times New Roman"/>
                <w:b w:val="false"/>
                <w:i w:val="false"/>
                <w:color w:val="000000"/>
                <w:sz w:val="20"/>
              </w:rPr>
              <w:t>
   письменные инструкции по отбору проб;</w:t>
            </w:r>
          </w:p>
          <w:p>
            <w:pPr>
              <w:spacing w:after="20"/>
              <w:ind w:left="20"/>
              <w:jc w:val="both"/>
            </w:pPr>
            <w:r>
              <w:rPr>
                <w:rFonts w:ascii="Times New Roman"/>
                <w:b w:val="false"/>
                <w:i w:val="false"/>
                <w:color w:val="000000"/>
                <w:sz w:val="20"/>
              </w:rPr>
              <w:t>
   методы и оборудование, используемые при отборе проб;</w:t>
            </w:r>
          </w:p>
          <w:p>
            <w:pPr>
              <w:spacing w:after="20"/>
              <w:ind w:left="20"/>
              <w:jc w:val="both"/>
            </w:pPr>
            <w:r>
              <w:rPr>
                <w:rFonts w:ascii="Times New Roman"/>
                <w:b w:val="false"/>
                <w:i w:val="false"/>
                <w:color w:val="000000"/>
                <w:sz w:val="20"/>
              </w:rPr>
              <w:t xml:space="preserve">
   риск перекрестной контаминации; </w:t>
            </w:r>
          </w:p>
          <w:p>
            <w:pPr>
              <w:spacing w:after="20"/>
              <w:ind w:left="20"/>
              <w:jc w:val="both"/>
            </w:pPr>
            <w:r>
              <w:rPr>
                <w:rFonts w:ascii="Times New Roman"/>
                <w:b w:val="false"/>
                <w:i w:val="false"/>
                <w:color w:val="000000"/>
                <w:sz w:val="20"/>
              </w:rPr>
              <w:t xml:space="preserve">
   меры предосторожности, которые необходимо принимать в отношении нестабильных и (или) стерильных веществ; </w:t>
            </w:r>
          </w:p>
          <w:p>
            <w:pPr>
              <w:spacing w:after="20"/>
              <w:ind w:left="20"/>
              <w:jc w:val="both"/>
            </w:pPr>
            <w:r>
              <w:rPr>
                <w:rFonts w:ascii="Times New Roman"/>
                <w:b w:val="false"/>
                <w:i w:val="false"/>
                <w:color w:val="000000"/>
                <w:sz w:val="20"/>
              </w:rPr>
              <w:t>
   важность принятия во внимание результатов визуальной оценки внешнего вида материалов, упаковок и этикеток;</w:t>
            </w:r>
          </w:p>
          <w:p>
            <w:pPr>
              <w:spacing w:after="20"/>
              <w:ind w:left="20"/>
              <w:jc w:val="both"/>
            </w:pPr>
            <w:r>
              <w:rPr>
                <w:rFonts w:ascii="Times New Roman"/>
                <w:b w:val="false"/>
                <w:i w:val="false"/>
                <w:color w:val="000000"/>
                <w:sz w:val="20"/>
              </w:rPr>
              <w:t>
   важность документального оформления любых непредвиденных или необычных обстоятельств.</w:t>
            </w:r>
          </w:p>
          <w:p>
            <w:pPr>
              <w:spacing w:after="20"/>
              <w:ind w:left="20"/>
              <w:jc w:val="both"/>
            </w:pPr>
            <w:r>
              <w:rPr>
                <w:rFonts w:ascii="Times New Roman"/>
                <w:b w:val="false"/>
                <w:i w:val="false"/>
                <w:color w:val="000000"/>
                <w:sz w:val="20"/>
              </w:rPr>
              <w:t>
   </w:t>
            </w:r>
            <w:r>
              <w:rPr>
                <w:rFonts w:ascii="Times New Roman"/>
                <w:b/>
                <w:i w:val="false"/>
                <w:color w:val="000000"/>
                <w:sz w:val="20"/>
              </w:rPr>
              <w:t>Исходные материалы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Подлинность всей серии исходных материалов гарантируется только тогда, когда отдельные пробы были отобраны из всех емкостей и испытание на идентичность было проведено для каждой пробы. Допускается отбирать пробы только из части емкостей, если разработана прошедшая валидацию процедура, гарантирующая, что ни одна емкость с исходными материалами не была неправильно маркирована. </w:t>
            </w:r>
          </w:p>
          <w:p>
            <w:pPr>
              <w:spacing w:after="20"/>
              <w:ind w:left="20"/>
              <w:jc w:val="both"/>
            </w:pPr>
            <w:r>
              <w:rPr>
                <w:rFonts w:ascii="Times New Roman"/>
                <w:b w:val="false"/>
                <w:i w:val="false"/>
                <w:color w:val="000000"/>
                <w:sz w:val="20"/>
              </w:rPr>
              <w:t xml:space="preserve">
   3. При такой валидации следует учитывать, по крайней мере, следующие аспекты: </w:t>
            </w:r>
          </w:p>
          <w:p>
            <w:pPr>
              <w:spacing w:after="20"/>
              <w:ind w:left="20"/>
              <w:jc w:val="both"/>
            </w:pPr>
            <w:r>
              <w:rPr>
                <w:rFonts w:ascii="Times New Roman"/>
                <w:b w:val="false"/>
                <w:i w:val="false"/>
                <w:color w:val="000000"/>
                <w:sz w:val="20"/>
              </w:rPr>
              <w:t xml:space="preserve">
   данные о производителе и поставщике (их тип и текущее состояние), а также их понимание требований настоящего Стандарта; </w:t>
            </w:r>
          </w:p>
          <w:p>
            <w:pPr>
              <w:spacing w:after="20"/>
              <w:ind w:left="20"/>
              <w:jc w:val="both"/>
            </w:pPr>
            <w:r>
              <w:rPr>
                <w:rFonts w:ascii="Times New Roman"/>
                <w:b w:val="false"/>
                <w:i w:val="false"/>
                <w:color w:val="000000"/>
                <w:sz w:val="20"/>
              </w:rPr>
              <w:t>
   наличие системы обеспечения качества у производителя исходных материалов;</w:t>
            </w:r>
          </w:p>
          <w:p>
            <w:pPr>
              <w:spacing w:after="20"/>
              <w:ind w:left="20"/>
              <w:jc w:val="both"/>
            </w:pPr>
            <w:r>
              <w:rPr>
                <w:rFonts w:ascii="Times New Roman"/>
                <w:b w:val="false"/>
                <w:i w:val="false"/>
                <w:color w:val="000000"/>
                <w:sz w:val="20"/>
              </w:rPr>
              <w:t>
   условия производства, при которых исходные материалы производят и контролируют;</w:t>
            </w:r>
          </w:p>
          <w:p>
            <w:pPr>
              <w:spacing w:after="20"/>
              <w:ind w:left="20"/>
              <w:jc w:val="both"/>
            </w:pPr>
            <w:r>
              <w:rPr>
                <w:rFonts w:ascii="Times New Roman"/>
                <w:b w:val="false"/>
                <w:i w:val="false"/>
                <w:color w:val="000000"/>
                <w:sz w:val="20"/>
              </w:rPr>
              <w:t>
   характер и свойства исходных материалов и лекарственных препаратов, для производства которых они будут использоваться.</w:t>
            </w:r>
          </w:p>
          <w:p>
            <w:pPr>
              <w:spacing w:after="20"/>
              <w:ind w:left="20"/>
              <w:jc w:val="both"/>
            </w:pPr>
            <w:r>
              <w:rPr>
                <w:rFonts w:ascii="Times New Roman"/>
                <w:b w:val="false"/>
                <w:i w:val="false"/>
                <w:color w:val="000000"/>
                <w:sz w:val="20"/>
              </w:rPr>
              <w:t xml:space="preserve">
   При такой системе процедура, прошедшая валидацию и освобождающая от проведения испытаний подлинности исходных материалов в каждой поступающей емкости, может быть приемлема для: </w:t>
            </w:r>
          </w:p>
          <w:p>
            <w:pPr>
              <w:spacing w:after="20"/>
              <w:ind w:left="20"/>
              <w:jc w:val="both"/>
            </w:pPr>
            <w:r>
              <w:rPr>
                <w:rFonts w:ascii="Times New Roman"/>
                <w:b w:val="false"/>
                <w:i w:val="false"/>
                <w:color w:val="000000"/>
                <w:sz w:val="20"/>
              </w:rPr>
              <w:t>
   исходных материалов, поступающих от одного производителя или с одного предприятия;</w:t>
            </w:r>
          </w:p>
          <w:p>
            <w:pPr>
              <w:spacing w:after="20"/>
              <w:ind w:left="20"/>
              <w:jc w:val="both"/>
            </w:pPr>
            <w:r>
              <w:rPr>
                <w:rFonts w:ascii="Times New Roman"/>
                <w:b w:val="false"/>
                <w:i w:val="false"/>
                <w:color w:val="000000"/>
                <w:sz w:val="20"/>
              </w:rPr>
              <w:t>
   исходных материалов, поступающих непосредственно от производителя или в емкости, опечатанной производителем, причем этот поставщик имеет безупречную репутацию, и если проводятся регулярные аудиты системы обеспечения качества производителя покупателем (производителем лекарственного препарата) или официально аккредитованным органом.</w:t>
            </w:r>
          </w:p>
          <w:p>
            <w:pPr>
              <w:spacing w:after="20"/>
              <w:ind w:left="20"/>
              <w:jc w:val="both"/>
            </w:pPr>
            <w:r>
              <w:rPr>
                <w:rFonts w:ascii="Times New Roman"/>
                <w:b w:val="false"/>
                <w:i w:val="false"/>
                <w:color w:val="000000"/>
                <w:sz w:val="20"/>
              </w:rPr>
              <w:t xml:space="preserve">
   Такая процедура не может удовлетворительно пройти валидацию и использоваться для: </w:t>
            </w:r>
          </w:p>
          <w:p>
            <w:pPr>
              <w:spacing w:after="20"/>
              <w:ind w:left="20"/>
              <w:jc w:val="both"/>
            </w:pPr>
            <w:r>
              <w:rPr>
                <w:rFonts w:ascii="Times New Roman"/>
                <w:b w:val="false"/>
                <w:i w:val="false"/>
                <w:color w:val="000000"/>
                <w:sz w:val="20"/>
              </w:rPr>
              <w:t>
   исходных материалов, поставляемых посредниками, когда производитель неизвестен или не подвергается аудиту;</w:t>
            </w:r>
          </w:p>
          <w:p>
            <w:pPr>
              <w:spacing w:after="20"/>
              <w:ind w:left="20"/>
              <w:jc w:val="both"/>
            </w:pPr>
            <w:r>
              <w:rPr>
                <w:rFonts w:ascii="Times New Roman"/>
                <w:b w:val="false"/>
                <w:i w:val="false"/>
                <w:color w:val="000000"/>
                <w:sz w:val="20"/>
              </w:rPr>
              <w:t>
   исходных материалов, используемых для производства парентеральных лекарственных препаратов.</w:t>
            </w:r>
          </w:p>
          <w:p>
            <w:pPr>
              <w:spacing w:after="20"/>
              <w:ind w:left="20"/>
              <w:jc w:val="both"/>
            </w:pPr>
            <w:r>
              <w:rPr>
                <w:rFonts w:ascii="Times New Roman"/>
                <w:b w:val="false"/>
                <w:i w:val="false"/>
                <w:color w:val="000000"/>
                <w:sz w:val="20"/>
              </w:rPr>
              <w:t>
   4. Качество серии исходных материалов может быть оценено при отборе и проведении испытания представительной пробы. Для этой цели могут быть использованы пробы, отобранные для испытаний подлинности. Количество проб, отобранных для получения представительной пробы, определяется статистически и указывается в плане отбора проб. Количество отдельных проб, смешиваемых для формирования средней пробы, также определяется с учетом вида сырья, сведений о поставщике и однородности средней пробы.  </w:t>
            </w:r>
          </w:p>
          <w:p>
            <w:pPr>
              <w:spacing w:after="20"/>
              <w:ind w:left="20"/>
              <w:jc w:val="both"/>
            </w:pPr>
            <w:r>
              <w:rPr>
                <w:rFonts w:ascii="Times New Roman"/>
                <w:b w:val="false"/>
                <w:i w:val="false"/>
                <w:color w:val="000000"/>
                <w:sz w:val="20"/>
              </w:rPr>
              <w:t>
   </w:t>
            </w:r>
            <w:r>
              <w:rPr>
                <w:rFonts w:ascii="Times New Roman"/>
                <w:b/>
                <w:i w:val="false"/>
                <w:color w:val="000000"/>
                <w:sz w:val="20"/>
              </w:rPr>
              <w:t>Упаковочные материалы</w:t>
            </w:r>
            <w:r>
              <w:rPr>
                <w:rFonts w:ascii="Times New Roman"/>
                <w:b w:val="false"/>
                <w:i w:val="false"/>
                <w:color w:val="000000"/>
                <w:sz w:val="20"/>
              </w:rPr>
              <w:t> </w:t>
            </w:r>
          </w:p>
          <w:p>
            <w:pPr>
              <w:spacing w:after="20"/>
              <w:ind w:left="20"/>
              <w:jc w:val="both"/>
            </w:pPr>
            <w:r>
              <w:rPr>
                <w:rFonts w:ascii="Times New Roman"/>
                <w:b w:val="false"/>
                <w:i w:val="false"/>
                <w:color w:val="000000"/>
                <w:sz w:val="20"/>
              </w:rPr>
              <w:t>
   5. В плане по отбору проб упаковочных материалов учитывается, по крайней мере, следующее: полученное количество, требуемое качество, характер материала (например, первичные упаковочные материалы и (или) печатные упаковочные материалы), методы производства, а также сведения о системе обеспечения качества производителя упаковочных материалов, основанные на результатах проведения аудитов. Количество отбираемых проб определяется статистически и указано в плане по отбору проб.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212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ЖИДКИХ И МЯГКИХ ЛЕКАРСТВЕННЫХ ФОРМ</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Принцип</w:t>
            </w:r>
            <w:r>
              <w:rPr>
                <w:rFonts w:ascii="Times New Roman"/>
                <w:b w:val="false"/>
                <w:i w:val="false"/>
                <w:color w:val="000000"/>
                <w:sz w:val="20"/>
              </w:rPr>
              <w:t> </w:t>
            </w:r>
          </w:p>
          <w:p>
            <w:pPr>
              <w:spacing w:after="20"/>
              <w:ind w:left="20"/>
              <w:jc w:val="both"/>
            </w:pPr>
            <w:r>
              <w:rPr>
                <w:rFonts w:ascii="Times New Roman"/>
                <w:b w:val="false"/>
                <w:i w:val="false"/>
                <w:color w:val="000000"/>
                <w:sz w:val="20"/>
              </w:rPr>
              <w:t>
   Жидкие и мягкие лекарственные формы в особенности подвержены микробной и иной контаминации. Поэтому необходимо принимать специальные меры по предупреждению любой контаминации.  </w:t>
            </w:r>
          </w:p>
          <w:p>
            <w:pPr>
              <w:spacing w:after="20"/>
              <w:ind w:left="20"/>
              <w:jc w:val="both"/>
            </w:pPr>
            <w:r>
              <w:rPr>
                <w:rFonts w:ascii="Times New Roman"/>
                <w:b w:val="false"/>
                <w:i w:val="false"/>
                <w:color w:val="000000"/>
                <w:sz w:val="20"/>
              </w:rPr>
              <w:t>
   </w:t>
            </w:r>
            <w:r>
              <w:rPr>
                <w:rFonts w:ascii="Times New Roman"/>
                <w:b/>
                <w:i w:val="false"/>
                <w:color w:val="000000"/>
                <w:sz w:val="20"/>
              </w:rPr>
              <w:t>Помещения и оборудование</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Для защиты от контаминации при производстве и перемещении продукции рекомендуется использовать закрытые системы. Производственные зоны, в которых находится открытая продукция или открытые чистые упаковки следует эффективно вентилировать отфильтрованным воздухом. </w:t>
            </w:r>
          </w:p>
          <w:p>
            <w:pPr>
              <w:spacing w:after="20"/>
              <w:ind w:left="20"/>
              <w:jc w:val="both"/>
            </w:pPr>
            <w:r>
              <w:rPr>
                <w:rFonts w:ascii="Times New Roman"/>
                <w:b w:val="false"/>
                <w:i w:val="false"/>
                <w:color w:val="000000"/>
                <w:sz w:val="20"/>
              </w:rPr>
              <w:t>
   2. Конструкция и расположение реакторов, емкостей, трубопроводов и насосов предусматривает удобство их очистки и, при необходимости, санитарной обработки. В конструкции оборудования сводится к минимуму наличие недоступных зон или участков, в которых скапливаются остатки продукции, создавая среду для размножения микроорганизмов.</w:t>
            </w:r>
          </w:p>
          <w:p>
            <w:pPr>
              <w:spacing w:after="20"/>
              <w:ind w:left="20"/>
              <w:jc w:val="both"/>
            </w:pPr>
            <w:r>
              <w:rPr>
                <w:rFonts w:ascii="Times New Roman"/>
                <w:b w:val="false"/>
                <w:i w:val="false"/>
                <w:color w:val="000000"/>
                <w:sz w:val="20"/>
              </w:rPr>
              <w:t>
   3. По возможности не используется аппаратура из стекла. В основном, части оборудования, контактирующие с продукцией, изготавливаются из высококачественной нержавеющей стали.</w:t>
            </w:r>
          </w:p>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w:t>
            </w:r>
          </w:p>
          <w:p>
            <w:pPr>
              <w:spacing w:after="20"/>
              <w:ind w:left="20"/>
              <w:jc w:val="both"/>
            </w:pPr>
            <w:r>
              <w:rPr>
                <w:rFonts w:ascii="Times New Roman"/>
                <w:b w:val="false"/>
                <w:i w:val="false"/>
                <w:color w:val="000000"/>
                <w:sz w:val="20"/>
              </w:rPr>
              <w:t>
   4. Качество используемой воды контролируется в отношении химической и микробиологической чистоты. Во избежание риска размножения микроорганизмов надлежащим образом организуется обслуживание систем подготовки воды. После любой химической санитарной обработки систем подготовки воды их промывают в соответствии с процедурой, прошедшей валидацию, которая гарантирует полное удаление дезинфицирующих средств.</w:t>
            </w:r>
          </w:p>
          <w:p>
            <w:pPr>
              <w:spacing w:after="20"/>
              <w:ind w:left="20"/>
              <w:jc w:val="both"/>
            </w:pPr>
            <w:r>
              <w:rPr>
                <w:rFonts w:ascii="Times New Roman"/>
                <w:b w:val="false"/>
                <w:i w:val="false"/>
                <w:color w:val="000000"/>
                <w:sz w:val="20"/>
              </w:rPr>
              <w:t>
   5. Качество сырья, получаемого в емкостях большого объема, проверяется до их перемещения в емкости для хранения.</w:t>
            </w:r>
          </w:p>
          <w:p>
            <w:pPr>
              <w:spacing w:after="20"/>
              <w:ind w:left="20"/>
              <w:jc w:val="both"/>
            </w:pPr>
            <w:r>
              <w:rPr>
                <w:rFonts w:ascii="Times New Roman"/>
                <w:b w:val="false"/>
                <w:i w:val="false"/>
                <w:color w:val="000000"/>
                <w:sz w:val="20"/>
              </w:rPr>
              <w:t>
   6. Передача сырья по трубопроводам контролируется, чтобы гарантировать их поступление в нужное место.</w:t>
            </w:r>
          </w:p>
          <w:p>
            <w:pPr>
              <w:spacing w:after="20"/>
              <w:ind w:left="20"/>
              <w:jc w:val="both"/>
            </w:pPr>
            <w:r>
              <w:rPr>
                <w:rFonts w:ascii="Times New Roman"/>
                <w:b w:val="false"/>
                <w:i w:val="false"/>
                <w:color w:val="000000"/>
                <w:sz w:val="20"/>
              </w:rPr>
              <w:t>
   7. В помещениях, где содержится открытая продукция или открытые чистые упаковки, не допускается нахождение материалов, от которых возможно отделение волокон и других контаминантов.</w:t>
            </w:r>
          </w:p>
          <w:p>
            <w:pPr>
              <w:spacing w:after="20"/>
              <w:ind w:left="20"/>
              <w:jc w:val="both"/>
            </w:pPr>
            <w:r>
              <w:rPr>
                <w:rFonts w:ascii="Times New Roman"/>
                <w:b w:val="false"/>
                <w:i w:val="false"/>
                <w:color w:val="000000"/>
                <w:sz w:val="20"/>
              </w:rPr>
              <w:t>
   8. Во время фасовки обеспечивается сохранение однородности смесей, суспензий. Процессы смешивания и фасовки проходят валидацию. Особое внимание уделяется обеспечению однородности смеси в начале, после остановок и в конце процесса наполнения.</w:t>
            </w:r>
          </w:p>
          <w:p>
            <w:pPr>
              <w:spacing w:after="20"/>
              <w:ind w:left="20"/>
              <w:jc w:val="both"/>
            </w:pPr>
            <w:r>
              <w:rPr>
                <w:rFonts w:ascii="Times New Roman"/>
                <w:b w:val="false"/>
                <w:i w:val="false"/>
                <w:color w:val="000000"/>
                <w:sz w:val="20"/>
              </w:rPr>
              <w:t>
   9. Если готовый продукт упаковывается не сразу, устанавливается максимально допустимое время до его упаковки, а также соответствующие условия хранения, которые следует строго соблюдать.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
        <w:gridCol w:w="12190"/>
      </w:tblGrid>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ДОЗИРОВАННЫХ АЭРОЗОЛЬНЫХ ЛЕКАРСТВЕННЫХ ПРЕПАРАТОВ ПОД ДАВЛЕНИЕМ ДЛЯ ИНГАЛЯЦИЙ</w:t>
            </w:r>
          </w:p>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Производство аэрозольных лекарственных препаратов под давлением с дозирующими клапанами, предназначенных для ингаляций, требует особого внимания из-за специфического характера этой лекарственной формы. Его необходимо осуществлять при условиях, сводящих к минимуму контаминацию микроорганизмами и частицами. Очень важно также обеспечить качество деталей клапана, а в случае суспензий их однородность.</w:t>
            </w:r>
          </w:p>
          <w:p>
            <w:pPr>
              <w:spacing w:after="20"/>
              <w:ind w:left="20"/>
              <w:jc w:val="both"/>
            </w:pPr>
            <w:r>
              <w:rPr>
                <w:rFonts w:ascii="Times New Roman"/>
                <w:b w:val="false"/>
                <w:i w:val="false"/>
                <w:color w:val="000000"/>
                <w:sz w:val="20"/>
              </w:rPr>
              <w:t>
</w:t>
            </w:r>
            <w:r>
              <w:rPr>
                <w:rFonts w:ascii="Times New Roman"/>
                <w:b/>
                <w:i w:val="false"/>
                <w:color w:val="000000"/>
                <w:sz w:val="20"/>
              </w:rPr>
              <w:t>Общие требования</w:t>
            </w:r>
          </w:p>
          <w:p>
            <w:pPr>
              <w:spacing w:after="20"/>
              <w:ind w:left="20"/>
              <w:jc w:val="both"/>
            </w:pPr>
            <w:r>
              <w:rPr>
                <w:rFonts w:ascii="Times New Roman"/>
                <w:b w:val="false"/>
                <w:i w:val="false"/>
                <w:color w:val="000000"/>
                <w:sz w:val="20"/>
              </w:rPr>
              <w:t>
   1. Используются два метода производства и наполнения:</w:t>
            </w:r>
          </w:p>
          <w:p>
            <w:pPr>
              <w:spacing w:after="20"/>
              <w:ind w:left="20"/>
              <w:jc w:val="both"/>
            </w:pPr>
            <w:r>
              <w:rPr>
                <w:rFonts w:ascii="Times New Roman"/>
                <w:b w:val="false"/>
                <w:i w:val="false"/>
                <w:color w:val="000000"/>
                <w:sz w:val="20"/>
              </w:rPr>
              <w:t>
   a) система двух стадийного наполнения (наполнение под давлением).</w:t>
            </w:r>
          </w:p>
          <w:p>
            <w:pPr>
              <w:spacing w:after="20"/>
              <w:ind w:left="20"/>
              <w:jc w:val="both"/>
            </w:pPr>
            <w:r>
              <w:rPr>
                <w:rFonts w:ascii="Times New Roman"/>
                <w:b w:val="false"/>
                <w:i w:val="false"/>
                <w:color w:val="000000"/>
                <w:sz w:val="20"/>
              </w:rPr>
              <w:t>
   Активная фармацевтическая субстанция суспендируется в пропелленте с высокой температурой кипения, дозу суспензии подают в контейнер, вставляют и обжимают клапан и через шток клапана вводят пропеллент с низкой температурой кипения для получения готового лекарственного препарата. При этом поддерживают достаточно низкую температуру суспензии активной фармацевтической субстанции в пропелленте для снижения потерь за счет испарения.</w:t>
            </w:r>
          </w:p>
          <w:p>
            <w:pPr>
              <w:spacing w:after="20"/>
              <w:ind w:left="20"/>
              <w:jc w:val="both"/>
            </w:pPr>
            <w:r>
              <w:rPr>
                <w:rFonts w:ascii="Times New Roman"/>
                <w:b w:val="false"/>
                <w:i w:val="false"/>
                <w:color w:val="000000"/>
                <w:sz w:val="20"/>
              </w:rPr>
              <w:t>
   b) процесс однократного наполнения (холодное наполнение).</w:t>
            </w:r>
          </w:p>
          <w:p>
            <w:pPr>
              <w:spacing w:after="20"/>
              <w:ind w:left="20"/>
              <w:jc w:val="both"/>
            </w:pPr>
            <w:r>
              <w:rPr>
                <w:rFonts w:ascii="Times New Roman"/>
                <w:b w:val="false"/>
                <w:i w:val="false"/>
                <w:color w:val="000000"/>
                <w:sz w:val="20"/>
              </w:rPr>
              <w:t>
   Активную фармацевтическую субстанцию суспендируют в смеси пропеллентов и содержат суспензию под давлением или при низкой температуре, или одновременно под давлением и при низкой температуре. Затем проводится наполнение упаковки суспензией в один прием.</w:t>
            </w:r>
          </w:p>
          <w:p>
            <w:pPr>
              <w:spacing w:after="20"/>
              <w:ind w:left="20"/>
              <w:jc w:val="both"/>
            </w:pPr>
            <w:r>
              <w:rPr>
                <w:rFonts w:ascii="Times New Roman"/>
                <w:b w:val="false"/>
                <w:i w:val="false"/>
                <w:color w:val="000000"/>
                <w:sz w:val="20"/>
              </w:rPr>
              <w:t>
</w:t>
            </w:r>
            <w:r>
              <w:rPr>
                <w:rFonts w:ascii="Times New Roman"/>
                <w:b/>
                <w:i w:val="false"/>
                <w:color w:val="000000"/>
                <w:sz w:val="20"/>
              </w:rPr>
              <w:t>Помещения и оборудование</w:t>
            </w:r>
          </w:p>
          <w:p>
            <w:pPr>
              <w:spacing w:after="20"/>
              <w:ind w:left="20"/>
              <w:jc w:val="both"/>
            </w:pPr>
            <w:r>
              <w:rPr>
                <w:rFonts w:ascii="Times New Roman"/>
                <w:b w:val="false"/>
                <w:i w:val="false"/>
                <w:color w:val="000000"/>
                <w:sz w:val="20"/>
              </w:rPr>
              <w:t>
   2. Производство и наполнение следует проводить, по возможности, в закрытых системах.</w:t>
            </w:r>
          </w:p>
          <w:p>
            <w:pPr>
              <w:spacing w:after="20"/>
              <w:ind w:left="20"/>
              <w:jc w:val="both"/>
            </w:pPr>
            <w:r>
              <w:rPr>
                <w:rFonts w:ascii="Times New Roman"/>
                <w:b w:val="false"/>
                <w:i w:val="false"/>
                <w:color w:val="000000"/>
                <w:sz w:val="20"/>
              </w:rPr>
              <w:t>
   3. Зона, в которой продукция или чистые компоненты содержатся открытыми, снабжается отфильтрованным воздухом и соответствовать требованиям к производственной среде, по крайней мере, класса D; входить в зону следует через воздушные шлюзы.</w:t>
            </w:r>
          </w:p>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и контроль качества</w:t>
            </w:r>
          </w:p>
          <w:p>
            <w:pPr>
              <w:spacing w:after="20"/>
              <w:ind w:left="20"/>
              <w:jc w:val="both"/>
            </w:pPr>
            <w:r>
              <w:rPr>
                <w:rFonts w:ascii="Times New Roman"/>
                <w:b w:val="false"/>
                <w:i w:val="false"/>
                <w:color w:val="000000"/>
                <w:sz w:val="20"/>
              </w:rPr>
              <w:t>
   4. Дозирующие клапаны для аэрозолей являются более сложными по сравнению с большинством устройств, используемых в фармацевтической промышленности. Это учитывается в спецификациях на них, а также при отборе проб и испытаниях. Особое значение имеет проведение аудита системы обеспечения качества у производителя дозирующих клапанов.</w:t>
            </w:r>
          </w:p>
          <w:p>
            <w:pPr>
              <w:spacing w:after="20"/>
              <w:ind w:left="20"/>
              <w:jc w:val="both"/>
            </w:pPr>
            <w:r>
              <w:rPr>
                <w:rFonts w:ascii="Times New Roman"/>
                <w:b w:val="false"/>
                <w:i w:val="false"/>
                <w:color w:val="000000"/>
                <w:sz w:val="20"/>
              </w:rPr>
              <w:t xml:space="preserve">
   5. Жидкости фильтуются для удаления частиц, размер которых больше 0,2 мкм. Если это возможно, желательно проведение дополнительной фильтрации непосредственно перед наполнением. </w:t>
            </w:r>
          </w:p>
          <w:p>
            <w:pPr>
              <w:spacing w:after="20"/>
              <w:ind w:left="20"/>
              <w:jc w:val="both"/>
            </w:pPr>
            <w:r>
              <w:rPr>
                <w:rFonts w:ascii="Times New Roman"/>
                <w:b w:val="false"/>
                <w:i w:val="false"/>
                <w:color w:val="000000"/>
                <w:sz w:val="20"/>
              </w:rPr>
              <w:t>
   6. Контейнеры и клапаны необходимо очищать согласно валидированной процедуре, которая соответствует назначению лекарственного препарата и обеспечивает отсутствие любой контаминации, такой как контаминация технологическими вспомогательными материалами (например, смазочными) или микробная контаминация. После очистки клапаны следует хранить в чистых закрытых емкостях; кроме того, пред принимаются меры предосторожности, предотвращающие контаминацию во время последующих операций, например, при отборе проб. Упаковки поступают на линию наполнения в чистом виде или очищаются на линии непосредственно перед наполнением.</w:t>
            </w:r>
          </w:p>
          <w:p>
            <w:pPr>
              <w:spacing w:after="20"/>
              <w:ind w:left="20"/>
              <w:jc w:val="both"/>
            </w:pPr>
            <w:r>
              <w:rPr>
                <w:rFonts w:ascii="Times New Roman"/>
                <w:b w:val="false"/>
                <w:i w:val="false"/>
                <w:color w:val="000000"/>
                <w:sz w:val="20"/>
              </w:rPr>
              <w:t>
   7. Обеспечивается однородность суспензии в точке наполнения в ходе всего процесса наполнения.</w:t>
            </w:r>
          </w:p>
          <w:p>
            <w:pPr>
              <w:spacing w:after="20"/>
              <w:ind w:left="20"/>
              <w:jc w:val="both"/>
            </w:pPr>
            <w:r>
              <w:rPr>
                <w:rFonts w:ascii="Times New Roman"/>
                <w:b w:val="false"/>
                <w:i w:val="false"/>
                <w:color w:val="000000"/>
                <w:sz w:val="20"/>
              </w:rPr>
              <w:t>
   8. При использовании метода двухстадийного наполнения для достижения правильного состава обеспечивается точная масса вводимых веществ на обеих стадиях. Поэтому во многих случаях целесообразен 100%-ный контроль массы на каждой стадии.</w:t>
            </w:r>
          </w:p>
          <w:p>
            <w:pPr>
              <w:spacing w:after="20"/>
              <w:ind w:left="20"/>
              <w:jc w:val="both"/>
            </w:pPr>
            <w:r>
              <w:rPr>
                <w:rFonts w:ascii="Times New Roman"/>
                <w:b w:val="false"/>
                <w:i w:val="false"/>
                <w:color w:val="000000"/>
                <w:sz w:val="20"/>
              </w:rPr>
              <w:t>
   9. Контроль после наполнения подтверждает отсутствие утечек. Проверку на наличие утечек проводят так, чтобы не допустить микробной контаминации или остаточной влаги.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9"/>
              <w:gridCol w:w="4511"/>
            </w:tblGrid>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Компьютеризированные системы</w:t>
                  </w:r>
                </w:p>
              </w:tc>
            </w:tr>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Принцип</w:t>
                  </w:r>
                </w:p>
              </w:tc>
            </w:tr>
          </w:tbl>
          <w:p/>
          <w:p>
            <w:pPr>
              <w:spacing w:after="20"/>
              <w:ind w:left="20"/>
              <w:jc w:val="both"/>
            </w:pPr>
            <w:r>
              <w:rPr>
                <w:rFonts w:ascii="Times New Roman"/>
                <w:b w:val="false"/>
                <w:i w:val="false"/>
                <w:color w:val="000000"/>
                <w:sz w:val="20"/>
              </w:rPr>
              <w:t>
   Данное Приложение применяется ко всем типам компьютеризированных систем, используемых в рамках деятельности, регулируемой требованиями настоящего Стандарта. Компьютеризированная система представляет собой набор программных и аппаратных компонентов, которые совместно выполняют определенные функции.</w:t>
            </w:r>
          </w:p>
          <w:p>
            <w:pPr>
              <w:spacing w:after="20"/>
              <w:ind w:left="20"/>
              <w:jc w:val="both"/>
            </w:pPr>
            <w:r>
              <w:rPr>
                <w:rFonts w:ascii="Times New Roman"/>
                <w:b w:val="false"/>
                <w:i w:val="false"/>
                <w:color w:val="000000"/>
                <w:sz w:val="20"/>
              </w:rPr>
              <w:t>
   Применение компьютеризированной системы валидируется, информационно-технологическая инфраструктура проходит квалификацию.</w:t>
            </w:r>
          </w:p>
          <w:p>
            <w:pPr>
              <w:spacing w:after="20"/>
              <w:ind w:left="20"/>
              <w:jc w:val="both"/>
            </w:pPr>
            <w:r>
              <w:rPr>
                <w:rFonts w:ascii="Times New Roman"/>
                <w:b w:val="false"/>
                <w:i w:val="false"/>
                <w:color w:val="000000"/>
                <w:sz w:val="20"/>
              </w:rPr>
              <w:t>
   Замена ручного управления компьютеризированной системой не приводит к снижению качества продукции, технологического контроля или обеспечения качества, общие риски процесса не возрастают.</w:t>
            </w:r>
          </w:p>
          <w:p>
            <w:pPr>
              <w:spacing w:after="20"/>
              <w:ind w:left="20"/>
              <w:jc w:val="both"/>
            </w:pPr>
            <w:r>
              <w:rPr>
                <w:rFonts w:ascii="Times New Roman"/>
                <w:b w:val="false"/>
                <w:i w:val="false"/>
                <w:color w:val="000000"/>
                <w:sz w:val="20"/>
              </w:rPr>
              <w:t>
</w:t>
            </w:r>
            <w:r>
              <w:rPr>
                <w:rFonts w:ascii="Times New Roman"/>
                <w:b/>
                <w:i w:val="false"/>
                <w:color w:val="000000"/>
                <w:sz w:val="20"/>
              </w:rPr>
              <w:t>Общие требования</w:t>
            </w:r>
          </w:p>
          <w:p>
            <w:pPr>
              <w:spacing w:after="20"/>
              <w:ind w:left="20"/>
              <w:jc w:val="both"/>
            </w:pPr>
            <w:r>
              <w:rPr>
                <w:rFonts w:ascii="Times New Roman"/>
                <w:b w:val="false"/>
                <w:i w:val="false"/>
                <w:color w:val="000000"/>
                <w:sz w:val="20"/>
              </w:rPr>
              <w:t>
</w:t>
            </w:r>
            <w:r>
              <w:rPr>
                <w:rFonts w:ascii="Times New Roman"/>
                <w:b/>
                <w:i w:val="false"/>
                <w:color w:val="000000"/>
                <w:sz w:val="20"/>
              </w:rPr>
              <w:t>1. Управление рисками</w:t>
            </w:r>
          </w:p>
          <w:p>
            <w:pPr>
              <w:spacing w:after="20"/>
              <w:ind w:left="20"/>
              <w:jc w:val="both"/>
            </w:pPr>
            <w:r>
              <w:rPr>
                <w:rFonts w:ascii="Times New Roman"/>
                <w:b w:val="false"/>
                <w:i w:val="false"/>
                <w:color w:val="000000"/>
                <w:sz w:val="20"/>
              </w:rPr>
              <w:t>
   Управление рисками применяется в течение жизненного цикла компьютеризированной системы для обеспечения безопасности пациентов, целостности данных и качества продукции. В рамках системы управления рисками решения по объему валидационных испытаний и проведению контролей целостности данных принимаются на основе документально оформленной оценки рисков компьютеризированной системы.</w:t>
            </w:r>
          </w:p>
          <w:p>
            <w:pPr>
              <w:spacing w:after="20"/>
              <w:ind w:left="20"/>
              <w:jc w:val="both"/>
            </w:pPr>
            <w:r>
              <w:rPr>
                <w:rFonts w:ascii="Times New Roman"/>
                <w:b w:val="false"/>
                <w:i w:val="false"/>
                <w:color w:val="000000"/>
                <w:sz w:val="20"/>
              </w:rPr>
              <w:t>
</w:t>
            </w:r>
            <w:r>
              <w:rPr>
                <w:rFonts w:ascii="Times New Roman"/>
                <w:b/>
                <w:i w:val="false"/>
                <w:color w:val="000000"/>
                <w:sz w:val="20"/>
              </w:rPr>
              <w:t>2. Персонал</w:t>
            </w:r>
          </w:p>
          <w:p>
            <w:pPr>
              <w:spacing w:after="20"/>
              <w:ind w:left="20"/>
              <w:jc w:val="both"/>
            </w:pPr>
            <w:r>
              <w:rPr>
                <w:rFonts w:ascii="Times New Roman"/>
                <w:b w:val="false"/>
                <w:i w:val="false"/>
                <w:color w:val="000000"/>
                <w:sz w:val="20"/>
              </w:rPr>
              <w:t>
   Следует поддерживать тесное сотрудничество между всем значимым персоналом, вовлеченным в данный процесс, таким как владелец процесса, владелец системы, Уполномоченные лица и технический (далее - IT) персонал. Весь персонал имеет соответствующую квалификацию, уровень доступа и определенную ответственность для выполнения возложенных на него обязанностей.</w:t>
            </w:r>
          </w:p>
          <w:p>
            <w:pPr>
              <w:spacing w:after="20"/>
              <w:ind w:left="20"/>
              <w:jc w:val="both"/>
            </w:pPr>
            <w:r>
              <w:rPr>
                <w:rFonts w:ascii="Times New Roman"/>
                <w:b w:val="false"/>
                <w:i w:val="false"/>
                <w:color w:val="000000"/>
                <w:sz w:val="20"/>
              </w:rPr>
              <w:t>
</w:t>
            </w:r>
            <w:r>
              <w:rPr>
                <w:rFonts w:ascii="Times New Roman"/>
                <w:b/>
                <w:i w:val="false"/>
                <w:color w:val="000000"/>
                <w:sz w:val="20"/>
              </w:rPr>
              <w:t>3. Поставщики и провайдеры услуг</w:t>
            </w:r>
          </w:p>
          <w:p>
            <w:pPr>
              <w:spacing w:after="20"/>
              <w:ind w:left="20"/>
              <w:jc w:val="both"/>
            </w:pPr>
            <w:r>
              <w:rPr>
                <w:rFonts w:ascii="Times New Roman"/>
                <w:b w:val="false"/>
                <w:i w:val="false"/>
                <w:color w:val="000000"/>
                <w:sz w:val="20"/>
              </w:rPr>
              <w:t>
   3.1. Если для поставки, установки, настройки, задания конфигурации, интегрирования, валидации, технического обслуживания, модификации или поддержания компьютеризированных систем, связанных с ними услуг или обработки данных задействованы третьи лица, то оформляются договоры между производителем и третьими лицами. В этих договорах четко устанавливается ответственность третьих лиц. Аналогичные требования следует предъявлять к подразделениям информационных технологий производителя.</w:t>
            </w:r>
          </w:p>
          <w:p>
            <w:pPr>
              <w:spacing w:after="20"/>
              <w:ind w:left="20"/>
              <w:jc w:val="both"/>
            </w:pPr>
            <w:r>
              <w:rPr>
                <w:rFonts w:ascii="Times New Roman"/>
                <w:b w:val="false"/>
                <w:i w:val="false"/>
                <w:color w:val="000000"/>
                <w:sz w:val="20"/>
              </w:rPr>
              <w:t>
   3.2. Компетентность и надежность поставщиков являются ключевыми условиями выбора провайдеров программного продукта или услуг. Необходимость аудита основывается на оценке рисков.</w:t>
            </w:r>
          </w:p>
          <w:p>
            <w:pPr>
              <w:spacing w:after="20"/>
              <w:ind w:left="20"/>
              <w:jc w:val="both"/>
            </w:pPr>
            <w:r>
              <w:rPr>
                <w:rFonts w:ascii="Times New Roman"/>
                <w:b w:val="false"/>
                <w:i w:val="false"/>
                <w:color w:val="000000"/>
                <w:sz w:val="20"/>
              </w:rPr>
              <w:t>
   3.3. Документация, прилагаемая к коммерчески выпускаемым готовым для использования программным продуктам, рассматривается уполномоченными представителями заказчика на предмет соответствия требованиям пользователя.</w:t>
            </w:r>
          </w:p>
          <w:p>
            <w:pPr>
              <w:spacing w:after="20"/>
              <w:ind w:left="20"/>
              <w:jc w:val="both"/>
            </w:pPr>
            <w:r>
              <w:rPr>
                <w:rFonts w:ascii="Times New Roman"/>
                <w:b w:val="false"/>
                <w:i w:val="false"/>
                <w:color w:val="000000"/>
                <w:sz w:val="20"/>
              </w:rPr>
              <w:t>
   3.4. Информация о системе качества и аудитах поставщиков или разработчиков программного обеспечения и установленных компьютеризированных систем является доступной для предоставления инспекторам по их требованию.</w:t>
            </w:r>
          </w:p>
          <w:p>
            <w:pPr>
              <w:spacing w:after="20"/>
              <w:ind w:left="20"/>
              <w:jc w:val="both"/>
            </w:pPr>
            <w:r>
              <w:rPr>
                <w:rFonts w:ascii="Times New Roman"/>
                <w:b w:val="false"/>
                <w:i w:val="false"/>
                <w:color w:val="000000"/>
                <w:sz w:val="20"/>
              </w:rPr>
              <w:t>
</w:t>
            </w:r>
            <w:r>
              <w:rPr>
                <w:rFonts w:ascii="Times New Roman"/>
                <w:b/>
                <w:i w:val="false"/>
                <w:color w:val="000000"/>
                <w:sz w:val="20"/>
              </w:rPr>
              <w:t>Стадия проекта</w:t>
            </w:r>
          </w:p>
          <w:p>
            <w:pPr>
              <w:spacing w:after="20"/>
              <w:ind w:left="20"/>
              <w:jc w:val="both"/>
            </w:pPr>
            <w:r>
              <w:rPr>
                <w:rFonts w:ascii="Times New Roman"/>
                <w:b w:val="false"/>
                <w:i w:val="false"/>
                <w:color w:val="000000"/>
                <w:sz w:val="20"/>
              </w:rPr>
              <w:t>
</w:t>
            </w:r>
            <w:r>
              <w:rPr>
                <w:rFonts w:ascii="Times New Roman"/>
                <w:b/>
                <w:i w:val="false"/>
                <w:color w:val="000000"/>
                <w:sz w:val="20"/>
              </w:rPr>
              <w:t>4. Валидация</w:t>
            </w:r>
          </w:p>
          <w:p>
            <w:pPr>
              <w:spacing w:after="20"/>
              <w:ind w:left="20"/>
              <w:jc w:val="both"/>
            </w:pPr>
            <w:r>
              <w:rPr>
                <w:rFonts w:ascii="Times New Roman"/>
                <w:b w:val="false"/>
                <w:i w:val="false"/>
                <w:color w:val="000000"/>
                <w:sz w:val="20"/>
              </w:rPr>
              <w:t>
   4.1. Валидационная документация и отчеты охватывают соответствующие стадии жизненного цикла компьютеризированной системы. Производители обосновывают свои стандарты, протоколы, критерии приемлемости, процедуры и записи на основе оценки рисков.</w:t>
            </w:r>
          </w:p>
          <w:p>
            <w:pPr>
              <w:spacing w:after="20"/>
              <w:ind w:left="20"/>
              <w:jc w:val="both"/>
            </w:pPr>
            <w:r>
              <w:rPr>
                <w:rFonts w:ascii="Times New Roman"/>
                <w:b w:val="false"/>
                <w:i w:val="false"/>
                <w:color w:val="000000"/>
                <w:sz w:val="20"/>
              </w:rPr>
              <w:t>
   4.2. Валидационная документация включает записи контроля изменений (если применимо) и отчеты о любых отклонениях, выявленных в ходе процесса валидации.</w:t>
            </w:r>
          </w:p>
          <w:p>
            <w:pPr>
              <w:spacing w:after="20"/>
              <w:ind w:left="20"/>
              <w:jc w:val="both"/>
            </w:pPr>
            <w:r>
              <w:rPr>
                <w:rFonts w:ascii="Times New Roman"/>
                <w:b w:val="false"/>
                <w:i w:val="false"/>
                <w:color w:val="000000"/>
                <w:sz w:val="20"/>
              </w:rPr>
              <w:t>
   4.3. В наличии имеется текущий перечень (реестр) всех используемых компьютеризированных систем с указанием их функциональности, подпадающей под требования настоящего Стандарта.</w:t>
            </w:r>
          </w:p>
          <w:p>
            <w:pPr>
              <w:spacing w:after="20"/>
              <w:ind w:left="20"/>
              <w:jc w:val="both"/>
            </w:pPr>
            <w:r>
              <w:rPr>
                <w:rFonts w:ascii="Times New Roman"/>
                <w:b w:val="false"/>
                <w:i w:val="false"/>
                <w:color w:val="000000"/>
                <w:sz w:val="20"/>
              </w:rPr>
              <w:t>
   Для критических компьютеризированных систем обеспечивается наличие подробного текущего описания физических и логических взаимосвязей, потоков данных и интерфейсов с другими системами или процессами, требуемые ресурсы всего компьютерного оборудования и программного обеспечения, доступные меры безопасности.</w:t>
            </w:r>
          </w:p>
          <w:p>
            <w:pPr>
              <w:spacing w:after="20"/>
              <w:ind w:left="20"/>
              <w:jc w:val="both"/>
            </w:pPr>
            <w:r>
              <w:rPr>
                <w:rFonts w:ascii="Times New Roman"/>
                <w:b w:val="false"/>
                <w:i w:val="false"/>
                <w:color w:val="000000"/>
                <w:sz w:val="20"/>
              </w:rPr>
              <w:t>
   4.4. Спецификации требований пользователя описывают необходимые функции компьютеризированной системы на основе документально оформленной оценки рисков и влияния с точки зрения соблюдения настоящего Стандарта. Требования пользователя прослеживаются на протяжении всего жизненного цикла компьютеризированной системы.</w:t>
            </w:r>
          </w:p>
          <w:p>
            <w:pPr>
              <w:spacing w:after="20"/>
              <w:ind w:left="20"/>
              <w:jc w:val="both"/>
            </w:pPr>
            <w:r>
              <w:rPr>
                <w:rFonts w:ascii="Times New Roman"/>
                <w:b w:val="false"/>
                <w:i w:val="false"/>
                <w:color w:val="000000"/>
                <w:sz w:val="20"/>
              </w:rPr>
              <w:t>
   4.5. Заказчик предпринимает меры, гарантирующие, что компьютеризированная система разработана в соответствии с надлежащей системой управления качеством. Поставщик оценивается соответствующим образом.</w:t>
            </w:r>
          </w:p>
          <w:p>
            <w:pPr>
              <w:spacing w:after="20"/>
              <w:ind w:left="20"/>
              <w:jc w:val="both"/>
            </w:pPr>
            <w:r>
              <w:rPr>
                <w:rFonts w:ascii="Times New Roman"/>
                <w:b w:val="false"/>
                <w:i w:val="false"/>
                <w:color w:val="000000"/>
                <w:sz w:val="20"/>
              </w:rPr>
              <w:t>
   4.6. С целью валидации компьютеризированных систем, изготовленных по индивидуальному заказу или модифицированных в соответствии с требованиями заказчика, разрабатывается документированная процедура оценки качества и эксплуатационных характеристик компьютеризированной системы на всех этапах ее жизненного цикла с оформлением соответствующих отчетов.</w:t>
            </w:r>
          </w:p>
          <w:p>
            <w:pPr>
              <w:spacing w:after="20"/>
              <w:ind w:left="20"/>
              <w:jc w:val="both"/>
            </w:pPr>
            <w:r>
              <w:rPr>
                <w:rFonts w:ascii="Times New Roman"/>
                <w:b w:val="false"/>
                <w:i w:val="false"/>
                <w:color w:val="000000"/>
                <w:sz w:val="20"/>
              </w:rPr>
              <w:t>
   4.7. Представляются доказательства соответствия методов и схем тестирования компьютеризированной системы. В частности, рассматриваются пределы параметров системы или процесса, границы данных и обработка ошибок. Оценка соответствия применения автоматизированных средств тестирования и режимов их работы оформляется документально.</w:t>
            </w:r>
          </w:p>
          <w:p>
            <w:pPr>
              <w:spacing w:after="20"/>
              <w:ind w:left="20"/>
              <w:jc w:val="both"/>
            </w:pPr>
            <w:r>
              <w:rPr>
                <w:rFonts w:ascii="Times New Roman"/>
                <w:b w:val="false"/>
                <w:i w:val="false"/>
                <w:color w:val="000000"/>
                <w:sz w:val="20"/>
              </w:rPr>
              <w:t>
   4.8. Если данные переводятся в другой формат или систему данных, валидация включает проверку неизменности значения и смысла данных в процессе их миграции. </w:t>
            </w:r>
          </w:p>
          <w:p>
            <w:pPr>
              <w:spacing w:after="20"/>
              <w:ind w:left="20"/>
              <w:jc w:val="both"/>
            </w:pPr>
            <w:r>
              <w:rPr>
                <w:rFonts w:ascii="Times New Roman"/>
                <w:b w:val="false"/>
                <w:i w:val="false"/>
                <w:color w:val="000000"/>
                <w:sz w:val="20"/>
              </w:rPr>
              <w:t>
</w:t>
            </w:r>
            <w:r>
              <w:rPr>
                <w:rFonts w:ascii="Times New Roman"/>
                <w:b/>
                <w:i w:val="false"/>
                <w:color w:val="000000"/>
                <w:sz w:val="20"/>
              </w:rPr>
              <w:t>Стадия эксплуатации</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5. Данные</w:t>
            </w:r>
            <w:r>
              <w:rPr>
                <w:rFonts w:ascii="Times New Roman"/>
                <w:b w:val="false"/>
                <w:i w:val="false"/>
                <w:color w:val="000000"/>
                <w:sz w:val="20"/>
              </w:rPr>
              <w:t> </w:t>
            </w:r>
          </w:p>
          <w:p>
            <w:pPr>
              <w:spacing w:after="20"/>
              <w:ind w:left="20"/>
              <w:jc w:val="both"/>
            </w:pPr>
            <w:r>
              <w:rPr>
                <w:rFonts w:ascii="Times New Roman"/>
                <w:b w:val="false"/>
                <w:i w:val="false"/>
                <w:color w:val="000000"/>
                <w:sz w:val="20"/>
              </w:rPr>
              <w:t>
   Компьютеризированные системы, осуществляющие электронный обмен данных с другими системами, включают соответствующие встроенные средства контроля правильного и безопасного ввода и обработки данных с целью минимизации рисков. </w:t>
            </w:r>
          </w:p>
          <w:p>
            <w:pPr>
              <w:spacing w:after="20"/>
              <w:ind w:left="20"/>
              <w:jc w:val="both"/>
            </w:pPr>
            <w:r>
              <w:rPr>
                <w:rFonts w:ascii="Times New Roman"/>
                <w:b w:val="false"/>
                <w:i w:val="false"/>
                <w:color w:val="000000"/>
                <w:sz w:val="20"/>
              </w:rPr>
              <w:t>
</w:t>
            </w:r>
            <w:r>
              <w:rPr>
                <w:rFonts w:ascii="Times New Roman"/>
                <w:b/>
                <w:i w:val="false"/>
                <w:color w:val="000000"/>
                <w:sz w:val="20"/>
              </w:rPr>
              <w:t>6. Контроль точности</w:t>
            </w:r>
            <w:r>
              <w:rPr>
                <w:rFonts w:ascii="Times New Roman"/>
                <w:b w:val="false"/>
                <w:i w:val="false"/>
                <w:color w:val="000000"/>
                <w:sz w:val="20"/>
              </w:rPr>
              <w:t> </w:t>
            </w:r>
          </w:p>
          <w:p>
            <w:pPr>
              <w:spacing w:after="20"/>
              <w:ind w:left="20"/>
              <w:jc w:val="both"/>
            </w:pPr>
            <w:r>
              <w:rPr>
                <w:rFonts w:ascii="Times New Roman"/>
                <w:b w:val="false"/>
                <w:i w:val="false"/>
                <w:color w:val="000000"/>
                <w:sz w:val="20"/>
              </w:rPr>
              <w:t>
   Для критических данных, вводимых вручную, следует предусмотреть дополнительный контроль точности ввода данных. Этот контроль может осуществляться вторым оператором или с помощью валидированных электронных средств. Критичность и потенциальные последствия ошибочного или неправильного ввода данных в систему охватываются системой управления рисками. </w:t>
            </w:r>
          </w:p>
          <w:p>
            <w:pPr>
              <w:spacing w:after="20"/>
              <w:ind w:left="20"/>
              <w:jc w:val="both"/>
            </w:pPr>
            <w:r>
              <w:rPr>
                <w:rFonts w:ascii="Times New Roman"/>
                <w:b w:val="false"/>
                <w:i w:val="false"/>
                <w:color w:val="000000"/>
                <w:sz w:val="20"/>
              </w:rPr>
              <w:t>
</w:t>
            </w:r>
            <w:r>
              <w:rPr>
                <w:rFonts w:ascii="Times New Roman"/>
                <w:b/>
                <w:i w:val="false"/>
                <w:color w:val="000000"/>
                <w:sz w:val="20"/>
              </w:rPr>
              <w:t>7. Хранение данных</w:t>
            </w:r>
            <w:r>
              <w:rPr>
                <w:rFonts w:ascii="Times New Roman"/>
                <w:b w:val="false"/>
                <w:i w:val="false"/>
                <w:color w:val="000000"/>
                <w:sz w:val="20"/>
              </w:rPr>
              <w:t> </w:t>
            </w:r>
          </w:p>
          <w:p>
            <w:pPr>
              <w:spacing w:after="20"/>
              <w:ind w:left="20"/>
              <w:jc w:val="both"/>
            </w:pPr>
            <w:r>
              <w:rPr>
                <w:rFonts w:ascii="Times New Roman"/>
                <w:b w:val="false"/>
                <w:i w:val="false"/>
                <w:color w:val="000000"/>
                <w:sz w:val="20"/>
              </w:rPr>
              <w:t>
   7.1. Данные защищаются от повреждений как физическими, так и электронными мерами. Сохраненные данные проверяются на доступность, читаемость и точность. Доступ к данным обеспечивается на протяжении всего периода их хранения.</w:t>
            </w:r>
          </w:p>
          <w:p>
            <w:pPr>
              <w:spacing w:after="20"/>
              <w:ind w:left="20"/>
              <w:jc w:val="both"/>
            </w:pPr>
            <w:r>
              <w:rPr>
                <w:rFonts w:ascii="Times New Roman"/>
                <w:b w:val="false"/>
                <w:i w:val="false"/>
                <w:color w:val="000000"/>
                <w:sz w:val="20"/>
              </w:rPr>
              <w:t>
   7.2. Резервное копирование всех необходимых данных выполняется регулярно. Сохранность и точность резервных копий, а также возможность восстановления данных проверяется в процессе валидации и периодически контролируется. </w:t>
            </w:r>
          </w:p>
          <w:p>
            <w:pPr>
              <w:spacing w:after="20"/>
              <w:ind w:left="20"/>
              <w:jc w:val="both"/>
            </w:pPr>
            <w:r>
              <w:rPr>
                <w:rFonts w:ascii="Times New Roman"/>
                <w:b w:val="false"/>
                <w:i w:val="false"/>
                <w:color w:val="000000"/>
                <w:sz w:val="20"/>
              </w:rPr>
              <w:t>
</w:t>
            </w:r>
            <w:r>
              <w:rPr>
                <w:rFonts w:ascii="Times New Roman"/>
                <w:b/>
                <w:i w:val="false"/>
                <w:color w:val="000000"/>
                <w:sz w:val="20"/>
              </w:rPr>
              <w:t>8. Распечатки</w:t>
            </w:r>
            <w:r>
              <w:rPr>
                <w:rFonts w:ascii="Times New Roman"/>
                <w:b w:val="false"/>
                <w:i w:val="false"/>
                <w:color w:val="000000"/>
                <w:sz w:val="20"/>
              </w:rPr>
              <w:t> </w:t>
            </w:r>
          </w:p>
          <w:p>
            <w:pPr>
              <w:spacing w:after="20"/>
              <w:ind w:left="20"/>
              <w:jc w:val="both"/>
            </w:pPr>
            <w:r>
              <w:rPr>
                <w:rFonts w:ascii="Times New Roman"/>
                <w:b w:val="false"/>
                <w:i w:val="false"/>
                <w:color w:val="000000"/>
                <w:sz w:val="20"/>
              </w:rPr>
              <w:t>
   8.1. Имеется возможность получения четких печатных копий данных, хранящихся в электронном виде.</w:t>
            </w:r>
          </w:p>
          <w:p>
            <w:pPr>
              <w:spacing w:after="20"/>
              <w:ind w:left="20"/>
              <w:jc w:val="both"/>
            </w:pPr>
            <w:r>
              <w:rPr>
                <w:rFonts w:ascii="Times New Roman"/>
                <w:b w:val="false"/>
                <w:i w:val="false"/>
                <w:color w:val="000000"/>
                <w:sz w:val="20"/>
              </w:rPr>
              <w:t>
   8.2. Для записей, сопровождающих разрешение на выпуск серии, предусматривается возможность получения распечаток, указывающих, изменялись ли какие-либо данные с момента их первоначального ввода. </w:t>
            </w:r>
          </w:p>
          <w:p>
            <w:pPr>
              <w:spacing w:after="20"/>
              <w:ind w:left="20"/>
              <w:jc w:val="both"/>
            </w:pPr>
            <w:r>
              <w:rPr>
                <w:rFonts w:ascii="Times New Roman"/>
                <w:b w:val="false"/>
                <w:i w:val="false"/>
                <w:color w:val="000000"/>
                <w:sz w:val="20"/>
              </w:rPr>
              <w:t>
</w:t>
            </w:r>
            <w:r>
              <w:rPr>
                <w:rFonts w:ascii="Times New Roman"/>
                <w:b/>
                <w:i w:val="false"/>
                <w:color w:val="000000"/>
                <w:sz w:val="20"/>
              </w:rPr>
              <w:t>9. Контрольные следы</w:t>
            </w:r>
            <w:r>
              <w:rPr>
                <w:rFonts w:ascii="Times New Roman"/>
                <w:b w:val="false"/>
                <w:i w:val="false"/>
                <w:color w:val="000000"/>
                <w:sz w:val="20"/>
              </w:rPr>
              <w:t> </w:t>
            </w:r>
          </w:p>
          <w:p>
            <w:pPr>
              <w:spacing w:after="20"/>
              <w:ind w:left="20"/>
              <w:jc w:val="both"/>
            </w:pPr>
            <w:r>
              <w:rPr>
                <w:rFonts w:ascii="Times New Roman"/>
                <w:b w:val="false"/>
                <w:i w:val="false"/>
                <w:color w:val="000000"/>
                <w:sz w:val="20"/>
              </w:rPr>
              <w:t>
   На основе оценки рисков уделяется внимание встраиванию в систему возможности создания записей всех существенных изменений и удалений, связанных с областью действия настоящего Стандарта, то есть системы, создающей "контрольные следы". Причины таких связанных с настоящим Стандартом изменений или удалений данных оформляются документально. Контрольные следы доступны, имеют возможность их преобразования в понятную для пользователей форму, регулярно проверяются. </w:t>
            </w:r>
          </w:p>
          <w:p>
            <w:pPr>
              <w:spacing w:after="20"/>
              <w:ind w:left="20"/>
              <w:jc w:val="both"/>
            </w:pPr>
            <w:r>
              <w:rPr>
                <w:rFonts w:ascii="Times New Roman"/>
                <w:b w:val="false"/>
                <w:i w:val="false"/>
                <w:color w:val="000000"/>
                <w:sz w:val="20"/>
              </w:rPr>
              <w:t>
</w:t>
            </w:r>
            <w:r>
              <w:rPr>
                <w:rFonts w:ascii="Times New Roman"/>
                <w:b/>
                <w:i w:val="false"/>
                <w:color w:val="000000"/>
                <w:sz w:val="20"/>
              </w:rPr>
              <w:t>10. Управление изменениями и конфигурацией</w:t>
            </w:r>
            <w:r>
              <w:rPr>
                <w:rFonts w:ascii="Times New Roman"/>
                <w:b w:val="false"/>
                <w:i w:val="false"/>
                <w:color w:val="000000"/>
                <w:sz w:val="20"/>
              </w:rPr>
              <w:t> </w:t>
            </w:r>
          </w:p>
          <w:p>
            <w:pPr>
              <w:spacing w:after="20"/>
              <w:ind w:left="20"/>
              <w:jc w:val="both"/>
            </w:pPr>
            <w:r>
              <w:rPr>
                <w:rFonts w:ascii="Times New Roman"/>
                <w:b w:val="false"/>
                <w:i w:val="false"/>
                <w:color w:val="000000"/>
                <w:sz w:val="20"/>
              </w:rPr>
              <w:t>
   Любые изменения в компьютеризированной системе, включая конфигурацию системы, проводится только контролируемым способом в соответствии с установленной процедурой. </w:t>
            </w:r>
          </w:p>
          <w:p>
            <w:pPr>
              <w:spacing w:after="20"/>
              <w:ind w:left="20"/>
              <w:jc w:val="both"/>
            </w:pPr>
            <w:r>
              <w:rPr>
                <w:rFonts w:ascii="Times New Roman"/>
                <w:b w:val="false"/>
                <w:i w:val="false"/>
                <w:color w:val="000000"/>
                <w:sz w:val="20"/>
              </w:rPr>
              <w:t>
</w:t>
            </w:r>
            <w:r>
              <w:rPr>
                <w:rFonts w:ascii="Times New Roman"/>
                <w:b/>
                <w:i w:val="false"/>
                <w:color w:val="000000"/>
                <w:sz w:val="20"/>
              </w:rPr>
              <w:t>11. Периодическая оценка</w:t>
            </w:r>
            <w:r>
              <w:rPr>
                <w:rFonts w:ascii="Times New Roman"/>
                <w:b w:val="false"/>
                <w:i w:val="false"/>
                <w:color w:val="000000"/>
                <w:sz w:val="20"/>
              </w:rPr>
              <w:t> </w:t>
            </w:r>
          </w:p>
          <w:p>
            <w:pPr>
              <w:spacing w:after="20"/>
              <w:ind w:left="20"/>
              <w:jc w:val="both"/>
            </w:pPr>
            <w:r>
              <w:rPr>
                <w:rFonts w:ascii="Times New Roman"/>
                <w:b w:val="false"/>
                <w:i w:val="false"/>
                <w:color w:val="000000"/>
                <w:sz w:val="20"/>
              </w:rPr>
              <w:t>
   Компьютеризированные системы периодически оцениваются для подтверждения того, что они остаются в валидированном состоянии и соответствуют требованиям настоящего Стандарта. Такие оценки включают оценку текущего диапазона функциональных возможностей, записей отклонений, сбоев, проблем, истории обновлении, отчеты об эксплуатации, надежности, защищенности и о валидационном статусе. </w:t>
            </w:r>
          </w:p>
          <w:p>
            <w:pPr>
              <w:spacing w:after="20"/>
              <w:ind w:left="20"/>
              <w:jc w:val="both"/>
            </w:pPr>
            <w:r>
              <w:rPr>
                <w:rFonts w:ascii="Times New Roman"/>
                <w:b w:val="false"/>
                <w:i w:val="false"/>
                <w:color w:val="000000"/>
                <w:sz w:val="20"/>
              </w:rPr>
              <w:t>
</w:t>
            </w:r>
            <w:r>
              <w:rPr>
                <w:rFonts w:ascii="Times New Roman"/>
                <w:b/>
                <w:i w:val="false"/>
                <w:color w:val="000000"/>
                <w:sz w:val="20"/>
              </w:rPr>
              <w:t>12. Защита</w:t>
            </w:r>
            <w:r>
              <w:rPr>
                <w:rFonts w:ascii="Times New Roman"/>
                <w:b w:val="false"/>
                <w:i w:val="false"/>
                <w:color w:val="000000"/>
                <w:sz w:val="20"/>
              </w:rPr>
              <w:t> </w:t>
            </w:r>
          </w:p>
          <w:p>
            <w:pPr>
              <w:spacing w:after="20"/>
              <w:ind w:left="20"/>
              <w:jc w:val="both"/>
            </w:pPr>
            <w:r>
              <w:rPr>
                <w:rFonts w:ascii="Times New Roman"/>
                <w:b w:val="false"/>
                <w:i w:val="false"/>
                <w:color w:val="000000"/>
                <w:sz w:val="20"/>
              </w:rPr>
              <w:t>
   12.1. Имеются в наличии физические и (или) логические элементы контроля для обеспечения доступа к компьютеризированной системе только уполномоченным на то лицам. Соответствующие способы предотвращения несанкционированного доступа к системе могут включать в себя использование ключей, карточек доступа, персональных кодов с паролями, биометрических данных, ограничения доступа к компьютерному оборудованию и зонам хранения данных.</w:t>
            </w:r>
          </w:p>
          <w:p>
            <w:pPr>
              <w:spacing w:after="20"/>
              <w:ind w:left="20"/>
              <w:jc w:val="both"/>
            </w:pPr>
            <w:r>
              <w:rPr>
                <w:rFonts w:ascii="Times New Roman"/>
                <w:b w:val="false"/>
                <w:i w:val="false"/>
                <w:color w:val="000000"/>
                <w:sz w:val="20"/>
              </w:rPr>
              <w:t>
   12.2. Степень защиты зависит от критичности компьютеризированной системы.</w:t>
            </w:r>
          </w:p>
          <w:p>
            <w:pPr>
              <w:spacing w:after="20"/>
              <w:ind w:left="20"/>
              <w:jc w:val="both"/>
            </w:pPr>
            <w:r>
              <w:rPr>
                <w:rFonts w:ascii="Times New Roman"/>
                <w:b w:val="false"/>
                <w:i w:val="false"/>
                <w:color w:val="000000"/>
                <w:sz w:val="20"/>
              </w:rPr>
              <w:t>
   12.3. Создание, изменение и аннулирование прав доступа регистрируется.</w:t>
            </w:r>
          </w:p>
          <w:p>
            <w:pPr>
              <w:spacing w:after="20"/>
              <w:ind w:left="20"/>
              <w:jc w:val="both"/>
            </w:pPr>
            <w:r>
              <w:rPr>
                <w:rFonts w:ascii="Times New Roman"/>
                <w:b w:val="false"/>
                <w:i w:val="false"/>
                <w:color w:val="000000"/>
                <w:sz w:val="20"/>
              </w:rPr>
              <w:t>
   12.4. Разрабатывается система управления данными и документами для идентификации операторов, осуществляющих вход, а также для регистрации изменения, подтверждения или удаления данных, включая дату и время. </w:t>
            </w:r>
          </w:p>
          <w:p>
            <w:pPr>
              <w:spacing w:after="20"/>
              <w:ind w:left="20"/>
              <w:jc w:val="both"/>
            </w:pPr>
            <w:r>
              <w:rPr>
                <w:rFonts w:ascii="Times New Roman"/>
                <w:b w:val="false"/>
                <w:i w:val="false"/>
                <w:color w:val="000000"/>
                <w:sz w:val="20"/>
              </w:rPr>
              <w:t>
</w:t>
            </w:r>
            <w:r>
              <w:rPr>
                <w:rFonts w:ascii="Times New Roman"/>
                <w:b/>
                <w:i w:val="false"/>
                <w:color w:val="000000"/>
                <w:sz w:val="20"/>
              </w:rPr>
              <w:t>13. Управление инцидентами</w:t>
            </w:r>
            <w:r>
              <w:rPr>
                <w:rFonts w:ascii="Times New Roman"/>
                <w:b w:val="false"/>
                <w:i w:val="false"/>
                <w:color w:val="000000"/>
                <w:sz w:val="20"/>
              </w:rPr>
              <w:t> </w:t>
            </w:r>
          </w:p>
          <w:p>
            <w:pPr>
              <w:spacing w:after="20"/>
              <w:ind w:left="20"/>
              <w:jc w:val="both"/>
            </w:pPr>
            <w:r>
              <w:rPr>
                <w:rFonts w:ascii="Times New Roman"/>
                <w:b w:val="false"/>
                <w:i w:val="false"/>
                <w:color w:val="000000"/>
                <w:sz w:val="20"/>
              </w:rPr>
              <w:t>
   Все инциденты, непредвиденные случаи, включая системные сбои и ошибки данных, записываются и оцениваются. Устанавливается основная причина критических сбоев и использовать эту информацию в качестве основы корректирующих и предупреждающих действий. </w:t>
            </w:r>
          </w:p>
          <w:p>
            <w:pPr>
              <w:spacing w:after="20"/>
              <w:ind w:left="20"/>
              <w:jc w:val="both"/>
            </w:pPr>
            <w:r>
              <w:rPr>
                <w:rFonts w:ascii="Times New Roman"/>
                <w:b w:val="false"/>
                <w:i w:val="false"/>
                <w:color w:val="000000"/>
                <w:sz w:val="20"/>
              </w:rPr>
              <w:t>
</w:t>
            </w:r>
            <w:r>
              <w:rPr>
                <w:rFonts w:ascii="Times New Roman"/>
                <w:b/>
                <w:i w:val="false"/>
                <w:color w:val="000000"/>
                <w:sz w:val="20"/>
              </w:rPr>
              <w:t>14. Электронная подпись</w:t>
            </w: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Электронные записи могут быть подписаны в электронном виде. Электронные подписи:</w:t>
            </w:r>
          </w:p>
          <w:p>
            <w:pPr>
              <w:spacing w:after="20"/>
              <w:ind w:left="20"/>
              <w:jc w:val="both"/>
            </w:pPr>
            <w:r>
              <w:rPr>
                <w:rFonts w:ascii="Times New Roman"/>
                <w:b w:val="false"/>
                <w:i w:val="false"/>
                <w:color w:val="000000"/>
                <w:sz w:val="20"/>
              </w:rPr>
              <w:t>
   1) в рамках предприятия имеют такое же значение, как рукописные подписи;</w:t>
            </w:r>
          </w:p>
          <w:p>
            <w:pPr>
              <w:spacing w:after="20"/>
              <w:ind w:left="20"/>
              <w:jc w:val="both"/>
            </w:pPr>
            <w:r>
              <w:rPr>
                <w:rFonts w:ascii="Times New Roman"/>
                <w:b w:val="false"/>
                <w:i w:val="false"/>
                <w:color w:val="000000"/>
                <w:sz w:val="20"/>
              </w:rPr>
              <w:t>
   2) неразрывно связаны с соответствующими записями;</w:t>
            </w:r>
          </w:p>
          <w:p>
            <w:pPr>
              <w:spacing w:after="20"/>
              <w:ind w:left="20"/>
              <w:jc w:val="both"/>
            </w:pPr>
            <w:r>
              <w:rPr>
                <w:rFonts w:ascii="Times New Roman"/>
                <w:b w:val="false"/>
                <w:i w:val="false"/>
                <w:color w:val="000000"/>
                <w:sz w:val="20"/>
              </w:rPr>
              <w:t>
   3) включают время и дату, когда они были поставлены. </w:t>
            </w:r>
          </w:p>
          <w:p>
            <w:pPr>
              <w:spacing w:after="20"/>
              <w:ind w:left="20"/>
              <w:jc w:val="both"/>
            </w:pPr>
            <w:r>
              <w:rPr>
                <w:rFonts w:ascii="Times New Roman"/>
                <w:b w:val="false"/>
                <w:i w:val="false"/>
                <w:color w:val="000000"/>
                <w:sz w:val="20"/>
              </w:rPr>
              <w:t>
</w:t>
            </w:r>
            <w:r>
              <w:rPr>
                <w:rFonts w:ascii="Times New Roman"/>
                <w:b/>
                <w:i w:val="false"/>
                <w:color w:val="000000"/>
                <w:sz w:val="20"/>
              </w:rPr>
              <w:t>15. Выпуск серии</w:t>
            </w:r>
            <w:r>
              <w:rPr>
                <w:rFonts w:ascii="Times New Roman"/>
                <w:b w:val="false"/>
                <w:i w:val="false"/>
                <w:color w:val="000000"/>
                <w:sz w:val="20"/>
              </w:rPr>
              <w:t> </w:t>
            </w:r>
          </w:p>
          <w:p>
            <w:pPr>
              <w:spacing w:after="20"/>
              <w:ind w:left="20"/>
              <w:jc w:val="both"/>
            </w:pPr>
            <w:r>
              <w:rPr>
                <w:rFonts w:ascii="Times New Roman"/>
                <w:b w:val="false"/>
                <w:i w:val="false"/>
                <w:color w:val="000000"/>
                <w:sz w:val="20"/>
              </w:rPr>
              <w:t>
   Если для регистрации процедуры одобрения и выпуска серии используется компьютеризированная система, она предоставляет доступ для выпуска серии только Уполномоченному лицу, а также четко идентифицирует и регистрирует сотрудника, который одобрил и выпустил серию в реализацию. Эти действия осуществляются с использованием электронной подписи. </w:t>
            </w:r>
          </w:p>
          <w:p>
            <w:pPr>
              <w:spacing w:after="20"/>
              <w:ind w:left="20"/>
              <w:jc w:val="both"/>
            </w:pPr>
            <w:r>
              <w:rPr>
                <w:rFonts w:ascii="Times New Roman"/>
                <w:b w:val="false"/>
                <w:i w:val="false"/>
                <w:color w:val="000000"/>
                <w:sz w:val="20"/>
              </w:rPr>
              <w:t>
</w:t>
            </w:r>
            <w:r>
              <w:rPr>
                <w:rFonts w:ascii="Times New Roman"/>
                <w:b/>
                <w:i w:val="false"/>
                <w:color w:val="000000"/>
                <w:sz w:val="20"/>
              </w:rPr>
              <w:t>16. Непрерывность работы</w:t>
            </w:r>
            <w:r>
              <w:rPr>
                <w:rFonts w:ascii="Times New Roman"/>
                <w:b w:val="false"/>
                <w:i w:val="false"/>
                <w:color w:val="000000"/>
                <w:sz w:val="20"/>
              </w:rPr>
              <w:t> </w:t>
            </w:r>
          </w:p>
          <w:p>
            <w:pPr>
              <w:spacing w:after="20"/>
              <w:ind w:left="20"/>
              <w:jc w:val="both"/>
            </w:pPr>
            <w:r>
              <w:rPr>
                <w:rFonts w:ascii="Times New Roman"/>
                <w:b w:val="false"/>
                <w:i w:val="false"/>
                <w:color w:val="000000"/>
                <w:sz w:val="20"/>
              </w:rPr>
              <w:t>
   С целью обеспечения работоспособности компьютеризированных систем, сопровождающих критические процессы, предпринимаются меры предосторожности для гарантии непрерывности поддержки этих процессов в случае выхода системы из строя с использованием ручной или альтернативной системы. Время, необходимое для введения в действие альтернативных средств, учитывает риски и соответствует  конкретной компьютеризированной системе и сопровождаемому рабочему процессу. Эти меры надлежащим образом оформляются документально и проверяются. </w:t>
            </w:r>
          </w:p>
          <w:p>
            <w:pPr>
              <w:spacing w:after="20"/>
              <w:ind w:left="20"/>
              <w:jc w:val="both"/>
            </w:pPr>
            <w:r>
              <w:rPr>
                <w:rFonts w:ascii="Times New Roman"/>
                <w:b w:val="false"/>
                <w:i w:val="false"/>
                <w:color w:val="000000"/>
                <w:sz w:val="20"/>
              </w:rPr>
              <w:t>
</w:t>
            </w:r>
            <w:r>
              <w:rPr>
                <w:rFonts w:ascii="Times New Roman"/>
                <w:b/>
                <w:i w:val="false"/>
                <w:color w:val="000000"/>
                <w:sz w:val="20"/>
              </w:rPr>
              <w:t>17. Архивирование</w:t>
            </w:r>
            <w:r>
              <w:rPr>
                <w:rFonts w:ascii="Times New Roman"/>
                <w:b w:val="false"/>
                <w:i w:val="false"/>
                <w:color w:val="000000"/>
                <w:sz w:val="20"/>
              </w:rPr>
              <w:t> </w:t>
            </w:r>
          </w:p>
          <w:p>
            <w:pPr>
              <w:spacing w:after="20"/>
              <w:ind w:left="20"/>
              <w:jc w:val="both"/>
            </w:pPr>
            <w:r>
              <w:rPr>
                <w:rFonts w:ascii="Times New Roman"/>
                <w:b w:val="false"/>
                <w:i w:val="false"/>
                <w:color w:val="000000"/>
                <w:sz w:val="20"/>
              </w:rPr>
              <w:t>
   Данные могут архивироваться. Эти данные проверяются на доступность, удобство чтения и целостность. Если в компьютеризированной системе необходимо провести существенные изменения в части компьютерного оборудования или программного обеспечения, обеспечивается и проверяется возможность восстановления данных.  </w:t>
            </w:r>
          </w:p>
          <w:p>
            <w:pPr>
              <w:spacing w:after="20"/>
              <w:ind w:left="20"/>
              <w:jc w:val="both"/>
            </w:pPr>
            <w:r>
              <w:rPr>
                <w:rFonts w:ascii="Times New Roman"/>
                <w:b w:val="false"/>
                <w:i w:val="false"/>
                <w:color w:val="000000"/>
                <w:sz w:val="20"/>
              </w:rPr>
              <w:t>
</w:t>
            </w:r>
            <w:r>
              <w:rPr>
                <w:rFonts w:ascii="Times New Roman"/>
                <w:b/>
                <w:i w:val="false"/>
                <w:color w:val="000000"/>
                <w:sz w:val="20"/>
              </w:rPr>
              <w:t>Термины и определения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Владелец процесса - лицо, ответственное за рабочий процесс.</w:t>
            </w:r>
          </w:p>
          <w:p>
            <w:pPr>
              <w:spacing w:after="20"/>
              <w:ind w:left="20"/>
              <w:jc w:val="both"/>
            </w:pPr>
            <w:r>
              <w:rPr>
                <w:rFonts w:ascii="Times New Roman"/>
                <w:b w:val="false"/>
                <w:i w:val="false"/>
                <w:color w:val="000000"/>
                <w:sz w:val="20"/>
              </w:rPr>
              <w:t>
   Владелец системы - лицо, ответственное за работоспособность и обслуживание компьютеризированной системы, а также за защиту находящихся в ней данных.</w:t>
            </w:r>
          </w:p>
          <w:p>
            <w:pPr>
              <w:spacing w:after="20"/>
              <w:ind w:left="20"/>
              <w:jc w:val="both"/>
            </w:pPr>
            <w:r>
              <w:rPr>
                <w:rFonts w:ascii="Times New Roman"/>
                <w:b w:val="false"/>
                <w:i w:val="false"/>
                <w:color w:val="000000"/>
                <w:sz w:val="20"/>
              </w:rPr>
              <w:t>
   Жизненный цикл - все стадии существования компьютеризированной системы от формирования первоначальных требований до прекращения эксплуатации, включая проектирование, определение технических требований, программирование, тестирование, установку, работу и обслуживание.</w:t>
            </w:r>
          </w:p>
          <w:p>
            <w:pPr>
              <w:spacing w:after="20"/>
              <w:ind w:left="20"/>
              <w:jc w:val="both"/>
            </w:pPr>
            <w:r>
              <w:rPr>
                <w:rFonts w:ascii="Times New Roman"/>
                <w:b w:val="false"/>
                <w:i w:val="false"/>
                <w:color w:val="000000"/>
                <w:sz w:val="20"/>
              </w:rPr>
              <w:t>
   Информационно-технологическая инфраструктура - компьютерное оборудование и программное обеспечение, такое как сетевое программное обеспечение и операционные системы, которые делают возможным функционирование приложений.</w:t>
            </w:r>
          </w:p>
          <w:p>
            <w:pPr>
              <w:spacing w:after="20"/>
              <w:ind w:left="20"/>
              <w:jc w:val="both"/>
            </w:pPr>
            <w:r>
              <w:rPr>
                <w:rFonts w:ascii="Times New Roman"/>
                <w:b w:val="false"/>
                <w:i w:val="false"/>
                <w:color w:val="000000"/>
                <w:sz w:val="20"/>
              </w:rPr>
              <w:t>
   Компьютеризированная система, изготовленная по индивидуальному заказу - индивидуально спроектированная компьютеризированная система для обеспечения конкретного рабочего процесса.</w:t>
            </w:r>
          </w:p>
          <w:p>
            <w:pPr>
              <w:spacing w:after="20"/>
              <w:ind w:left="20"/>
              <w:jc w:val="both"/>
            </w:pPr>
            <w:r>
              <w:rPr>
                <w:rFonts w:ascii="Times New Roman"/>
                <w:b w:val="false"/>
                <w:i w:val="false"/>
                <w:color w:val="000000"/>
                <w:sz w:val="20"/>
              </w:rPr>
              <w:t>
   Приложение - программное обеспечение, установленное на определенной платформе/компьютерном оборудовании и предоставляющее специальные функциональные возможности.</w:t>
            </w:r>
          </w:p>
          <w:p>
            <w:pPr>
              <w:spacing w:after="20"/>
              <w:ind w:left="20"/>
              <w:jc w:val="both"/>
            </w:pPr>
            <w:r>
              <w:rPr>
                <w:rFonts w:ascii="Times New Roman"/>
                <w:b w:val="false"/>
                <w:i w:val="false"/>
                <w:color w:val="000000"/>
                <w:sz w:val="20"/>
              </w:rPr>
              <w:t>
   Серийное программное обеспечение - коммерчески доступное программное обеспечение, пригодность которого для использования продемонстрирована большим количеством пользователей.</w:t>
            </w:r>
          </w:p>
          <w:p>
            <w:pPr>
              <w:spacing w:after="20"/>
              <w:ind w:left="20"/>
              <w:jc w:val="both"/>
            </w:pPr>
            <w:r>
              <w:rPr>
                <w:rFonts w:ascii="Times New Roman"/>
                <w:b w:val="false"/>
                <w:i w:val="false"/>
                <w:color w:val="000000"/>
                <w:sz w:val="20"/>
              </w:rPr>
              <w:t>
   Третья сторона - стороны, которые не находятся в прямом подчинении держателя лицензии на производство лекарственных средств.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
        <w:gridCol w:w="12198"/>
      </w:tblGrid>
      <w:tr>
        <w:trPr>
          <w:trHeight w:val="30" w:hRule="atLeast"/>
        </w:trPr>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 ионизирующего излучения в производстве лекарственных препаратов</w:t>
            </w:r>
          </w:p>
          <w:p>
            <w:pPr>
              <w:spacing w:after="20"/>
              <w:ind w:left="20"/>
              <w:jc w:val="both"/>
            </w:pPr>
            <w:r>
              <w:rPr>
                <w:rFonts w:ascii="Times New Roman"/>
                <w:b w:val="false"/>
                <w:i w:val="false"/>
                <w:color w:val="000000"/>
                <w:sz w:val="20"/>
              </w:rPr>
              <w:t>
</w:t>
            </w:r>
            <w:r>
              <w:rPr>
                <w:rFonts w:ascii="Times New Roman"/>
                <w:b/>
                <w:i w:val="false"/>
                <w:color w:val="000000"/>
                <w:sz w:val="20"/>
              </w:rPr>
              <w:t>Введение</w:t>
            </w:r>
          </w:p>
          <w:p>
            <w:pPr>
              <w:spacing w:after="20"/>
              <w:ind w:left="20"/>
              <w:jc w:val="both"/>
            </w:pPr>
            <w:r>
              <w:rPr>
                <w:rFonts w:ascii="Times New Roman"/>
                <w:b w:val="false"/>
                <w:i w:val="false"/>
                <w:color w:val="000000"/>
                <w:sz w:val="20"/>
              </w:rPr>
              <w:t>
   Ионизирующее излучение используется в производственном процессе для различных целей, включая снижение степени бионагрузки и стерилизацию исходного сырья, компонентов упаковки или продукции, а также обработки препаратов крови.</w:t>
            </w:r>
          </w:p>
          <w:p>
            <w:pPr>
              <w:spacing w:after="20"/>
              <w:ind w:left="20"/>
              <w:jc w:val="both"/>
            </w:pPr>
            <w:r>
              <w:rPr>
                <w:rFonts w:ascii="Times New Roman"/>
                <w:b w:val="false"/>
                <w:i w:val="false"/>
                <w:color w:val="000000"/>
                <w:sz w:val="20"/>
              </w:rPr>
              <w:t>
   Используется два вида ионизирующего излучения: гамма-излучение от радиоактивного источника и высокоэнергетическое электронное излучение (бета-излучение), полученное с помощью ускорителя.</w:t>
            </w:r>
          </w:p>
          <w:p>
            <w:pPr>
              <w:spacing w:after="20"/>
              <w:ind w:left="20"/>
              <w:jc w:val="both"/>
            </w:pPr>
            <w:r>
              <w:rPr>
                <w:rFonts w:ascii="Times New Roman"/>
                <w:b w:val="false"/>
                <w:i w:val="false"/>
                <w:color w:val="000000"/>
                <w:sz w:val="20"/>
              </w:rPr>
              <w:t>
   При гамма-излучении могут быть использованы два различных режима обработки:</w:t>
            </w:r>
          </w:p>
          <w:p>
            <w:pPr>
              <w:spacing w:after="20"/>
              <w:ind w:left="20"/>
              <w:jc w:val="both"/>
            </w:pPr>
            <w:r>
              <w:rPr>
                <w:rFonts w:ascii="Times New Roman"/>
                <w:b w:val="false"/>
                <w:i w:val="false"/>
                <w:color w:val="000000"/>
                <w:sz w:val="20"/>
              </w:rPr>
              <w:t xml:space="preserve">
   1) порционный режим: продукция размещается в фиксированном положении вокруг источника излучения и не может быть загружена или выгружена, пока открыт источник ионизирующего излучения; </w:t>
            </w:r>
          </w:p>
          <w:p>
            <w:pPr>
              <w:spacing w:after="20"/>
              <w:ind w:left="20"/>
              <w:jc w:val="both"/>
            </w:pPr>
            <w:r>
              <w:rPr>
                <w:rFonts w:ascii="Times New Roman"/>
                <w:b w:val="false"/>
                <w:i w:val="false"/>
                <w:color w:val="000000"/>
                <w:sz w:val="20"/>
              </w:rPr>
              <w:t>
   2) непрерывный режим: автоматизированная система транспортирует продукцию в камеру для облучения мимо открытого источника ионизирующего излучения, перемещает ее с соответствующей скоростью по заданному маршруту, а затем выводит из камеры.</w:t>
            </w:r>
          </w:p>
          <w:p>
            <w:pPr>
              <w:spacing w:after="20"/>
              <w:ind w:left="20"/>
              <w:jc w:val="both"/>
            </w:pPr>
            <w:r>
              <w:rPr>
                <w:rFonts w:ascii="Times New Roman"/>
                <w:b w:val="false"/>
                <w:i w:val="false"/>
                <w:color w:val="000000"/>
                <w:sz w:val="20"/>
              </w:rPr>
              <w:t>
   Радиационные установки с ускорителями электронов: продукцию перемещают через непрерывный или пульсирующий пучок электронов высокой энергии (бета-излучение), развертку которого производят в обоих направлениях перпендикулярно к перемещению продукции. </w:t>
            </w:r>
          </w:p>
          <w:p>
            <w:pPr>
              <w:spacing w:after="20"/>
              <w:ind w:left="20"/>
              <w:jc w:val="both"/>
            </w:pPr>
            <w:r>
              <w:rPr>
                <w:rFonts w:ascii="Times New Roman"/>
                <w:b w:val="false"/>
                <w:i w:val="false"/>
                <w:color w:val="000000"/>
                <w:sz w:val="20"/>
              </w:rPr>
              <w:t>
   </w:t>
            </w:r>
            <w:r>
              <w:rPr>
                <w:rFonts w:ascii="Times New Roman"/>
                <w:b/>
                <w:i w:val="false"/>
                <w:color w:val="000000"/>
                <w:sz w:val="20"/>
              </w:rPr>
              <w:t>Ответственность</w:t>
            </w:r>
          </w:p>
          <w:p>
            <w:pPr>
              <w:spacing w:after="20"/>
              <w:ind w:left="20"/>
              <w:jc w:val="both"/>
            </w:pPr>
            <w:r>
              <w:rPr>
                <w:rFonts w:ascii="Times New Roman"/>
                <w:b w:val="false"/>
                <w:i w:val="false"/>
                <w:color w:val="000000"/>
                <w:sz w:val="20"/>
              </w:rPr>
              <w:t>
   1. Радиационная обработка осуществляется непосредственно производителем лекарственных средств или по контракту с организацией, имеющей в распоряжении радиационную установку. При этом каждый из них должен иметь соответствующую лицензию на производство и (или) иные разрешения, предусмотренные законодательством.</w:t>
            </w:r>
          </w:p>
          <w:p>
            <w:pPr>
              <w:spacing w:after="20"/>
              <w:ind w:left="20"/>
              <w:jc w:val="both"/>
            </w:pPr>
            <w:r>
              <w:rPr>
                <w:rFonts w:ascii="Times New Roman"/>
                <w:b w:val="false"/>
                <w:i w:val="false"/>
                <w:color w:val="000000"/>
                <w:sz w:val="20"/>
              </w:rPr>
              <w:t>
   2. Производитель лекарственных препаратов несет ответственность за качество продукции, в том числе за результаты воздействия ионизирующего излучения. Организация, проводящая радиационную обработку, несет ответственность за то, чтобы каждая упаковка получила дозу, определенную производителем (в том числе упаковка с продукцией, самая удаленная от источника излучения).</w:t>
            </w:r>
          </w:p>
          <w:p>
            <w:pPr>
              <w:spacing w:after="20"/>
              <w:ind w:left="20"/>
              <w:jc w:val="both"/>
            </w:pPr>
            <w:r>
              <w:rPr>
                <w:rFonts w:ascii="Times New Roman"/>
                <w:b w:val="false"/>
                <w:i w:val="false"/>
                <w:color w:val="000000"/>
                <w:sz w:val="20"/>
              </w:rPr>
              <w:t>
   3. Требуемая доза с обоснованными предельными значениями указывается в регистрационном досье на лекарственный препарат.</w:t>
            </w:r>
          </w:p>
          <w:p>
            <w:pPr>
              <w:spacing w:after="20"/>
              <w:ind w:left="20"/>
              <w:jc w:val="both"/>
            </w:pPr>
            <w:r>
              <w:rPr>
                <w:rFonts w:ascii="Times New Roman"/>
                <w:b w:val="false"/>
                <w:i w:val="false"/>
                <w:color w:val="000000"/>
                <w:sz w:val="20"/>
              </w:rPr>
              <w:t>
   </w:t>
            </w:r>
            <w:r>
              <w:rPr>
                <w:rFonts w:ascii="Times New Roman"/>
                <w:b/>
                <w:i w:val="false"/>
                <w:color w:val="000000"/>
                <w:sz w:val="20"/>
              </w:rPr>
              <w:t>Дозиметрия</w:t>
            </w:r>
          </w:p>
          <w:p>
            <w:pPr>
              <w:spacing w:after="20"/>
              <w:ind w:left="20"/>
              <w:jc w:val="both"/>
            </w:pPr>
            <w:r>
              <w:rPr>
                <w:rFonts w:ascii="Times New Roman"/>
                <w:b w:val="false"/>
                <w:i w:val="false"/>
                <w:color w:val="000000"/>
                <w:sz w:val="20"/>
              </w:rPr>
              <w:t>
   4. Дозиметрия – это измерение поглощенной дозы ионизирующего излучения с помощью дозиметров. Понимание принципов работы и правильное использование техники имеют важное значение для валидации, ввода установки в эксплуатацию и контроля процесса.</w:t>
            </w:r>
          </w:p>
          <w:p>
            <w:pPr>
              <w:spacing w:after="20"/>
              <w:ind w:left="20"/>
              <w:jc w:val="both"/>
            </w:pPr>
            <w:r>
              <w:rPr>
                <w:rFonts w:ascii="Times New Roman"/>
                <w:b w:val="false"/>
                <w:i w:val="false"/>
                <w:color w:val="000000"/>
                <w:sz w:val="20"/>
              </w:rPr>
              <w:t xml:space="preserve">
   5. Калибровка каждой партии рабочих дозиметров прослеживаеся до национального или международного эталонов. Срок действия калибровки устанавливается, обосновывается и строго выдерживается. </w:t>
            </w:r>
          </w:p>
          <w:p>
            <w:pPr>
              <w:spacing w:after="20"/>
              <w:ind w:left="20"/>
              <w:jc w:val="both"/>
            </w:pPr>
            <w:r>
              <w:rPr>
                <w:rFonts w:ascii="Times New Roman"/>
                <w:b w:val="false"/>
                <w:i w:val="false"/>
                <w:color w:val="000000"/>
                <w:sz w:val="20"/>
              </w:rPr>
              <w:t>
   6. Для определения изменения показаний штатных дозиметров после облучения и при их калибровке используется один и тот же прибор. При использовании разных приборов они калибруются в абсолютных единицах поглощения.</w:t>
            </w:r>
          </w:p>
          <w:p>
            <w:pPr>
              <w:spacing w:after="20"/>
              <w:ind w:left="20"/>
              <w:jc w:val="both"/>
            </w:pPr>
            <w:r>
              <w:rPr>
                <w:rFonts w:ascii="Times New Roman"/>
                <w:b w:val="false"/>
                <w:i w:val="false"/>
                <w:color w:val="000000"/>
                <w:sz w:val="20"/>
              </w:rPr>
              <w:t>
   7. В зависимости от типа используемых дозиметров учитываются возможные источники погрешностей, включая влажность, изменения температуры, период времени между облучением и измерением, а также мощность поглощенной дозы.</w:t>
            </w:r>
          </w:p>
          <w:p>
            <w:pPr>
              <w:spacing w:after="20"/>
              <w:ind w:left="20"/>
              <w:jc w:val="both"/>
            </w:pPr>
            <w:r>
              <w:rPr>
                <w:rFonts w:ascii="Times New Roman"/>
                <w:b w:val="false"/>
                <w:i w:val="false"/>
                <w:color w:val="000000"/>
                <w:sz w:val="20"/>
              </w:rPr>
              <w:t>
   8. Длину волны прибора, используемого для измерения изменений в поглощении дозиметров, и прибор, используемый для измерения плотности потока, следует регулярно проверять путем калибровки через определенные временные интервалы, установленные на основании стабильности, назначения и способа применения прибора.</w:t>
            </w:r>
          </w:p>
          <w:p>
            <w:pPr>
              <w:spacing w:after="20"/>
              <w:ind w:left="20"/>
              <w:jc w:val="both"/>
            </w:pPr>
            <w:r>
              <w:rPr>
                <w:rFonts w:ascii="Times New Roman"/>
                <w:b w:val="false"/>
                <w:i w:val="false"/>
                <w:color w:val="000000"/>
                <w:sz w:val="20"/>
              </w:rPr>
              <w:t>
   </w:t>
            </w:r>
            <w:r>
              <w:rPr>
                <w:rFonts w:ascii="Times New Roman"/>
                <w:b/>
                <w:i w:val="false"/>
                <w:color w:val="000000"/>
                <w:sz w:val="20"/>
              </w:rPr>
              <w:t>Валидация процесса</w:t>
            </w:r>
          </w:p>
          <w:p>
            <w:pPr>
              <w:spacing w:after="20"/>
              <w:ind w:left="20"/>
              <w:jc w:val="both"/>
            </w:pPr>
            <w:r>
              <w:rPr>
                <w:rFonts w:ascii="Times New Roman"/>
                <w:b w:val="false"/>
                <w:i w:val="false"/>
                <w:color w:val="000000"/>
                <w:sz w:val="20"/>
              </w:rPr>
              <w:t>
   9. Валидация – это действие, доказывающее, что процесс, то есть получение продукцией заданной поглощенной дозы, достигает ожидаемых результатов. Более полно требования к валидации приведены в нормативных правовых актах по использованию ионизирующего излучения в производстве лекарственных средств.</w:t>
            </w:r>
          </w:p>
          <w:p>
            <w:pPr>
              <w:spacing w:after="20"/>
              <w:ind w:left="20"/>
              <w:jc w:val="both"/>
            </w:pPr>
            <w:r>
              <w:rPr>
                <w:rFonts w:ascii="Times New Roman"/>
                <w:b w:val="false"/>
                <w:i w:val="false"/>
                <w:color w:val="000000"/>
                <w:sz w:val="20"/>
              </w:rPr>
              <w:t>
   10. Валидация включает в себя составление карты дозного поля, чтобы установить распределение поглощенной дозы внутри облучаемого контейнера с продукцией при определенной схеме размещения продукции в нем.</w:t>
            </w:r>
          </w:p>
          <w:p>
            <w:pPr>
              <w:spacing w:after="20"/>
              <w:ind w:left="20"/>
              <w:jc w:val="both"/>
            </w:pPr>
            <w:r>
              <w:rPr>
                <w:rFonts w:ascii="Times New Roman"/>
                <w:b w:val="false"/>
                <w:i w:val="false"/>
                <w:color w:val="000000"/>
                <w:sz w:val="20"/>
              </w:rPr>
              <w:t>
   11. Технические требования к процессу облучения, как минимум, включают в себя:</w:t>
            </w:r>
          </w:p>
          <w:p>
            <w:pPr>
              <w:spacing w:after="20"/>
              <w:ind w:left="20"/>
              <w:jc w:val="both"/>
            </w:pPr>
            <w:r>
              <w:rPr>
                <w:rFonts w:ascii="Times New Roman"/>
                <w:b w:val="false"/>
                <w:i w:val="false"/>
                <w:color w:val="000000"/>
                <w:sz w:val="20"/>
              </w:rPr>
              <w:t>
   1) подробные сведения об упаковке продукции;</w:t>
            </w:r>
          </w:p>
          <w:p>
            <w:pPr>
              <w:spacing w:after="20"/>
              <w:ind w:left="20"/>
              <w:jc w:val="both"/>
            </w:pPr>
            <w:r>
              <w:rPr>
                <w:rFonts w:ascii="Times New Roman"/>
                <w:b w:val="false"/>
                <w:i w:val="false"/>
                <w:color w:val="000000"/>
                <w:sz w:val="20"/>
              </w:rPr>
              <w:t>
   2) схему(ы) укладки продукции внутри контейнера для облучения. Если в облучаемом контейнере находятся различные виды продукции, особое внимание уделяется тому, чтобы плотная продукция получила полную дозу и не экранировала другую продукцию. Каждый способ укладки в контейнер разных видов продукции описывается в технической документации и валидируется;</w:t>
            </w:r>
          </w:p>
          <w:p>
            <w:pPr>
              <w:spacing w:after="20"/>
              <w:ind w:left="20"/>
              <w:jc w:val="both"/>
            </w:pPr>
            <w:r>
              <w:rPr>
                <w:rFonts w:ascii="Times New Roman"/>
                <w:b w:val="false"/>
                <w:i w:val="false"/>
                <w:color w:val="000000"/>
                <w:sz w:val="20"/>
              </w:rPr>
              <w:t>
   3) схему расположения контейнеров вокруг источника (порционный режим) или маршрут облучаемых объектов внутри камеры для облучения (непрерывный режим);</w:t>
            </w:r>
          </w:p>
          <w:p>
            <w:pPr>
              <w:spacing w:after="20"/>
              <w:ind w:left="20"/>
              <w:jc w:val="both"/>
            </w:pPr>
            <w:r>
              <w:rPr>
                <w:rFonts w:ascii="Times New Roman"/>
                <w:b w:val="false"/>
                <w:i w:val="false"/>
                <w:color w:val="000000"/>
                <w:sz w:val="20"/>
              </w:rPr>
              <w:t>
   4) верхнее и нижнее предельно допустимые значения поглощенной дозы излучения для продукции (и соответствующие методы дозиметрии);</w:t>
            </w:r>
          </w:p>
          <w:p>
            <w:pPr>
              <w:spacing w:after="20"/>
              <w:ind w:left="20"/>
              <w:jc w:val="both"/>
            </w:pPr>
            <w:r>
              <w:rPr>
                <w:rFonts w:ascii="Times New Roman"/>
                <w:b w:val="false"/>
                <w:i w:val="false"/>
                <w:color w:val="000000"/>
                <w:sz w:val="20"/>
              </w:rPr>
              <w:t>
   5) верхнее и нижнее предельные значения поглощенной дозы излучения для облучаемого контейнера и соответствующие методы дозиметрии для контроля этой поглощенной дозы;</w:t>
            </w:r>
          </w:p>
          <w:p>
            <w:pPr>
              <w:spacing w:after="20"/>
              <w:ind w:left="20"/>
              <w:jc w:val="both"/>
            </w:pPr>
            <w:r>
              <w:rPr>
                <w:rFonts w:ascii="Times New Roman"/>
                <w:b w:val="false"/>
                <w:i w:val="false"/>
                <w:color w:val="000000"/>
                <w:sz w:val="20"/>
              </w:rPr>
              <w:t>
   6) другие параметры процесса, включая мощность поглощенной дозы, максимальное время экспозиции, число экспозиций, количество циклов облучения и пр.</w:t>
            </w:r>
          </w:p>
          <w:p>
            <w:pPr>
              <w:spacing w:after="20"/>
              <w:ind w:left="20"/>
              <w:jc w:val="both"/>
            </w:pPr>
            <w:r>
              <w:rPr>
                <w:rFonts w:ascii="Times New Roman"/>
                <w:b w:val="false"/>
                <w:i w:val="false"/>
                <w:color w:val="000000"/>
                <w:sz w:val="20"/>
              </w:rPr>
              <w:t xml:space="preserve">
   Если облучение проводят по контракту, то в этом контракте описывается, по крайней мере, подпункты 4) и 5), регламентирующие технические требования к процессу облучения. </w:t>
            </w:r>
          </w:p>
          <w:p>
            <w:pPr>
              <w:spacing w:after="20"/>
              <w:ind w:left="20"/>
              <w:jc w:val="both"/>
            </w:pPr>
            <w:r>
              <w:rPr>
                <w:rFonts w:ascii="Times New Roman"/>
                <w:b w:val="false"/>
                <w:i w:val="false"/>
                <w:color w:val="000000"/>
                <w:sz w:val="20"/>
              </w:rPr>
              <w:t>
   </w:t>
            </w:r>
            <w:r>
              <w:rPr>
                <w:rFonts w:ascii="Times New Roman"/>
                <w:b/>
                <w:i w:val="false"/>
                <w:color w:val="000000"/>
                <w:sz w:val="20"/>
              </w:rPr>
              <w:t>Ввод установки в эксплуатацию</w:t>
            </w:r>
          </w:p>
          <w:p>
            <w:pPr>
              <w:spacing w:after="20"/>
              <w:ind w:left="20"/>
              <w:jc w:val="both"/>
            </w:pPr>
            <w:r>
              <w:rPr>
                <w:rFonts w:ascii="Times New Roman"/>
                <w:b w:val="false"/>
                <w:i w:val="false"/>
                <w:color w:val="000000"/>
                <w:sz w:val="20"/>
              </w:rPr>
              <w:t>
   </w:t>
            </w:r>
            <w:r>
              <w:rPr>
                <w:rFonts w:ascii="Times New Roman"/>
                <w:b/>
                <w:i w:val="false"/>
                <w:color w:val="000000"/>
                <w:sz w:val="20"/>
              </w:rPr>
              <w:t>Общие требования</w:t>
            </w:r>
          </w:p>
          <w:p>
            <w:pPr>
              <w:spacing w:after="20"/>
              <w:ind w:left="20"/>
              <w:jc w:val="both"/>
            </w:pPr>
            <w:r>
              <w:rPr>
                <w:rFonts w:ascii="Times New Roman"/>
                <w:b w:val="false"/>
                <w:i w:val="false"/>
                <w:color w:val="000000"/>
                <w:sz w:val="20"/>
              </w:rPr>
              <w:t>
   12. Ввод в эксплуатацию – это экспериментально полученное и документально оформленное доказательство того, что радиационная установка при работе в соответствии с техническими требованиями к процессу постоянно будет работать в заранее установленных пределах. Согласно данному Приложению, заранее установленные пределы – это максимальное и минимальное допустимые значения дозы, предназначенной для поглощения облучаемым контейнером. Изменения в работе установки, которые могут привести к выходу значений поглощенной контейнером дозы за эти пределы, ни при каких условиях не происходит без ведома оператора.</w:t>
            </w:r>
          </w:p>
          <w:p>
            <w:pPr>
              <w:spacing w:after="20"/>
              <w:ind w:left="20"/>
              <w:jc w:val="both"/>
            </w:pPr>
            <w:r>
              <w:rPr>
                <w:rFonts w:ascii="Times New Roman"/>
                <w:b w:val="false"/>
                <w:i w:val="false"/>
                <w:color w:val="000000"/>
                <w:sz w:val="20"/>
              </w:rPr>
              <w:t>
   13. Ввод в эксплуатацию должен включает в себя следующие элементы:</w:t>
            </w:r>
          </w:p>
          <w:p>
            <w:pPr>
              <w:spacing w:after="20"/>
              <w:ind w:left="20"/>
              <w:jc w:val="both"/>
            </w:pPr>
            <w:r>
              <w:rPr>
                <w:rFonts w:ascii="Times New Roman"/>
                <w:b w:val="false"/>
                <w:i w:val="false"/>
                <w:color w:val="000000"/>
                <w:sz w:val="20"/>
              </w:rPr>
              <w:t>
   1) планирование;</w:t>
            </w:r>
          </w:p>
          <w:p>
            <w:pPr>
              <w:spacing w:after="20"/>
              <w:ind w:left="20"/>
              <w:jc w:val="both"/>
            </w:pPr>
            <w:r>
              <w:rPr>
                <w:rFonts w:ascii="Times New Roman"/>
                <w:b w:val="false"/>
                <w:i w:val="false"/>
                <w:color w:val="000000"/>
                <w:sz w:val="20"/>
              </w:rPr>
              <w:t xml:space="preserve">
   2) составление карты дозного поля; </w:t>
            </w:r>
          </w:p>
          <w:p>
            <w:pPr>
              <w:spacing w:after="20"/>
              <w:ind w:left="20"/>
              <w:jc w:val="both"/>
            </w:pPr>
            <w:r>
              <w:rPr>
                <w:rFonts w:ascii="Times New Roman"/>
                <w:b w:val="false"/>
                <w:i w:val="false"/>
                <w:color w:val="000000"/>
                <w:sz w:val="20"/>
              </w:rPr>
              <w:t>
   3) документальное оформление;</w:t>
            </w:r>
          </w:p>
          <w:p>
            <w:pPr>
              <w:spacing w:after="20"/>
              <w:ind w:left="20"/>
              <w:jc w:val="both"/>
            </w:pPr>
            <w:r>
              <w:rPr>
                <w:rFonts w:ascii="Times New Roman"/>
                <w:b w:val="false"/>
                <w:i w:val="false"/>
                <w:color w:val="000000"/>
                <w:sz w:val="20"/>
              </w:rPr>
              <w:t>
   4) определение требований к повторному вводу установки в эксплуатацию.</w:t>
            </w:r>
          </w:p>
          <w:p>
            <w:pPr>
              <w:spacing w:after="20"/>
              <w:ind w:left="20"/>
              <w:jc w:val="both"/>
            </w:pPr>
            <w:r>
              <w:rPr>
                <w:rFonts w:ascii="Times New Roman"/>
                <w:b w:val="false"/>
                <w:i w:val="false"/>
                <w:color w:val="000000"/>
                <w:sz w:val="20"/>
              </w:rPr>
              <w:t>
   </w:t>
            </w:r>
            <w:r>
              <w:rPr>
                <w:rFonts w:ascii="Times New Roman"/>
                <w:b/>
                <w:i w:val="false"/>
                <w:color w:val="000000"/>
                <w:sz w:val="20"/>
              </w:rPr>
              <w:t>Источники гамма-излучения</w:t>
            </w:r>
          </w:p>
          <w:p>
            <w:pPr>
              <w:spacing w:after="20"/>
              <w:ind w:left="20"/>
              <w:jc w:val="both"/>
            </w:pPr>
            <w:r>
              <w:rPr>
                <w:rFonts w:ascii="Times New Roman"/>
                <w:b w:val="false"/>
                <w:i w:val="false"/>
                <w:color w:val="000000"/>
                <w:sz w:val="20"/>
              </w:rPr>
              <w:t>
   </w:t>
            </w:r>
            <w:r>
              <w:rPr>
                <w:rFonts w:ascii="Times New Roman"/>
                <w:b/>
                <w:i w:val="false"/>
                <w:color w:val="000000"/>
                <w:sz w:val="20"/>
              </w:rPr>
              <w:t>Конструкция</w:t>
            </w:r>
          </w:p>
          <w:p>
            <w:pPr>
              <w:spacing w:after="20"/>
              <w:ind w:left="20"/>
              <w:jc w:val="both"/>
            </w:pPr>
            <w:r>
              <w:rPr>
                <w:rFonts w:ascii="Times New Roman"/>
                <w:b w:val="false"/>
                <w:i w:val="false"/>
                <w:color w:val="000000"/>
                <w:sz w:val="20"/>
              </w:rPr>
              <w:t xml:space="preserve">
   14. Поглощенная доза, полученная определенной частью облучаемого контейнера в любой определенной точке вокруг излучателя, зависит, в первую очередь, от следующих факторов: </w:t>
            </w:r>
          </w:p>
          <w:p>
            <w:pPr>
              <w:spacing w:after="20"/>
              <w:ind w:left="20"/>
              <w:jc w:val="both"/>
            </w:pPr>
            <w:r>
              <w:rPr>
                <w:rFonts w:ascii="Times New Roman"/>
                <w:b w:val="false"/>
                <w:i w:val="false"/>
                <w:color w:val="000000"/>
                <w:sz w:val="20"/>
              </w:rPr>
              <w:t>
   1) активности и геометрии источника излучения;</w:t>
            </w:r>
          </w:p>
          <w:p>
            <w:pPr>
              <w:spacing w:after="20"/>
              <w:ind w:left="20"/>
              <w:jc w:val="both"/>
            </w:pPr>
            <w:r>
              <w:rPr>
                <w:rFonts w:ascii="Times New Roman"/>
                <w:b w:val="false"/>
                <w:i w:val="false"/>
                <w:color w:val="000000"/>
                <w:sz w:val="20"/>
              </w:rPr>
              <w:t>
   2) расстояния от источника до контейнера;</w:t>
            </w:r>
          </w:p>
          <w:p>
            <w:pPr>
              <w:spacing w:after="20"/>
              <w:ind w:left="20"/>
              <w:jc w:val="both"/>
            </w:pPr>
            <w:r>
              <w:rPr>
                <w:rFonts w:ascii="Times New Roman"/>
                <w:b w:val="false"/>
                <w:i w:val="false"/>
                <w:color w:val="000000"/>
                <w:sz w:val="20"/>
              </w:rPr>
              <w:t>
   3) продолжительности облучения, контролируемой таймером или скоростью движения конвейера;</w:t>
            </w:r>
          </w:p>
          <w:p>
            <w:pPr>
              <w:spacing w:after="20"/>
              <w:ind w:left="20"/>
              <w:jc w:val="both"/>
            </w:pPr>
            <w:r>
              <w:rPr>
                <w:rFonts w:ascii="Times New Roman"/>
                <w:b w:val="false"/>
                <w:i w:val="false"/>
                <w:color w:val="000000"/>
                <w:sz w:val="20"/>
              </w:rPr>
              <w:t>
   4) состава и плотности материала, включая другую продукцию между источником и определенной частью контейнера.</w:t>
            </w:r>
          </w:p>
          <w:p>
            <w:pPr>
              <w:spacing w:after="20"/>
              <w:ind w:left="20"/>
              <w:jc w:val="both"/>
            </w:pPr>
            <w:r>
              <w:rPr>
                <w:rFonts w:ascii="Times New Roman"/>
                <w:b w:val="false"/>
                <w:i w:val="false"/>
                <w:color w:val="000000"/>
                <w:sz w:val="20"/>
              </w:rPr>
              <w:t>
   15. Суммарная поглощенная доза зависит также от маршрута, по которому движутся контейнеры при непрерывном режиме облучения, или от схемы загрузки при порционном режиме облучения, а также от количества циклов облучения.</w:t>
            </w:r>
          </w:p>
          <w:p>
            <w:pPr>
              <w:spacing w:after="20"/>
              <w:ind w:left="20"/>
              <w:jc w:val="both"/>
            </w:pPr>
            <w:r>
              <w:rPr>
                <w:rFonts w:ascii="Times New Roman"/>
                <w:b w:val="false"/>
                <w:i w:val="false"/>
                <w:color w:val="000000"/>
                <w:sz w:val="20"/>
              </w:rPr>
              <w:t>
   16. При фиксированном маршруте (при непрерывном облучении) или при фиксированной схеме загрузки (при порционном режиме облучения), а также при постоянной мощности источника и виде продукции основным параметром установки, контролируемым оператором, является скорость конвейера или время, установленное на таймере.</w:t>
            </w:r>
          </w:p>
          <w:p>
            <w:pPr>
              <w:spacing w:after="20"/>
              <w:ind w:left="20"/>
              <w:jc w:val="both"/>
            </w:pPr>
            <w:r>
              <w:rPr>
                <w:rFonts w:ascii="Times New Roman"/>
                <w:b w:val="false"/>
                <w:i w:val="false"/>
                <w:color w:val="000000"/>
                <w:sz w:val="20"/>
              </w:rPr>
              <w:t>
   </w:t>
            </w:r>
            <w:r>
              <w:rPr>
                <w:rFonts w:ascii="Times New Roman"/>
                <w:b/>
                <w:i w:val="false"/>
                <w:color w:val="000000"/>
                <w:sz w:val="20"/>
              </w:rPr>
              <w:t>Составление карты дозного поля</w:t>
            </w:r>
          </w:p>
          <w:p>
            <w:pPr>
              <w:spacing w:after="20"/>
              <w:ind w:left="20"/>
              <w:jc w:val="both"/>
            </w:pPr>
            <w:r>
              <w:rPr>
                <w:rFonts w:ascii="Times New Roman"/>
                <w:b w:val="false"/>
                <w:i w:val="false"/>
                <w:color w:val="000000"/>
                <w:sz w:val="20"/>
              </w:rPr>
              <w:t>
   17. При составлении карты дозного поля камера для облучения заполняется контейнерами с муляжами или представительными образцами продукции однородной плотности. Дозиметры располагаются не менее чем в трех заполненных контейнерах, которые проходят через излучатель. Эти контейнеры окружаются аналогичными контейнерами или муляжами продукции. Если продукция уложена неравномерно, дозиметры размещаются в большем количестве контейнеров.</w:t>
            </w:r>
          </w:p>
          <w:p>
            <w:pPr>
              <w:spacing w:after="20"/>
              <w:ind w:left="20"/>
              <w:jc w:val="both"/>
            </w:pPr>
            <w:r>
              <w:rPr>
                <w:rFonts w:ascii="Times New Roman"/>
                <w:b w:val="false"/>
                <w:i w:val="false"/>
                <w:color w:val="000000"/>
                <w:sz w:val="20"/>
              </w:rPr>
              <w:t>
   18. Расположение дозиметров зависит от размеров облучаемого контейнера. Например, для контейнеров размером 1Ч1Ч0,5 м, дозиметры могут располагаться в узлах трехмерной решетки с шагом 20 см с учетом внешней поверхности контейнера. Если предполагаемые зоны с максимальной и минимальной дозами известны из предыдущих опытов, то часть дозиметров может быть изъята из зон со средними значениями доз и помещена в зоны с экстремальными значениями дозы с шагом 10 см.</w:t>
            </w:r>
          </w:p>
          <w:p>
            <w:pPr>
              <w:spacing w:after="20"/>
              <w:ind w:left="20"/>
              <w:jc w:val="both"/>
            </w:pPr>
            <w:r>
              <w:rPr>
                <w:rFonts w:ascii="Times New Roman"/>
                <w:b w:val="false"/>
                <w:i w:val="false"/>
                <w:color w:val="000000"/>
                <w:sz w:val="20"/>
              </w:rPr>
              <w:t xml:space="preserve">
   19. В результате этой процедуры определяются минимальная и максимальная дозы, поглощенные продукцией и поверхностью контейнера при заданных параметрах установки, плотности продукции и схеме загрузки. </w:t>
            </w:r>
          </w:p>
          <w:p>
            <w:pPr>
              <w:spacing w:after="20"/>
              <w:ind w:left="20"/>
              <w:jc w:val="both"/>
            </w:pPr>
            <w:r>
              <w:rPr>
                <w:rFonts w:ascii="Times New Roman"/>
                <w:b w:val="false"/>
                <w:i w:val="false"/>
                <w:color w:val="000000"/>
                <w:sz w:val="20"/>
              </w:rPr>
              <w:t>
   20. В идеальном случае для определения карты дозного поля следует использовать эталонные дозиметры, поскольку они имеют большую точность. Также допустимо использование обычных дозиметров, но рекомендуется размещать рядом с ними эталонные дозиметры в местах, где предполагаются минимальная и максимальная дозы, и в обычно контролируемом месте в каждом модельном контейнере для облучения. Полученные значения поглощенной дозы будут иметь случайную погрешность, которая может быть определена путем многократных измерений.</w:t>
            </w:r>
          </w:p>
          <w:p>
            <w:pPr>
              <w:spacing w:after="20"/>
              <w:ind w:left="20"/>
              <w:jc w:val="both"/>
            </w:pPr>
            <w:r>
              <w:rPr>
                <w:rFonts w:ascii="Times New Roman"/>
                <w:b w:val="false"/>
                <w:i w:val="false"/>
                <w:color w:val="000000"/>
                <w:sz w:val="20"/>
              </w:rPr>
              <w:t>
   21. Измеренная обычным дозиметром минимальная наблюдаемая доза, необходимая для гарантии того, что все облученные контейнеры получили минимальную требуемую дозу, устанавливается на основании знания случайной погрешности измерения штатных дозиметров.</w:t>
            </w:r>
          </w:p>
          <w:p>
            <w:pPr>
              <w:spacing w:after="20"/>
              <w:ind w:left="20"/>
              <w:jc w:val="both"/>
            </w:pPr>
            <w:r>
              <w:rPr>
                <w:rFonts w:ascii="Times New Roman"/>
                <w:b w:val="false"/>
                <w:i w:val="false"/>
                <w:color w:val="000000"/>
                <w:sz w:val="20"/>
              </w:rPr>
              <w:t>
   22. Во время определения карты дозного поля параметры установки поддерживаются постоянными, контролируются и регистрируются. Эти записи вместе с результатами дозиметрии и другими полученными записями сохраняются.</w:t>
            </w:r>
          </w:p>
          <w:p>
            <w:pPr>
              <w:spacing w:after="20"/>
              <w:ind w:left="20"/>
              <w:jc w:val="both"/>
            </w:pPr>
            <w:r>
              <w:rPr>
                <w:rFonts w:ascii="Times New Roman"/>
                <w:b w:val="false"/>
                <w:i w:val="false"/>
                <w:color w:val="000000"/>
                <w:sz w:val="20"/>
              </w:rPr>
              <w:t>
   </w:t>
            </w:r>
            <w:r>
              <w:rPr>
                <w:rFonts w:ascii="Times New Roman"/>
                <w:b/>
                <w:i w:val="false"/>
                <w:color w:val="000000"/>
                <w:sz w:val="20"/>
              </w:rPr>
              <w:t>Радиационные установки с ускорителями электронов</w:t>
            </w:r>
          </w:p>
          <w:p>
            <w:pPr>
              <w:spacing w:after="20"/>
              <w:ind w:left="20"/>
              <w:jc w:val="both"/>
            </w:pPr>
            <w:r>
              <w:rPr>
                <w:rFonts w:ascii="Times New Roman"/>
                <w:b w:val="false"/>
                <w:i w:val="false"/>
                <w:color w:val="000000"/>
                <w:sz w:val="20"/>
              </w:rPr>
              <w:t>
   </w:t>
            </w:r>
            <w:r>
              <w:rPr>
                <w:rFonts w:ascii="Times New Roman"/>
                <w:b/>
                <w:i w:val="false"/>
                <w:color w:val="000000"/>
                <w:sz w:val="20"/>
              </w:rPr>
              <w:t>Конструкция</w:t>
            </w:r>
          </w:p>
          <w:p>
            <w:pPr>
              <w:spacing w:after="20"/>
              <w:ind w:left="20"/>
              <w:jc w:val="both"/>
            </w:pPr>
            <w:r>
              <w:rPr>
                <w:rFonts w:ascii="Times New Roman"/>
                <w:b w:val="false"/>
                <w:i w:val="false"/>
                <w:color w:val="000000"/>
                <w:sz w:val="20"/>
              </w:rPr>
              <w:t>
   23. Поглощенная доза ионизирующего излучения в продукции зависит, в первую очередь, от следующих основных факторов:</w:t>
            </w:r>
          </w:p>
          <w:p>
            <w:pPr>
              <w:spacing w:after="20"/>
              <w:ind w:left="20"/>
              <w:jc w:val="both"/>
            </w:pPr>
            <w:r>
              <w:rPr>
                <w:rFonts w:ascii="Times New Roman"/>
                <w:b w:val="false"/>
                <w:i w:val="false"/>
                <w:color w:val="000000"/>
                <w:sz w:val="20"/>
              </w:rPr>
              <w:t>
   1) характеристики пучка, а именно: энергии электронов, среднего потока пучка, ширины развертки и равномерности пучка по ширине развертки;</w:t>
            </w:r>
          </w:p>
          <w:p>
            <w:pPr>
              <w:spacing w:after="20"/>
              <w:ind w:left="20"/>
              <w:jc w:val="both"/>
            </w:pPr>
            <w:r>
              <w:rPr>
                <w:rFonts w:ascii="Times New Roman"/>
                <w:b w:val="false"/>
                <w:i w:val="false"/>
                <w:color w:val="000000"/>
                <w:sz w:val="20"/>
              </w:rPr>
              <w:t>
   2) скорости конвейера;</w:t>
            </w:r>
          </w:p>
          <w:p>
            <w:pPr>
              <w:spacing w:after="20"/>
              <w:ind w:left="20"/>
              <w:jc w:val="both"/>
            </w:pPr>
            <w:r>
              <w:rPr>
                <w:rFonts w:ascii="Times New Roman"/>
                <w:b w:val="false"/>
                <w:i w:val="false"/>
                <w:color w:val="000000"/>
                <w:sz w:val="20"/>
              </w:rPr>
              <w:t>
   3) состава и плотности продукции;</w:t>
            </w:r>
          </w:p>
          <w:p>
            <w:pPr>
              <w:spacing w:after="20"/>
              <w:ind w:left="20"/>
              <w:jc w:val="both"/>
            </w:pPr>
            <w:r>
              <w:rPr>
                <w:rFonts w:ascii="Times New Roman"/>
                <w:b w:val="false"/>
                <w:i w:val="false"/>
                <w:color w:val="000000"/>
                <w:sz w:val="20"/>
              </w:rPr>
              <w:t>
   4) состава, плотности и толщины материала, находящегося между выходным окном и облучаемой частью продукции;</w:t>
            </w:r>
          </w:p>
          <w:p>
            <w:pPr>
              <w:spacing w:after="20"/>
              <w:ind w:left="20"/>
              <w:jc w:val="both"/>
            </w:pPr>
            <w:r>
              <w:rPr>
                <w:rFonts w:ascii="Times New Roman"/>
                <w:b w:val="false"/>
                <w:i w:val="false"/>
                <w:color w:val="000000"/>
                <w:sz w:val="20"/>
              </w:rPr>
              <w:t>
   5) расстояния от выходного окна до контейнера.</w:t>
            </w:r>
          </w:p>
          <w:p>
            <w:pPr>
              <w:spacing w:after="20"/>
              <w:ind w:left="20"/>
              <w:jc w:val="both"/>
            </w:pPr>
            <w:r>
              <w:rPr>
                <w:rFonts w:ascii="Times New Roman"/>
                <w:b w:val="false"/>
                <w:i w:val="false"/>
                <w:color w:val="000000"/>
                <w:sz w:val="20"/>
              </w:rPr>
              <w:t>
   24. Основными параметрами, контролируемыми оператором, являются характеристики пучка и скорость конвейера.</w:t>
            </w:r>
          </w:p>
          <w:p>
            <w:pPr>
              <w:spacing w:after="20"/>
              <w:ind w:left="20"/>
              <w:jc w:val="both"/>
            </w:pPr>
            <w:r>
              <w:rPr>
                <w:rFonts w:ascii="Times New Roman"/>
                <w:b w:val="false"/>
                <w:i w:val="false"/>
                <w:color w:val="000000"/>
                <w:sz w:val="20"/>
              </w:rPr>
              <w:t>
   </w:t>
            </w:r>
            <w:r>
              <w:rPr>
                <w:rFonts w:ascii="Times New Roman"/>
                <w:b/>
                <w:i w:val="false"/>
                <w:color w:val="000000"/>
                <w:sz w:val="20"/>
              </w:rPr>
              <w:t>Составление карты дозного поля</w:t>
            </w:r>
          </w:p>
          <w:p>
            <w:pPr>
              <w:spacing w:after="20"/>
              <w:ind w:left="20"/>
              <w:jc w:val="both"/>
            </w:pPr>
            <w:r>
              <w:rPr>
                <w:rFonts w:ascii="Times New Roman"/>
                <w:b w:val="false"/>
                <w:i w:val="false"/>
                <w:color w:val="000000"/>
                <w:sz w:val="20"/>
              </w:rPr>
              <w:t>
   25. При составлении карты дозного поля дозиметры следует располагать между слоями гомогенного поглотителя, моделирующего реальную продукцию, или между слоями реальной представительной продукции однородной плотности так, чтобы не менее 10 измерений были проведены в пределах максимального пробега электронов. Необходимо также соблюдать требования, изложенные в пунктах 18-21 данного Приложения.</w:t>
            </w:r>
          </w:p>
          <w:p>
            <w:pPr>
              <w:spacing w:after="20"/>
              <w:ind w:left="20"/>
              <w:jc w:val="both"/>
            </w:pPr>
            <w:r>
              <w:rPr>
                <w:rFonts w:ascii="Times New Roman"/>
                <w:b w:val="false"/>
                <w:i w:val="false"/>
                <w:color w:val="000000"/>
                <w:sz w:val="20"/>
              </w:rPr>
              <w:t>
   26. При определении карты дозного поля параметры радиационной установки поддерживаются постоянными, контролируются и регистрируются. Эти записи вместе с результатами дозиметрии и другими полученными записями сохраняются.</w:t>
            </w:r>
          </w:p>
          <w:p>
            <w:pPr>
              <w:spacing w:after="20"/>
              <w:ind w:left="20"/>
              <w:jc w:val="both"/>
            </w:pPr>
            <w:r>
              <w:rPr>
                <w:rFonts w:ascii="Times New Roman"/>
                <w:b w:val="false"/>
                <w:i w:val="false"/>
                <w:color w:val="000000"/>
                <w:sz w:val="20"/>
              </w:rPr>
              <w:t>
   </w:t>
            </w:r>
            <w:r>
              <w:rPr>
                <w:rFonts w:ascii="Times New Roman"/>
                <w:b/>
                <w:i w:val="false"/>
                <w:color w:val="000000"/>
                <w:sz w:val="20"/>
              </w:rPr>
              <w:t>Повторный ввод установки в эксплуатацию</w:t>
            </w:r>
          </w:p>
          <w:p>
            <w:pPr>
              <w:spacing w:after="20"/>
              <w:ind w:left="20"/>
              <w:jc w:val="both"/>
            </w:pPr>
            <w:r>
              <w:rPr>
                <w:rFonts w:ascii="Times New Roman"/>
                <w:b w:val="false"/>
                <w:i w:val="false"/>
                <w:color w:val="000000"/>
                <w:sz w:val="20"/>
              </w:rPr>
              <w:t>
   27. Процедура повторного ввода в эксплуатацию проводится заново каждый раз, когда происходят изменения процесса или параметров радиационной установки, способные повлиять на распределение поглощенной дозы в облучаемом контейнере. Объем работ по повторному вводу в эксплуатацию зависит от степени изменений, внесенных в конструкцию облучателя радиационной установки или в конфигурацию загрузки. При наличии сомнений процедуру повторного ввода установки в эксплуатацию проводят заново.</w:t>
            </w:r>
          </w:p>
          <w:p>
            <w:pPr>
              <w:spacing w:after="20"/>
              <w:ind w:left="20"/>
              <w:jc w:val="both"/>
            </w:pPr>
            <w:r>
              <w:rPr>
                <w:rFonts w:ascii="Times New Roman"/>
                <w:b w:val="false"/>
                <w:i w:val="false"/>
                <w:color w:val="000000"/>
                <w:sz w:val="20"/>
              </w:rPr>
              <w:t>
   </w:t>
            </w:r>
            <w:r>
              <w:rPr>
                <w:rFonts w:ascii="Times New Roman"/>
                <w:b/>
                <w:i w:val="false"/>
                <w:color w:val="000000"/>
                <w:sz w:val="20"/>
              </w:rPr>
              <w:t>Помещения</w:t>
            </w:r>
          </w:p>
          <w:p>
            <w:pPr>
              <w:spacing w:after="20"/>
              <w:ind w:left="20"/>
              <w:jc w:val="both"/>
            </w:pPr>
            <w:r>
              <w:rPr>
                <w:rFonts w:ascii="Times New Roman"/>
                <w:b w:val="false"/>
                <w:i w:val="false"/>
                <w:color w:val="000000"/>
                <w:sz w:val="20"/>
              </w:rPr>
              <w:t>
   28. Помещения проектируют и эксплуатируют таким образом, чтобы облученные контейнеры были отделены от необлученных во избежание перекрестной контаминации. Если материалы обрабатывают в закрытых контейнерах для облучения, то нет необходимости отделять фармацевтические и нефармацевтические материалы друг от друга при условии, что в последующем не будет риска их контаминации.</w:t>
            </w:r>
          </w:p>
          <w:p>
            <w:pPr>
              <w:spacing w:after="20"/>
              <w:ind w:left="20"/>
              <w:jc w:val="both"/>
            </w:pPr>
            <w:r>
              <w:rPr>
                <w:rFonts w:ascii="Times New Roman"/>
                <w:b w:val="false"/>
                <w:i w:val="false"/>
                <w:color w:val="000000"/>
                <w:sz w:val="20"/>
              </w:rPr>
              <w:t>
   Любая возможность загрязнения продукции радионуклидами исключается.</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Технологический процесс</w:t>
            </w:r>
          </w:p>
          <w:p>
            <w:pPr>
              <w:spacing w:after="20"/>
              <w:ind w:left="20"/>
              <w:jc w:val="both"/>
            </w:pPr>
            <w:r>
              <w:rPr>
                <w:rFonts w:ascii="Times New Roman"/>
                <w:b w:val="false"/>
                <w:i w:val="false"/>
                <w:color w:val="000000"/>
                <w:sz w:val="20"/>
              </w:rPr>
              <w:t>
   29. Контейнеры с продукцией загружают в соответствии со схемой(ами) загрузки, установленной в процессе валидации.</w:t>
            </w:r>
          </w:p>
          <w:p>
            <w:pPr>
              <w:spacing w:after="20"/>
              <w:ind w:left="20"/>
              <w:jc w:val="both"/>
            </w:pPr>
            <w:r>
              <w:rPr>
                <w:rFonts w:ascii="Times New Roman"/>
                <w:b w:val="false"/>
                <w:i w:val="false"/>
                <w:color w:val="000000"/>
                <w:sz w:val="20"/>
              </w:rPr>
              <w:t>
   30. Во время процесса дозу облучения для облучаемых контейнеров контролируют с использованием прошедших аттестацию дозиметрических методик. Зависимость между этой дозой и дозой, поглощенной продукцией внутри контейнера, устанавливается при валидации процесса и вводе радиационной установки в эксплуатацию.</w:t>
            </w:r>
          </w:p>
          <w:p>
            <w:pPr>
              <w:spacing w:after="20"/>
              <w:ind w:left="20"/>
              <w:jc w:val="both"/>
            </w:pPr>
            <w:r>
              <w:rPr>
                <w:rFonts w:ascii="Times New Roman"/>
                <w:b w:val="false"/>
                <w:i w:val="false"/>
                <w:color w:val="000000"/>
                <w:sz w:val="20"/>
              </w:rPr>
              <w:t>
   31. Для того, чтобы различать облученные и необлученные контейнеры, необходимо использовать индикаторы ионизирующего излучения. Однако их не используют в качестве единственного средства различения или как единственный показатель удовлетворительных результатов обработки.</w:t>
            </w:r>
          </w:p>
          <w:p>
            <w:pPr>
              <w:spacing w:after="20"/>
              <w:ind w:left="20"/>
              <w:jc w:val="both"/>
            </w:pPr>
            <w:r>
              <w:rPr>
                <w:rFonts w:ascii="Times New Roman"/>
                <w:b w:val="false"/>
                <w:i w:val="false"/>
                <w:color w:val="000000"/>
                <w:sz w:val="20"/>
              </w:rPr>
              <w:t>
   32. Одновременную обработку разных видов продукции в одной загрузке в радиационной камере следует проводить только тогда, когда по результатам эксплуатации установки или по другим данным установлено, что поглощенная доза в каждом отдельном контейнере находится в установленных пределах.</w:t>
            </w:r>
          </w:p>
          <w:p>
            <w:pPr>
              <w:spacing w:after="20"/>
              <w:ind w:left="20"/>
              <w:jc w:val="both"/>
            </w:pPr>
            <w:r>
              <w:rPr>
                <w:rFonts w:ascii="Times New Roman"/>
                <w:b w:val="false"/>
                <w:i w:val="false"/>
                <w:color w:val="000000"/>
                <w:sz w:val="20"/>
              </w:rPr>
              <w:t xml:space="preserve">
   33. Если требуемая доза излучения получается более чем за одну экспозицию или более чем за один проход через радиационную камеру, это согласовывается с держателем регистрационного удостоверения, эту дозу получают в течение предварительно установленного промежутка времени. Держатель регистрационного удостоверения уведомляется о незапланированных перерывах во время облучения, если они удлиняют процесс облучения свыше заранее согласованного времени. </w:t>
            </w:r>
          </w:p>
          <w:p>
            <w:pPr>
              <w:spacing w:after="20"/>
              <w:ind w:left="20"/>
              <w:jc w:val="both"/>
            </w:pPr>
            <w:r>
              <w:rPr>
                <w:rFonts w:ascii="Times New Roman"/>
                <w:b w:val="false"/>
                <w:i w:val="false"/>
                <w:color w:val="000000"/>
                <w:sz w:val="20"/>
              </w:rPr>
              <w:t>
   34. Облученная продукция всегда отделяется от необлученной. Способы достижения этого включают в себя использование индикаторов радиации как указано в пункте 31 данного Приложения и соответствующей планировки помещений как указано в пункте 28 данного Приложения.</w:t>
            </w:r>
          </w:p>
          <w:p>
            <w:pPr>
              <w:spacing w:after="20"/>
              <w:ind w:left="20"/>
              <w:jc w:val="both"/>
            </w:pPr>
            <w:r>
              <w:rPr>
                <w:rFonts w:ascii="Times New Roman"/>
                <w:b w:val="false"/>
                <w:i w:val="false"/>
                <w:color w:val="000000"/>
                <w:sz w:val="20"/>
              </w:rPr>
              <w:t>
   </w:t>
            </w:r>
            <w:r>
              <w:rPr>
                <w:rFonts w:ascii="Times New Roman"/>
                <w:b/>
                <w:i w:val="false"/>
                <w:color w:val="000000"/>
                <w:sz w:val="20"/>
              </w:rPr>
              <w:t>Гамма-излучатель</w:t>
            </w:r>
          </w:p>
          <w:p>
            <w:pPr>
              <w:spacing w:after="20"/>
              <w:ind w:left="20"/>
              <w:jc w:val="both"/>
            </w:pPr>
            <w:r>
              <w:rPr>
                <w:rFonts w:ascii="Times New Roman"/>
                <w:b w:val="false"/>
                <w:i w:val="false"/>
                <w:color w:val="000000"/>
                <w:sz w:val="20"/>
              </w:rPr>
              <w:t>
   35. При непрерывном режиме облучения дозиметры располагаются таким образом, чтобы под воздействием излучения одновременно находились не менее двух дозиметров в течение всего процесса.</w:t>
            </w:r>
          </w:p>
          <w:p>
            <w:pPr>
              <w:spacing w:after="20"/>
              <w:ind w:left="20"/>
              <w:jc w:val="both"/>
            </w:pPr>
            <w:r>
              <w:rPr>
                <w:rFonts w:ascii="Times New Roman"/>
                <w:b w:val="false"/>
                <w:i w:val="false"/>
                <w:color w:val="000000"/>
                <w:sz w:val="20"/>
              </w:rPr>
              <w:t xml:space="preserve">
   36. При порционном режиме облучения не менее двух дозиметров подвергаются воздействию ионизирующего излучения в местах получения минимальной дозы. </w:t>
            </w:r>
          </w:p>
          <w:p>
            <w:pPr>
              <w:spacing w:after="20"/>
              <w:ind w:left="20"/>
              <w:jc w:val="both"/>
            </w:pPr>
            <w:r>
              <w:rPr>
                <w:rFonts w:ascii="Times New Roman"/>
                <w:b w:val="false"/>
                <w:i w:val="false"/>
                <w:color w:val="000000"/>
                <w:sz w:val="20"/>
              </w:rPr>
              <w:t>
   37. При непрерывном режиме облучения предусматривается индикация требуемого рабочего положения источника. Положение источника и движение конвейера связываются блокировкой. Скорость движения конвейера необходимо постоянно контролировать и регистрировать.</w:t>
            </w:r>
          </w:p>
          <w:p>
            <w:pPr>
              <w:spacing w:after="20"/>
              <w:ind w:left="20"/>
              <w:jc w:val="both"/>
            </w:pPr>
            <w:r>
              <w:rPr>
                <w:rFonts w:ascii="Times New Roman"/>
                <w:b w:val="false"/>
                <w:i w:val="false"/>
                <w:color w:val="000000"/>
                <w:sz w:val="20"/>
              </w:rPr>
              <w:t>
   38. При порционном режиме облучения перемещение источника и время экспозиции для каждой серии продукции контролируется и регистрируется.</w:t>
            </w:r>
          </w:p>
          <w:p>
            <w:pPr>
              <w:spacing w:after="20"/>
              <w:ind w:left="20"/>
              <w:jc w:val="both"/>
            </w:pPr>
            <w:r>
              <w:rPr>
                <w:rFonts w:ascii="Times New Roman"/>
                <w:b w:val="false"/>
                <w:i w:val="false"/>
                <w:color w:val="000000"/>
                <w:sz w:val="20"/>
              </w:rPr>
              <w:t>
   39. Для получения желаемой дозы время облучения и скорость движения конвейера корректируются с учетом распада или дозарядки источника излучения. Срок действия параметров установки или скорости конвейера фиксируют документально и строго соблюдают.</w:t>
            </w:r>
          </w:p>
          <w:p>
            <w:pPr>
              <w:spacing w:after="20"/>
              <w:ind w:left="20"/>
              <w:jc w:val="both"/>
            </w:pPr>
            <w:r>
              <w:rPr>
                <w:rFonts w:ascii="Times New Roman"/>
                <w:b w:val="false"/>
                <w:i w:val="false"/>
                <w:color w:val="000000"/>
                <w:sz w:val="20"/>
              </w:rPr>
              <w:t>
   </w:t>
            </w:r>
            <w:r>
              <w:rPr>
                <w:rFonts w:ascii="Times New Roman"/>
                <w:b/>
                <w:i w:val="false"/>
                <w:color w:val="000000"/>
                <w:sz w:val="20"/>
              </w:rPr>
              <w:t>Радиационные установки с ускорителями электронов</w:t>
            </w:r>
          </w:p>
          <w:p>
            <w:pPr>
              <w:spacing w:after="20"/>
              <w:ind w:left="20"/>
              <w:jc w:val="both"/>
            </w:pPr>
            <w:r>
              <w:rPr>
                <w:rFonts w:ascii="Times New Roman"/>
                <w:b w:val="false"/>
                <w:i w:val="false"/>
                <w:color w:val="000000"/>
                <w:sz w:val="20"/>
              </w:rPr>
              <w:t>
   40. В каждый контейнер помещается дозиметр.</w:t>
            </w:r>
          </w:p>
          <w:p>
            <w:pPr>
              <w:spacing w:after="20"/>
              <w:ind w:left="20"/>
              <w:jc w:val="both"/>
            </w:pPr>
            <w:r>
              <w:rPr>
                <w:rFonts w:ascii="Times New Roman"/>
                <w:b w:val="false"/>
                <w:i w:val="false"/>
                <w:color w:val="000000"/>
                <w:sz w:val="20"/>
              </w:rPr>
              <w:t>
   41. Среднее значение потока пучка, энергию электронов, ширину развертки и скорость конвейера непрерывно регистрируют. Эти параметры, за исключением скорости конвейера, контролируют в установленных пределах, определенных во время ввода в эксплуатацию, поскольку они подвержены спонтанным изменениям.</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Документация</w:t>
            </w:r>
          </w:p>
          <w:p>
            <w:pPr>
              <w:spacing w:after="20"/>
              <w:ind w:left="20"/>
              <w:jc w:val="both"/>
            </w:pPr>
            <w:r>
              <w:rPr>
                <w:rFonts w:ascii="Times New Roman"/>
                <w:b w:val="false"/>
                <w:i w:val="false"/>
                <w:color w:val="000000"/>
                <w:sz w:val="20"/>
              </w:rPr>
              <w:t>
   42. Количество поступивших контейнеров и контейнеров, прошедших облучение и вывезенных с предприятия, совпадает и соответствует значениям, указанным в сопроводительной документации. Любые расхождения регистрируются и расследуются.</w:t>
            </w:r>
          </w:p>
          <w:p>
            <w:pPr>
              <w:spacing w:after="20"/>
              <w:ind w:left="20"/>
              <w:jc w:val="both"/>
            </w:pPr>
            <w:r>
              <w:rPr>
                <w:rFonts w:ascii="Times New Roman"/>
                <w:b w:val="false"/>
                <w:i w:val="false"/>
                <w:color w:val="000000"/>
                <w:sz w:val="20"/>
              </w:rPr>
              <w:t>
   43. Оператор радиационной установки подтверждает в письменном виде диапазон значений поглощенных доз, полученных каждым контейнером при каждой загрузке или в серии продукции.</w:t>
            </w:r>
          </w:p>
          <w:p>
            <w:pPr>
              <w:spacing w:after="20"/>
              <w:ind w:left="20"/>
              <w:jc w:val="both"/>
            </w:pPr>
            <w:r>
              <w:rPr>
                <w:rFonts w:ascii="Times New Roman"/>
                <w:b w:val="false"/>
                <w:i w:val="false"/>
                <w:color w:val="000000"/>
                <w:sz w:val="20"/>
              </w:rPr>
              <w:t>
   44. Технологические записи и записи по контролю для каждой серии продукции, прошедшей облучение, проверяются и подписываются специально назначенным лицом и сохраняются. Метод и место хранения согласовываются между организацией, проводившей облучение, и держателем регистрационного удостоверения на лекарственный препарат.</w:t>
            </w:r>
          </w:p>
          <w:p>
            <w:pPr>
              <w:spacing w:after="20"/>
              <w:ind w:left="20"/>
              <w:jc w:val="both"/>
            </w:pPr>
            <w:r>
              <w:rPr>
                <w:rFonts w:ascii="Times New Roman"/>
                <w:b w:val="false"/>
                <w:i w:val="false"/>
                <w:color w:val="000000"/>
                <w:sz w:val="20"/>
              </w:rPr>
              <w:t>
   45. Документация, относящаяся к валидации радиационной установки, хранится в течение одного года после истечения срока годности или, по крайней мере, в течение пяти лет после выпуска последней продукции, прошедшей облучение на этой установке, в зависимости от того, какой период дольше.</w:t>
            </w:r>
          </w:p>
          <w:p>
            <w:pPr>
              <w:spacing w:after="20"/>
              <w:ind w:left="20"/>
              <w:jc w:val="both"/>
            </w:pPr>
            <w:r>
              <w:rPr>
                <w:rFonts w:ascii="Times New Roman"/>
                <w:b w:val="false"/>
                <w:i w:val="false"/>
                <w:color w:val="000000"/>
                <w:sz w:val="20"/>
              </w:rPr>
              <w:t>
   </w:t>
            </w:r>
            <w:r>
              <w:rPr>
                <w:rFonts w:ascii="Times New Roman"/>
                <w:b/>
                <w:i w:val="false"/>
                <w:color w:val="000000"/>
                <w:sz w:val="20"/>
              </w:rPr>
              <w:t>Микробиологический контроль</w:t>
            </w:r>
          </w:p>
          <w:p>
            <w:pPr>
              <w:spacing w:after="20"/>
              <w:ind w:left="20"/>
              <w:jc w:val="both"/>
            </w:pPr>
            <w:r>
              <w:rPr>
                <w:rFonts w:ascii="Times New Roman"/>
                <w:b w:val="false"/>
                <w:i w:val="false"/>
                <w:color w:val="000000"/>
                <w:sz w:val="20"/>
              </w:rPr>
              <w:t>
   46. Ответственность за микробиологический мониторинг несет производитель лекарственных средств. Этот мониторинг включает мониторинг производственной среды и контроль продукции перед облучением, как установлено в регистрационном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
        <w:gridCol w:w="12239"/>
      </w:tblGrid>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ЛЕКАРСТВЕННЫЕ ПРЕПАРАТЫ ДЛЯ КЛИНИЧЕСКИХ ИССЛЕДОВАНИЙ</w:t>
            </w:r>
          </w:p>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При клинических исследованиях вероятны дополнительные риски для субъектов исследований по сравнению с пациентами, которые принимают зарегистрированные лекарственные препараты. Применение настоящего Стандарта к производству лекарственных препаратов для клинических исследований необходимо для того, чтобы гарантировать субъектам исследования отсутствие рисков, а также чтобы на результаты клинических исследований не повлияли недостаточные безопасность, качество или эффективность, являющиеся следствием ненадлежащего производства. В равной мере эти требования предназначены для обеспечения постоянства от серии к серии одного и того же лекарственного препарата для клинических исследований, используемого в одном или в разных клинических исследованиях, а также для документального оформления и обоснования изменений в процессе разработки такого лекарственного препарата.</w:t>
            </w:r>
          </w:p>
          <w:p>
            <w:pPr>
              <w:spacing w:after="20"/>
              <w:ind w:left="20"/>
              <w:jc w:val="both"/>
            </w:pPr>
            <w:r>
              <w:rPr>
                <w:rFonts w:ascii="Times New Roman"/>
                <w:b w:val="false"/>
                <w:i w:val="false"/>
                <w:color w:val="000000"/>
                <w:sz w:val="20"/>
              </w:rPr>
              <w:t>
   Производство лекарственных препаратов для клинических исследований связано с дополнительной сложностью по сравнению с зарегистрированными лекарственными препаратами из-за отсутствия установленных процедур, разных схем клинических исследований и, как следствие, разных требований к упаковкам, необходимости рандомизации и использования "слепого" метода (маскировки), а также из-за большого риска перекрестной контаминации и перепутывания лекарственных препаратов. Кроме того, данные об эффективности и токсичности лекарственного препарата могут быть неполными, может отсутствовать полная валидация процесса или могут использоваться зарегистрированные лекарственные препараты, которые были переупакованы или некоторым образом модифицированы. В связи с этим персонал должен в полной мере понимать настоящий Стандарт в отношении лекарственных препаратов для клинических исследований и пройти соответствующее обучение. Устанавливается взаимодействие со спонсорами клинических исследований, на которых лежит вся ответственность по вопросам клинических исследований, включая качество лекарственных препаратов для клинических исследований. Возросшая сложность технологических процессов требует применения высокоэффективной системы обеспечения качества.</w:t>
            </w:r>
          </w:p>
          <w:p>
            <w:pPr>
              <w:spacing w:after="20"/>
              <w:ind w:left="20"/>
              <w:jc w:val="both"/>
            </w:pPr>
            <w:r>
              <w:rPr>
                <w:rFonts w:ascii="Times New Roman"/>
                <w:b w:val="false"/>
                <w:i w:val="false"/>
                <w:color w:val="000000"/>
                <w:sz w:val="20"/>
              </w:rPr>
              <w:t>
   В данном Приложении также установлены требования к оформлению заказов, отгрузке, транспортированию и возврату материалов для клинических исследований, которые взаимосвязаны и дополняют правила надлежащей клинической практики.</w:t>
            </w:r>
          </w:p>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p>
          <w:p>
            <w:pPr>
              <w:spacing w:after="20"/>
              <w:ind w:left="20"/>
              <w:jc w:val="both"/>
            </w:pPr>
            <w:r>
              <w:rPr>
                <w:rFonts w:ascii="Times New Roman"/>
                <w:b w:val="false"/>
                <w:i w:val="false"/>
                <w:color w:val="000000"/>
                <w:sz w:val="20"/>
              </w:rPr>
              <w:t>
   </w:t>
            </w:r>
            <w:r>
              <w:rPr>
                <w:rFonts w:ascii="Times New Roman"/>
                <w:b/>
                <w:i w:val="false"/>
                <w:color w:val="000000"/>
                <w:sz w:val="20"/>
              </w:rPr>
              <w:t>Лекарственные препараты, не являющиеся исследуемыми средствами</w:t>
            </w:r>
          </w:p>
          <w:p>
            <w:pPr>
              <w:spacing w:after="20"/>
              <w:ind w:left="20"/>
              <w:jc w:val="both"/>
            </w:pPr>
            <w:r>
              <w:rPr>
                <w:rFonts w:ascii="Times New Roman"/>
                <w:b w:val="false"/>
                <w:i w:val="false"/>
                <w:color w:val="000000"/>
                <w:sz w:val="20"/>
              </w:rPr>
              <w:t xml:space="preserve">
   Субъектам клинических исследований могут быть предоставлены лекарственные препараты, которые не являются испытуемым препаратом, плацебо или препаратом сравнения. Такие лекарственные препараты применяются для сопутствующей терапии или для оказания медицинской помощи с целью профилактики, диагностики или лечения, и (или) вследствие необходимости обеспечения адекватного медицинского ухода, предусмотренного для субъектов исследований. Такие средства также допускается применять в соответствии с протоколом исследования, для того чтобы вызвать физиологическую реакцию. Эти лекарственные препараты не являются лекарственными препаратами для клинических исследований и могут быть предоставлены спонсором или исследователем. Спонсор должен гарантировать, что данные лекарственные препараты соответствуют запросу (заявке) на разрешение проведения клинического исследования и имеют требуемое для цели исследования качество. При этом он принимает во внимание источник лекарственных препаратов, являются ли они зарегистрированными лекарственными препаратами и были ли они переупакованы. Рекомендуется привлекать к этой работе Уполномоченное лицо и учитывать его мнение. </w:t>
            </w:r>
          </w:p>
          <w:p>
            <w:pPr>
              <w:spacing w:after="20"/>
              <w:ind w:left="20"/>
              <w:jc w:val="both"/>
            </w:pPr>
            <w:r>
              <w:rPr>
                <w:rFonts w:ascii="Times New Roman"/>
                <w:b w:val="false"/>
                <w:i w:val="false"/>
                <w:color w:val="000000"/>
                <w:sz w:val="20"/>
              </w:rPr>
              <w:t>
   </w:t>
            </w:r>
            <w:r>
              <w:rPr>
                <w:rFonts w:ascii="Times New Roman"/>
                <w:b/>
                <w:i w:val="false"/>
                <w:color w:val="000000"/>
                <w:sz w:val="20"/>
              </w:rPr>
              <w:t>Лицензирование производства и подготовка к применению</w:t>
            </w:r>
          </w:p>
          <w:p>
            <w:pPr>
              <w:spacing w:after="20"/>
              <w:ind w:left="20"/>
              <w:jc w:val="both"/>
            </w:pPr>
            <w:r>
              <w:rPr>
                <w:rFonts w:ascii="Times New Roman"/>
                <w:b w:val="false"/>
                <w:i w:val="false"/>
                <w:color w:val="000000"/>
                <w:sz w:val="20"/>
              </w:rPr>
              <w:t>
   Как полное производство, так и отдельные стадии производства лекарственных препаратов для клинических исследований, а также различные процессы их разделения, упаковки или их передача подлежат лицензированию. Однако такое лицензирование не требуется для подготовки к применению лекарственных препаратов перед использованием или упаковкой, если эти процессы осуществляют в медицинских организациях фармацевты или другие лица, которые имеют полномочия осуществлять такие процессы, а также если лекарственные препараты для клинических исследований предназначены для использования исключительно в этих организациях.</w:t>
            </w:r>
          </w:p>
          <w:p>
            <w:pPr>
              <w:spacing w:after="20"/>
              <w:ind w:left="20"/>
              <w:jc w:val="both"/>
            </w:pPr>
            <w:r>
              <w:rPr>
                <w:rFonts w:ascii="Times New Roman"/>
                <w:b w:val="false"/>
                <w:i w:val="false"/>
                <w:color w:val="000000"/>
                <w:sz w:val="20"/>
              </w:rPr>
              <w:t>
   В рамках указанных положений под подготовкой к применению следует понимать простой процесс, такой как:</w:t>
            </w:r>
          </w:p>
          <w:p>
            <w:pPr>
              <w:spacing w:after="20"/>
              <w:ind w:left="20"/>
              <w:jc w:val="both"/>
            </w:pPr>
            <w:r>
              <w:rPr>
                <w:rFonts w:ascii="Times New Roman"/>
                <w:b w:val="false"/>
                <w:i w:val="false"/>
                <w:color w:val="000000"/>
                <w:sz w:val="20"/>
              </w:rPr>
              <w:t>
   растворение или диспергирование лекарственного препарата для клинических исследований для ввода лекарственного препарата субъекту испытания, или</w:t>
            </w:r>
          </w:p>
          <w:p>
            <w:pPr>
              <w:spacing w:after="20"/>
              <w:ind w:left="20"/>
              <w:jc w:val="both"/>
            </w:pPr>
            <w:r>
              <w:rPr>
                <w:rFonts w:ascii="Times New Roman"/>
                <w:b w:val="false"/>
                <w:i w:val="false"/>
                <w:color w:val="000000"/>
                <w:sz w:val="20"/>
              </w:rPr>
              <w:t>
   разведение или смешивание лекарственных(ого) препаратов(а) для клинических исследований с другим веществом (веществами), которое применяют как носитель с целью введения лекарственного препарата.</w:t>
            </w:r>
          </w:p>
          <w:p>
            <w:pPr>
              <w:spacing w:after="20"/>
              <w:ind w:left="20"/>
              <w:jc w:val="both"/>
            </w:pPr>
            <w:r>
              <w:rPr>
                <w:rFonts w:ascii="Times New Roman"/>
                <w:b w:val="false"/>
                <w:i w:val="false"/>
                <w:color w:val="000000"/>
                <w:sz w:val="20"/>
              </w:rPr>
              <w:t>
   Смешивание нескольких ингредиентов вместе, включая действующее вещество, с целью получения лекарственного препарата для клинических исследований, не является подготовкой к применению.</w:t>
            </w:r>
          </w:p>
          <w:p>
            <w:pPr>
              <w:spacing w:after="20"/>
              <w:ind w:left="20"/>
              <w:jc w:val="both"/>
            </w:pPr>
            <w:r>
              <w:rPr>
                <w:rFonts w:ascii="Times New Roman"/>
                <w:b w:val="false"/>
                <w:i w:val="false"/>
                <w:color w:val="000000"/>
                <w:sz w:val="20"/>
              </w:rPr>
              <w:t xml:space="preserve">
   Лекарственный препарат для клинических исследований имеется в наличии до процесса подготовки к применению. </w:t>
            </w:r>
          </w:p>
          <w:p>
            <w:pPr>
              <w:spacing w:after="20"/>
              <w:ind w:left="20"/>
              <w:jc w:val="both"/>
            </w:pPr>
            <w:r>
              <w:rPr>
                <w:rFonts w:ascii="Times New Roman"/>
                <w:b w:val="false"/>
                <w:i w:val="false"/>
                <w:color w:val="000000"/>
                <w:sz w:val="20"/>
              </w:rPr>
              <w:t>
   Процесс подготовки к применению осуществляют обычно непосредственно перед введением.</w:t>
            </w:r>
          </w:p>
          <w:p>
            <w:pPr>
              <w:spacing w:after="20"/>
              <w:ind w:left="20"/>
              <w:jc w:val="both"/>
            </w:pPr>
            <w:r>
              <w:rPr>
                <w:rFonts w:ascii="Times New Roman"/>
                <w:b w:val="false"/>
                <w:i w:val="false"/>
                <w:color w:val="000000"/>
                <w:sz w:val="20"/>
              </w:rPr>
              <w:t>
   Такой процесс указывается в заявлении на проведение клинических исследований или досье исследуемого лекарственного препарата и в протоколе клинического исследования или соответствующем документе, имеющемся на клинической базе.</w:t>
            </w:r>
          </w:p>
          <w:p>
            <w:pPr>
              <w:spacing w:after="20"/>
              <w:ind w:left="20"/>
              <w:jc w:val="both"/>
            </w:pPr>
            <w:r>
              <w:rPr>
                <w:rFonts w:ascii="Times New Roman"/>
                <w:b w:val="false"/>
                <w:i w:val="false"/>
                <w:color w:val="000000"/>
                <w:sz w:val="20"/>
              </w:rPr>
              <w:t>
   </w:t>
            </w:r>
            <w:r>
              <w:rPr>
                <w:rFonts w:ascii="Times New Roman"/>
                <w:b/>
                <w:i w:val="false"/>
                <w:color w:val="000000"/>
                <w:sz w:val="20"/>
              </w:rPr>
              <w:t>Термины и определения</w:t>
            </w:r>
          </w:p>
          <w:p>
            <w:pPr>
              <w:spacing w:after="20"/>
              <w:ind w:left="20"/>
              <w:jc w:val="both"/>
            </w:pPr>
            <w:r>
              <w:rPr>
                <w:rFonts w:ascii="Times New Roman"/>
                <w:b w:val="false"/>
                <w:i w:val="false"/>
                <w:color w:val="000000"/>
                <w:sz w:val="20"/>
              </w:rPr>
              <w:t>
   Досье на лекарственный препарат (product specification file) - комплект документов, содержащих всю информацию (или ссылки на соответствующие документы), необходимую для составления подробных инструкций по производству, упаковке, контролю качества, выдаче разрешения на выпуск серии и отгрузке лекарственного препарата для клинических исследований.</w:t>
            </w:r>
          </w:p>
          <w:p>
            <w:pPr>
              <w:spacing w:after="20"/>
              <w:ind w:left="20"/>
              <w:jc w:val="both"/>
            </w:pPr>
            <w:r>
              <w:rPr>
                <w:rFonts w:ascii="Times New Roman"/>
                <w:b w:val="false"/>
                <w:i w:val="false"/>
                <w:color w:val="000000"/>
                <w:sz w:val="20"/>
              </w:rPr>
              <w:t>
   Заказ - задание на производство, упаковку и (или) доставку определенного количества единиц лекарственных(ого) препаратов(а) для клинических исследований.</w:t>
            </w:r>
          </w:p>
          <w:p>
            <w:pPr>
              <w:spacing w:after="20"/>
              <w:ind w:left="20"/>
              <w:jc w:val="both"/>
            </w:pPr>
            <w:r>
              <w:rPr>
                <w:rFonts w:ascii="Times New Roman"/>
                <w:b w:val="false"/>
                <w:i w:val="false"/>
                <w:color w:val="000000"/>
                <w:sz w:val="20"/>
              </w:rPr>
              <w:t>
   Исследователь - лицо, ответственное за проведение клинического исследования в медицинской организации. При проведении клинического исследования группой лиц исследователем является руководитель группы, который может называться ответственным исследователем.</w:t>
            </w:r>
          </w:p>
          <w:p>
            <w:pPr>
              <w:spacing w:after="20"/>
              <w:ind w:left="20"/>
              <w:jc w:val="both"/>
            </w:pPr>
            <w:r>
              <w:rPr>
                <w:rFonts w:ascii="Times New Roman"/>
                <w:b w:val="false"/>
                <w:i w:val="false"/>
                <w:color w:val="000000"/>
                <w:sz w:val="20"/>
              </w:rPr>
              <w:t>
   Клиническое исследование - исследование, проводимое на людях – субъектах исследования для выявления или подтверждения клинических, фармакологических и (или) других фармакодинамических эффектов лекарственных(ого) препаратов(а) для клинических исследований и (или) для выявления побочных реакций на него (них), и (или) для изучения его (их) абсорбции, распределения, метаболизма и выведения с целью оценки его (их) безопасности и (или) эффективности.</w:t>
            </w:r>
          </w:p>
          <w:p>
            <w:pPr>
              <w:spacing w:after="20"/>
              <w:ind w:left="20"/>
              <w:jc w:val="both"/>
            </w:pPr>
            <w:r>
              <w:rPr>
                <w:rFonts w:ascii="Times New Roman"/>
                <w:b w:val="false"/>
                <w:i w:val="false"/>
                <w:color w:val="000000"/>
                <w:sz w:val="20"/>
              </w:rPr>
              <w:t>
   Код рандомизации - перечень, содержащий описание лечения, назначенного каждому субъекту исследования с учетом рандомизации.</w:t>
            </w:r>
          </w:p>
          <w:p>
            <w:pPr>
              <w:spacing w:after="20"/>
              <w:ind w:left="20"/>
              <w:jc w:val="both"/>
            </w:pPr>
            <w:r>
              <w:rPr>
                <w:rFonts w:ascii="Times New Roman"/>
                <w:b w:val="false"/>
                <w:i w:val="false"/>
                <w:color w:val="000000"/>
                <w:sz w:val="20"/>
              </w:rPr>
              <w:t>
   Лекарственный препарат для клинических исследований - активная фармацевтическая субстанция в лекарственной форме или плацебо, исследуемые или используемые в качестве препарата сравнения при проведении клинического исследования. К лекарственным препаратам для клинических исследований относятся также уже зарегистрированные лекарственные препараты, если способ их применения или производства (лекарственная форма или упаковка) отличается от зарегистрированного, а также в случае их использования по еще не одобренным показаниям или для получения дополнительной информации об уже зарегистрированной лекарственной форме.</w:t>
            </w:r>
          </w:p>
          <w:p>
            <w:pPr>
              <w:spacing w:after="20"/>
              <w:ind w:left="20"/>
              <w:jc w:val="both"/>
            </w:pPr>
            <w:r>
              <w:rPr>
                <w:rFonts w:ascii="Times New Roman"/>
                <w:b w:val="false"/>
                <w:i w:val="false"/>
                <w:color w:val="000000"/>
                <w:sz w:val="20"/>
              </w:rPr>
              <w:t xml:space="preserve">
   Отгрузка - операции по упаковке для отгрузки и по транспортированию заказанных лекарственных препаратов для клинических исследований. </w:t>
            </w:r>
          </w:p>
          <w:p>
            <w:pPr>
              <w:spacing w:after="20"/>
              <w:ind w:left="20"/>
              <w:jc w:val="both"/>
            </w:pPr>
            <w:r>
              <w:rPr>
                <w:rFonts w:ascii="Times New Roman"/>
                <w:b w:val="false"/>
                <w:i w:val="false"/>
                <w:color w:val="000000"/>
                <w:sz w:val="20"/>
              </w:rPr>
              <w:t>
   Препарат сравнения - исследуемый или зарегистрированный лекарственный препарат, либо плацебо, используемый(ое) как контроль в клиническом исследовании.</w:t>
            </w:r>
          </w:p>
          <w:p>
            <w:pPr>
              <w:spacing w:after="20"/>
              <w:ind w:left="20"/>
              <w:jc w:val="both"/>
            </w:pPr>
            <w:r>
              <w:rPr>
                <w:rFonts w:ascii="Times New Roman"/>
                <w:b w:val="false"/>
                <w:i w:val="false"/>
                <w:color w:val="000000"/>
                <w:sz w:val="20"/>
              </w:rPr>
              <w:t>
   Производитель или импортер лекарственного препарата для клинических исследований - лицо, имеющее лицензию на производство или разрешение на ввоз лекарственного препарата для клинических исследований, выданные в установленном порядке.</w:t>
            </w:r>
          </w:p>
          <w:p>
            <w:pPr>
              <w:spacing w:after="20"/>
              <w:ind w:left="20"/>
              <w:jc w:val="both"/>
            </w:pPr>
            <w:r>
              <w:rPr>
                <w:rFonts w:ascii="Times New Roman"/>
                <w:b w:val="false"/>
                <w:i w:val="false"/>
                <w:color w:val="000000"/>
                <w:sz w:val="20"/>
              </w:rPr>
              <w:t>
   Рандомизация - процесс распределения субъектов исследования по основным и контрольным группам с использованием элемента случайности с целью сведения к минимуму возможности необъективного заключения.</w:t>
            </w:r>
          </w:p>
          <w:p>
            <w:pPr>
              <w:spacing w:after="20"/>
              <w:ind w:left="20"/>
              <w:jc w:val="both"/>
            </w:pPr>
            <w:r>
              <w:rPr>
                <w:rFonts w:ascii="Times New Roman"/>
                <w:b w:val="false"/>
                <w:i w:val="false"/>
                <w:color w:val="000000"/>
                <w:sz w:val="20"/>
              </w:rPr>
              <w:t>
   "Слепое" исследование или "слепой" метод - процедура клинических исследований, при которой одна или более сторон, участвующих в исследовании, не информированы о проводимом(ых) терапевтическом(их) назначении (назначениях). Простой "слепой" метод означает неосведомленность субъекта(ов) исследования, а двойной "слепой" метод – неосведомленность о проводимом(ых) терапевтическом(их) назначении (назначениях)субъекта(ов) исследования, исследователя(ей), наблюдателей и в некоторых случаях лиц, анализирующих полученные данные. В отношении лекарственного препарата для клинических исследований "слепой" метод исследования означает преднамеренное маскирование идентичности этого лекарственного препарата в соответствии с указаниями спонсора. Раскодирование(снятие маскировки) означает раскрытие информации об идентичности лекарственного препарата.</w:t>
            </w:r>
          </w:p>
          <w:p>
            <w:pPr>
              <w:spacing w:after="20"/>
              <w:ind w:left="20"/>
              <w:jc w:val="both"/>
            </w:pPr>
            <w:r>
              <w:rPr>
                <w:rFonts w:ascii="Times New Roman"/>
                <w:b w:val="false"/>
                <w:i w:val="false"/>
                <w:color w:val="000000"/>
                <w:sz w:val="20"/>
              </w:rPr>
              <w:t>
   Спонсор - физическое или юридическое лицо, несущее ответственность за начало клинического исследования, его организацию и (или) финансирование.</w:t>
            </w:r>
          </w:p>
          <w:p>
            <w:pPr>
              <w:spacing w:after="20"/>
              <w:ind w:left="20"/>
              <w:jc w:val="both"/>
            </w:pPr>
            <w:r>
              <w:rPr>
                <w:rFonts w:ascii="Times New Roman"/>
                <w:b w:val="false"/>
                <w:i w:val="false"/>
                <w:color w:val="000000"/>
                <w:sz w:val="20"/>
              </w:rPr>
              <w:t>
   </w:t>
            </w:r>
            <w:r>
              <w:rPr>
                <w:rFonts w:ascii="Times New Roman"/>
                <w:b/>
                <w:i w:val="false"/>
                <w:color w:val="000000"/>
                <w:sz w:val="20"/>
              </w:rPr>
              <w:t>Управление качеством</w:t>
            </w:r>
          </w:p>
          <w:p>
            <w:pPr>
              <w:spacing w:after="20"/>
              <w:ind w:left="20"/>
              <w:jc w:val="both"/>
            </w:pPr>
            <w:r>
              <w:rPr>
                <w:rFonts w:ascii="Times New Roman"/>
                <w:b w:val="false"/>
                <w:i w:val="false"/>
                <w:color w:val="000000"/>
                <w:sz w:val="20"/>
              </w:rPr>
              <w:t>
   1. Система обеспечения качества, разработанная и проверенная производителем или импортером, соответствует требованиям настоящего Стандарта в части, относящейся к лекарственным препаратам для клинических исследований, документально оформляется в виде письменных процедур и доступна спонсору клинического исследования.</w:t>
            </w:r>
          </w:p>
          <w:p>
            <w:pPr>
              <w:spacing w:after="20"/>
              <w:ind w:left="20"/>
              <w:jc w:val="both"/>
            </w:pPr>
            <w:r>
              <w:rPr>
                <w:rFonts w:ascii="Times New Roman"/>
                <w:b w:val="false"/>
                <w:i w:val="false"/>
                <w:color w:val="000000"/>
                <w:sz w:val="20"/>
              </w:rPr>
              <w:t>
   2. Спецификации и технологические инструкции на лекарственные препараты для клинических исследований могут изменяться в процессе их разработки, но при этом необходимо обеспечить их полный контроль и прослеживаемость всех изменений.</w:t>
            </w:r>
          </w:p>
          <w:p>
            <w:pPr>
              <w:spacing w:after="20"/>
              <w:ind w:left="20"/>
              <w:jc w:val="both"/>
            </w:pPr>
            <w:r>
              <w:rPr>
                <w:rFonts w:ascii="Times New Roman"/>
                <w:b w:val="false"/>
                <w:i w:val="false"/>
                <w:color w:val="000000"/>
                <w:sz w:val="20"/>
              </w:rPr>
              <w:t>
   </w:t>
            </w:r>
            <w:r>
              <w:rPr>
                <w:rFonts w:ascii="Times New Roman"/>
                <w:b/>
                <w:i w:val="false"/>
                <w:color w:val="000000"/>
                <w:sz w:val="20"/>
              </w:rPr>
              <w:t>Персонал</w:t>
            </w:r>
          </w:p>
          <w:p>
            <w:pPr>
              <w:spacing w:after="20"/>
              <w:ind w:left="20"/>
              <w:jc w:val="both"/>
            </w:pPr>
            <w:r>
              <w:rPr>
                <w:rFonts w:ascii="Times New Roman"/>
                <w:b w:val="false"/>
                <w:i w:val="false"/>
                <w:color w:val="000000"/>
                <w:sz w:val="20"/>
              </w:rPr>
              <w:t>
   3. Весь персонал, деятельность которого связана с лекарственными препаратами для исследований, проходит соответствующее обучение, связанное со спецификой данного вида продукции.</w:t>
            </w:r>
          </w:p>
          <w:p>
            <w:pPr>
              <w:spacing w:after="20"/>
              <w:ind w:left="20"/>
              <w:jc w:val="both"/>
            </w:pPr>
            <w:r>
              <w:rPr>
                <w:rFonts w:ascii="Times New Roman"/>
                <w:b w:val="false"/>
                <w:i w:val="false"/>
                <w:color w:val="000000"/>
                <w:sz w:val="20"/>
              </w:rPr>
              <w:t xml:space="preserve">
   Даже в случаях, когда количество вовлеченного персонала мало, для производства каждой серии определяется отдельный персонал, отвечающий за производство и контроль качества. </w:t>
            </w:r>
          </w:p>
          <w:p>
            <w:pPr>
              <w:spacing w:after="20"/>
              <w:ind w:left="20"/>
              <w:jc w:val="both"/>
            </w:pPr>
            <w:r>
              <w:rPr>
                <w:rFonts w:ascii="Times New Roman"/>
                <w:b w:val="false"/>
                <w:i w:val="false"/>
                <w:color w:val="000000"/>
                <w:sz w:val="20"/>
              </w:rPr>
              <w:t>
   4. Уполномоченное лицо обеспечивает наличие соответствующих систем, отвечающих требованиям данного Приложения. Для этого Уполномоченное лицо имеет хорошую подготовку в области разработки лекарственных препаратов и проведения клинических исследований. Руководство для Уполномоченного лица по оценке лекарственных препаратов для клинических исследований приведено в пунктах 38-41 настоящего Приложения.</w:t>
            </w:r>
          </w:p>
          <w:p>
            <w:pPr>
              <w:spacing w:after="20"/>
              <w:ind w:left="20"/>
              <w:jc w:val="both"/>
            </w:pPr>
            <w:r>
              <w:rPr>
                <w:rFonts w:ascii="Times New Roman"/>
                <w:b w:val="false"/>
                <w:i w:val="false"/>
                <w:color w:val="000000"/>
                <w:sz w:val="20"/>
              </w:rPr>
              <w:t>
   </w:t>
            </w:r>
            <w:r>
              <w:rPr>
                <w:rFonts w:ascii="Times New Roman"/>
                <w:b/>
                <w:i w:val="false"/>
                <w:color w:val="000000"/>
                <w:sz w:val="20"/>
              </w:rPr>
              <w:t>Помещения и оборудование</w:t>
            </w:r>
          </w:p>
          <w:p>
            <w:pPr>
              <w:spacing w:after="20"/>
              <w:ind w:left="20"/>
              <w:jc w:val="both"/>
            </w:pPr>
            <w:r>
              <w:rPr>
                <w:rFonts w:ascii="Times New Roman"/>
                <w:b w:val="false"/>
                <w:i w:val="false"/>
                <w:color w:val="000000"/>
                <w:sz w:val="20"/>
              </w:rPr>
              <w:t>
   5. При работе с лекарственными препаратами для клинических исследований информация о токсичности, активности и сенсибилизирующих свойствах может быть неполной, в связи с чем следует уделять особое внимание сведению к минимуму рисков перекрестной контаминации. Конструкция оборудования и помещений, методы испытаний и контроля и пределы допустимых концентраций остатков после очистки учитывают характер этих рисков. Особое внимание уделяется организации работы производственными циклами. При выборе моющего средства учитывают растворимость лекарственного препарата.</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Документация</w:t>
            </w:r>
          </w:p>
          <w:p>
            <w:pPr>
              <w:spacing w:after="20"/>
              <w:ind w:left="20"/>
              <w:jc w:val="both"/>
            </w:pPr>
            <w:r>
              <w:rPr>
                <w:rFonts w:ascii="Times New Roman"/>
                <w:b w:val="false"/>
                <w:i w:val="false"/>
                <w:color w:val="000000"/>
                <w:sz w:val="20"/>
              </w:rPr>
              <w:t>
   </w:t>
            </w:r>
            <w:r>
              <w:rPr>
                <w:rFonts w:ascii="Times New Roman"/>
                <w:b/>
                <w:i w:val="false"/>
                <w:color w:val="000000"/>
                <w:sz w:val="20"/>
              </w:rPr>
              <w:t>Спецификации и инструкции</w:t>
            </w:r>
          </w:p>
          <w:p>
            <w:pPr>
              <w:spacing w:after="20"/>
              <w:ind w:left="20"/>
              <w:jc w:val="both"/>
            </w:pPr>
            <w:r>
              <w:rPr>
                <w:rFonts w:ascii="Times New Roman"/>
                <w:b w:val="false"/>
                <w:i w:val="false"/>
                <w:color w:val="000000"/>
                <w:sz w:val="20"/>
              </w:rPr>
              <w:t>
   6. Спецификации (на исходное сырье, первичные упаковочные материалы, промежуточные продукты, нерасфасованную и готовую продукцию), регламенты, технологические инструкции и инструкции по упаковке содержат существующий уровень сведений о продукте. По ходу разработки лекарственного препарата они периодически оцениваются и при необходимости обновляются. В каждой новой версии учитываются самые последние данные: используемая в настоящее время технология, нормативные и фармакопейные требования; новые версии содержат ссылку на предыдущие, чтобы обеспечить прослеживаемость. Любые изменения, которые могут иметь последствия для качества лекарственного препарата, в частности, для его стабильности и биоэквивалентности, вносятся в соответствии с письменной процедурой.</w:t>
            </w:r>
          </w:p>
          <w:p>
            <w:pPr>
              <w:spacing w:after="20"/>
              <w:ind w:left="20"/>
              <w:jc w:val="both"/>
            </w:pPr>
            <w:r>
              <w:rPr>
                <w:rFonts w:ascii="Times New Roman"/>
                <w:b w:val="false"/>
                <w:i w:val="false"/>
                <w:color w:val="000000"/>
                <w:sz w:val="20"/>
              </w:rPr>
              <w:t>
   7. Причины внесения изменений документально оформляются; исследуются и документально оформляются последствия изменения в отношении качества лекарственного препарата и любых текущих клинических исследований.</w:t>
            </w:r>
          </w:p>
          <w:p>
            <w:pPr>
              <w:spacing w:after="20"/>
              <w:ind w:left="20"/>
              <w:jc w:val="both"/>
            </w:pPr>
            <w:r>
              <w:rPr>
                <w:rFonts w:ascii="Times New Roman"/>
                <w:b w:val="false"/>
                <w:i w:val="false"/>
                <w:color w:val="000000"/>
                <w:sz w:val="20"/>
              </w:rPr>
              <w:t>
   </w:t>
            </w:r>
            <w:r>
              <w:rPr>
                <w:rFonts w:ascii="Times New Roman"/>
                <w:b/>
                <w:i w:val="false"/>
                <w:color w:val="000000"/>
                <w:sz w:val="20"/>
              </w:rPr>
              <w:t>Заказ</w:t>
            </w:r>
          </w:p>
          <w:p>
            <w:pPr>
              <w:spacing w:after="20"/>
              <w:ind w:left="20"/>
              <w:jc w:val="both"/>
            </w:pPr>
            <w:r>
              <w:rPr>
                <w:rFonts w:ascii="Times New Roman"/>
                <w:b w:val="false"/>
                <w:i w:val="false"/>
                <w:color w:val="000000"/>
                <w:sz w:val="20"/>
              </w:rPr>
              <w:t>
   8. Заказ содержит требование на производство и (или) упаковку определенного числа единиц продукции и (или) ее отгрузку. Заказ производителю дается спонсором или лицом, действующим по его поручению. Заказ оформляется в письменном виде, но может передаваться и электронным способом, является достаточно четким во избежание разночтений. Заказ официально утверждается и имеет ссылку на досье на лекарственный препарат и на протокол клинических исследований.</w:t>
            </w:r>
          </w:p>
          <w:p>
            <w:pPr>
              <w:spacing w:after="20"/>
              <w:ind w:left="20"/>
              <w:jc w:val="both"/>
            </w:pPr>
            <w:r>
              <w:rPr>
                <w:rFonts w:ascii="Times New Roman"/>
                <w:b w:val="false"/>
                <w:i w:val="false"/>
                <w:color w:val="000000"/>
                <w:sz w:val="20"/>
              </w:rPr>
              <w:t>
   </w:t>
            </w:r>
            <w:r>
              <w:rPr>
                <w:rFonts w:ascii="Times New Roman"/>
                <w:b/>
                <w:i w:val="false"/>
                <w:color w:val="000000"/>
                <w:sz w:val="20"/>
              </w:rPr>
              <w:t>Досье на лекарственный препарат</w:t>
            </w:r>
          </w:p>
          <w:p>
            <w:pPr>
              <w:spacing w:after="20"/>
              <w:ind w:left="20"/>
              <w:jc w:val="both"/>
            </w:pPr>
            <w:r>
              <w:rPr>
                <w:rFonts w:ascii="Times New Roman"/>
                <w:b w:val="false"/>
                <w:i w:val="false"/>
                <w:color w:val="000000"/>
                <w:sz w:val="20"/>
              </w:rPr>
              <w:t>
   9. Досье на лекарственный препарат непрерывно обновляется по мере разработки лекарственного препарата, обеспечивая соответствующую прослеживаемость предыдущих версий. Досье включает в себя следующие документы или ссылки на них:</w:t>
            </w:r>
          </w:p>
          <w:p>
            <w:pPr>
              <w:spacing w:after="20"/>
              <w:ind w:left="20"/>
              <w:jc w:val="both"/>
            </w:pPr>
            <w:r>
              <w:rPr>
                <w:rFonts w:ascii="Times New Roman"/>
                <w:b w:val="false"/>
                <w:i w:val="false"/>
                <w:color w:val="000000"/>
                <w:sz w:val="20"/>
              </w:rPr>
              <w:t>
   спецификации и аналитические методики на исходное сырье и упаковочные материалы;</w:t>
            </w:r>
          </w:p>
          <w:p>
            <w:pPr>
              <w:spacing w:after="20"/>
              <w:ind w:left="20"/>
              <w:jc w:val="both"/>
            </w:pPr>
            <w:r>
              <w:rPr>
                <w:rFonts w:ascii="Times New Roman"/>
                <w:b w:val="false"/>
                <w:i w:val="false"/>
                <w:color w:val="000000"/>
                <w:sz w:val="20"/>
              </w:rPr>
              <w:t>
   спецификации и аналитические методики на промежуточную, нерасфасованную и готовую продукцию;</w:t>
            </w:r>
          </w:p>
          <w:p>
            <w:pPr>
              <w:spacing w:after="20"/>
              <w:ind w:left="20"/>
              <w:jc w:val="both"/>
            </w:pPr>
            <w:r>
              <w:rPr>
                <w:rFonts w:ascii="Times New Roman"/>
                <w:b w:val="false"/>
                <w:i w:val="false"/>
                <w:color w:val="000000"/>
                <w:sz w:val="20"/>
              </w:rPr>
              <w:t>
   технологические инструкции;</w:t>
            </w:r>
          </w:p>
          <w:p>
            <w:pPr>
              <w:spacing w:after="20"/>
              <w:ind w:left="20"/>
              <w:jc w:val="both"/>
            </w:pPr>
            <w:r>
              <w:rPr>
                <w:rFonts w:ascii="Times New Roman"/>
                <w:b w:val="false"/>
                <w:i w:val="false"/>
                <w:color w:val="000000"/>
                <w:sz w:val="20"/>
              </w:rPr>
              <w:t>
   методики контроля в процессе производства;</w:t>
            </w:r>
          </w:p>
          <w:p>
            <w:pPr>
              <w:spacing w:after="20"/>
              <w:ind w:left="20"/>
              <w:jc w:val="both"/>
            </w:pPr>
            <w:r>
              <w:rPr>
                <w:rFonts w:ascii="Times New Roman"/>
                <w:b w:val="false"/>
                <w:i w:val="false"/>
                <w:color w:val="000000"/>
                <w:sz w:val="20"/>
              </w:rPr>
              <w:t>
   утвержденную копию этикетки;</w:t>
            </w:r>
          </w:p>
          <w:p>
            <w:pPr>
              <w:spacing w:after="20"/>
              <w:ind w:left="20"/>
              <w:jc w:val="both"/>
            </w:pPr>
            <w:r>
              <w:rPr>
                <w:rFonts w:ascii="Times New Roman"/>
                <w:b w:val="false"/>
                <w:i w:val="false"/>
                <w:color w:val="000000"/>
                <w:sz w:val="20"/>
              </w:rPr>
              <w:t>
   соответствующие протоколы клинических исследований и коды рандомизации;</w:t>
            </w:r>
          </w:p>
          <w:p>
            <w:pPr>
              <w:spacing w:after="20"/>
              <w:ind w:left="20"/>
              <w:jc w:val="both"/>
            </w:pPr>
            <w:r>
              <w:rPr>
                <w:rFonts w:ascii="Times New Roman"/>
                <w:b w:val="false"/>
                <w:i w:val="false"/>
                <w:color w:val="000000"/>
                <w:sz w:val="20"/>
              </w:rPr>
              <w:t>
   соответствующие технические соглашения с заказчиками;</w:t>
            </w:r>
          </w:p>
          <w:p>
            <w:pPr>
              <w:spacing w:after="20"/>
              <w:ind w:left="20"/>
              <w:jc w:val="both"/>
            </w:pPr>
            <w:r>
              <w:rPr>
                <w:rFonts w:ascii="Times New Roman"/>
                <w:b w:val="false"/>
                <w:i w:val="false"/>
                <w:color w:val="000000"/>
                <w:sz w:val="20"/>
              </w:rPr>
              <w:t>
   данные о стабильности;</w:t>
            </w:r>
          </w:p>
          <w:p>
            <w:pPr>
              <w:spacing w:after="20"/>
              <w:ind w:left="20"/>
              <w:jc w:val="both"/>
            </w:pPr>
            <w:r>
              <w:rPr>
                <w:rFonts w:ascii="Times New Roman"/>
                <w:b w:val="false"/>
                <w:i w:val="false"/>
                <w:color w:val="000000"/>
                <w:sz w:val="20"/>
              </w:rPr>
              <w:t>
   условия хранения и транспортирования.</w:t>
            </w:r>
          </w:p>
          <w:p>
            <w:pPr>
              <w:spacing w:after="20"/>
              <w:ind w:left="20"/>
              <w:jc w:val="both"/>
            </w:pPr>
            <w:r>
              <w:rPr>
                <w:rFonts w:ascii="Times New Roman"/>
                <w:b w:val="false"/>
                <w:i w:val="false"/>
                <w:color w:val="000000"/>
                <w:sz w:val="20"/>
              </w:rPr>
              <w:t>
   Приведенный выше перечень не предназначен для установления ограничений и не является исчерпывающим, что зависит от лекарственного препарата и стадии его разработки. Содержащаяся в досье информация служит основой при оценке готовности для приемки и выдачи разрешения на выпуск конкретной серии Уполномоченным лицом, которое имеет доступ к этой информации. Если разные стадии процесса производства осуществляют на разных участках, где ответственность несут разные Уполномоченные лица, допускается вести отдельные досье с ограниченной информацией, имеющей отношение к деятельности на соответствующих участках.</w:t>
            </w:r>
          </w:p>
          <w:p>
            <w:pPr>
              <w:spacing w:after="20"/>
              <w:ind w:left="20"/>
              <w:jc w:val="both"/>
            </w:pPr>
            <w:r>
              <w:rPr>
                <w:rFonts w:ascii="Times New Roman"/>
                <w:b w:val="false"/>
                <w:i w:val="false"/>
                <w:color w:val="000000"/>
                <w:sz w:val="20"/>
              </w:rPr>
              <w:t>
   </w:t>
            </w:r>
            <w:r>
              <w:rPr>
                <w:rFonts w:ascii="Times New Roman"/>
                <w:b/>
                <w:i w:val="false"/>
                <w:color w:val="000000"/>
                <w:sz w:val="20"/>
              </w:rPr>
              <w:t>Регламент и технологические инструкции</w:t>
            </w:r>
          </w:p>
          <w:p>
            <w:pPr>
              <w:spacing w:after="20"/>
              <w:ind w:left="20"/>
              <w:jc w:val="both"/>
            </w:pPr>
            <w:r>
              <w:rPr>
                <w:rFonts w:ascii="Times New Roman"/>
                <w:b w:val="false"/>
                <w:i w:val="false"/>
                <w:color w:val="000000"/>
                <w:sz w:val="20"/>
              </w:rPr>
              <w:t xml:space="preserve">
   10. Каждая производственная операция или операция по отгрузке выполняется в соответствии с четкой и достаточно полной письменной инструкцией и сопровождается оформлением записей. Если операция не является повторяемой, то не обязательно составлять регламент и технологические инструкции. Записи имеют особое значение для подготовки окончательных текстов документов, которые будут использоваться при серийном производстве после получения регистрационного удостоверения. </w:t>
            </w:r>
          </w:p>
          <w:p>
            <w:pPr>
              <w:spacing w:after="20"/>
              <w:ind w:left="20"/>
              <w:jc w:val="both"/>
            </w:pPr>
            <w:r>
              <w:rPr>
                <w:rFonts w:ascii="Times New Roman"/>
                <w:b w:val="false"/>
                <w:i w:val="false"/>
                <w:color w:val="000000"/>
                <w:sz w:val="20"/>
              </w:rPr>
              <w:t>
   11. Информацию, содержащуюся в досье на лекарственный препарат, используют при разработке детальных письменных инструкций по производству, упаковке, испытаниям для контроля качества, условиям хранения и транспортирования.</w:t>
            </w:r>
          </w:p>
          <w:p>
            <w:pPr>
              <w:spacing w:after="20"/>
              <w:ind w:left="20"/>
              <w:jc w:val="both"/>
            </w:pPr>
            <w:r>
              <w:rPr>
                <w:rFonts w:ascii="Times New Roman"/>
                <w:b w:val="false"/>
                <w:i w:val="false"/>
                <w:color w:val="000000"/>
                <w:sz w:val="20"/>
              </w:rPr>
              <w:t>
   </w:t>
            </w:r>
            <w:r>
              <w:rPr>
                <w:rFonts w:ascii="Times New Roman"/>
                <w:b/>
                <w:i w:val="false"/>
                <w:color w:val="000000"/>
                <w:sz w:val="20"/>
              </w:rPr>
              <w:t>Инструкции по упаковке</w:t>
            </w:r>
          </w:p>
          <w:p>
            <w:pPr>
              <w:spacing w:after="20"/>
              <w:ind w:left="20"/>
              <w:jc w:val="both"/>
            </w:pPr>
            <w:r>
              <w:rPr>
                <w:rFonts w:ascii="Times New Roman"/>
                <w:b w:val="false"/>
                <w:i w:val="false"/>
                <w:color w:val="000000"/>
                <w:sz w:val="20"/>
              </w:rPr>
              <w:t xml:space="preserve">
   12. Лекарственные препараты для клинических исследований в основном упаковываются индивидуально для каждого субъекта исследований. Количество единиц упаковываемой продукции определяется до начала операций по упаковке с учетом количества единиц, необходимых для проведения контроля качества, и архивных образцов для хранения. После окончания упаковки и маркировки необходимо составить материальный баланс, чтобы гарантировать правильный учет каждого вида продукции для каждой стадии производства. </w:t>
            </w:r>
          </w:p>
          <w:p>
            <w:pPr>
              <w:spacing w:after="20"/>
              <w:ind w:left="20"/>
              <w:jc w:val="both"/>
            </w:pPr>
            <w:r>
              <w:rPr>
                <w:rFonts w:ascii="Times New Roman"/>
                <w:b w:val="false"/>
                <w:i w:val="false"/>
                <w:color w:val="000000"/>
                <w:sz w:val="20"/>
              </w:rPr>
              <w:t>
   </w:t>
            </w:r>
            <w:r>
              <w:rPr>
                <w:rFonts w:ascii="Times New Roman"/>
                <w:b/>
                <w:i w:val="false"/>
                <w:color w:val="000000"/>
                <w:sz w:val="20"/>
              </w:rPr>
              <w:t>Записи по производству, контролю и упаковке серии продукции (досье на серию)</w:t>
            </w:r>
          </w:p>
          <w:p>
            <w:pPr>
              <w:spacing w:after="20"/>
              <w:ind w:left="20"/>
              <w:jc w:val="both"/>
            </w:pPr>
            <w:r>
              <w:rPr>
                <w:rFonts w:ascii="Times New Roman"/>
                <w:b w:val="false"/>
                <w:i w:val="false"/>
                <w:color w:val="000000"/>
                <w:sz w:val="20"/>
              </w:rPr>
              <w:t>
   13. Записи по производству, контролю и упаковке серии продукции - досье на серию - содержат достаточно подробную информацию для точного прослеживания последовательности операций. Эти записи содержат все существенные замечания, обосновывающие использованные процедуры или внесенные изменения, которые расширяют существующие знания о лекарственном препарате и позволяют усовершенствовать производственные операции.</w:t>
            </w:r>
          </w:p>
          <w:p>
            <w:pPr>
              <w:spacing w:after="20"/>
              <w:ind w:left="20"/>
              <w:jc w:val="both"/>
            </w:pPr>
            <w:r>
              <w:rPr>
                <w:rFonts w:ascii="Times New Roman"/>
                <w:b w:val="false"/>
                <w:i w:val="false"/>
                <w:color w:val="000000"/>
                <w:sz w:val="20"/>
              </w:rPr>
              <w:t>
   14. Записи по производству, контролю и упаковке серии продукции - досье на серию - хранятся не менее пяти лет после завершения или официального прекращения последнего клинического исследования, в котором была использована эта серия.</w:t>
            </w:r>
          </w:p>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p>
          <w:p>
            <w:pPr>
              <w:spacing w:after="20"/>
              <w:ind w:left="20"/>
              <w:jc w:val="both"/>
            </w:pPr>
            <w:r>
              <w:rPr>
                <w:rFonts w:ascii="Times New Roman"/>
                <w:b w:val="false"/>
                <w:i w:val="false"/>
                <w:color w:val="000000"/>
                <w:sz w:val="20"/>
              </w:rPr>
              <w:t>
   </w:t>
            </w:r>
            <w:r>
              <w:rPr>
                <w:rFonts w:ascii="Times New Roman"/>
                <w:b/>
                <w:i w:val="false"/>
                <w:color w:val="000000"/>
                <w:sz w:val="20"/>
              </w:rPr>
              <w:t>Упаковочные материалы</w:t>
            </w:r>
          </w:p>
          <w:p>
            <w:pPr>
              <w:spacing w:after="20"/>
              <w:ind w:left="20"/>
              <w:jc w:val="both"/>
            </w:pPr>
            <w:r>
              <w:rPr>
                <w:rFonts w:ascii="Times New Roman"/>
                <w:b w:val="false"/>
                <w:i w:val="false"/>
                <w:color w:val="000000"/>
                <w:sz w:val="20"/>
              </w:rPr>
              <w:t>
   15. В спецификациях и методиках контроля качества предусматривают специальные меры по предотвращению случайного раскодирования из-за различий внешнего вида разных серий упаковочных материалов.</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Технологические операции</w:t>
            </w:r>
          </w:p>
          <w:p>
            <w:pPr>
              <w:spacing w:after="20"/>
              <w:ind w:left="20"/>
              <w:jc w:val="both"/>
            </w:pPr>
            <w:r>
              <w:rPr>
                <w:rFonts w:ascii="Times New Roman"/>
                <w:b w:val="false"/>
                <w:i w:val="false"/>
                <w:color w:val="000000"/>
                <w:sz w:val="20"/>
              </w:rPr>
              <w:t>
   16. На стадии разработки лекарственного препарата определяют критические параметры и виды контроля в процессе производства. Временные параметры и виды контроля в процессе производства получают из приобретенного опыта, в том числе из предыдущих исследований по разработке. Ключевой персонал уделяет особое внимание разработке необходимых инструкций и постоянному их совершенствованию с учетом опыта, приобретаемого в процессе производства. Установленные и контролируемые параметры обосновываются в соответствии с имеющейся в данное время информацией.</w:t>
            </w:r>
          </w:p>
          <w:p>
            <w:pPr>
              <w:spacing w:after="20"/>
              <w:ind w:left="20"/>
              <w:jc w:val="both"/>
            </w:pPr>
            <w:r>
              <w:rPr>
                <w:rFonts w:ascii="Times New Roman"/>
                <w:b w:val="false"/>
                <w:i w:val="false"/>
                <w:color w:val="000000"/>
                <w:sz w:val="20"/>
              </w:rPr>
              <w:t>
   17. Не обязательно проводить валидацию технологических процессов производства лекарственных препаратов для исследований в объеме, предусматриваемом для серийного производства, но помещения и оборудование квалифицируются. Для стерильных лекарственных препаратов валидация процессов стерилизации проводится по тем же стандартам, что и для зарегистрированных лекарственных препаратов. При необходимости, для гарантирования безопасности биотехнологических лекарственных препаратов доказывают инактивацию/удаление вирусов и (или) других примесей биологического происхождения в соответствии с научными принципами и методами, изложенными в соответствующих руководствах, действующих в данной области.</w:t>
            </w:r>
          </w:p>
          <w:p>
            <w:pPr>
              <w:spacing w:after="20"/>
              <w:ind w:left="20"/>
              <w:jc w:val="both"/>
            </w:pPr>
            <w:r>
              <w:rPr>
                <w:rFonts w:ascii="Times New Roman"/>
                <w:b w:val="false"/>
                <w:i w:val="false"/>
                <w:color w:val="000000"/>
                <w:sz w:val="20"/>
              </w:rPr>
              <w:t>
   18. Валидация асептических процессов представляет особую трудность при малых размерах серий продукции. В этих случаях количество первичных упаковок, наполняемых средами, может быть равно наибольшему размеру серии продукции. По возможности (в том числе для имитации процесса) следует наполнять средами большее число единиц продукции для обеспечения большей достоверности результатов. Наполнение и герметизация являются преимущественно ручными или полуавтоматическими операциями, представляющими риск для стерильности. В связи с этим следует уделить повышенное внимание обучению персонала и проведению валидации методов асептического производства с участием каждого оператора.</w:t>
            </w:r>
          </w:p>
          <w:p>
            <w:pPr>
              <w:spacing w:after="20"/>
              <w:ind w:left="20"/>
              <w:jc w:val="both"/>
            </w:pPr>
            <w:r>
              <w:rPr>
                <w:rFonts w:ascii="Times New Roman"/>
                <w:b w:val="false"/>
                <w:i w:val="false"/>
                <w:color w:val="000000"/>
                <w:sz w:val="20"/>
              </w:rPr>
              <w:t>
   </w:t>
            </w:r>
            <w:r>
              <w:rPr>
                <w:rFonts w:ascii="Times New Roman"/>
                <w:b/>
                <w:i w:val="false"/>
                <w:color w:val="000000"/>
                <w:sz w:val="20"/>
              </w:rPr>
              <w:t>Требования к препарату сравнения</w:t>
            </w:r>
          </w:p>
          <w:p>
            <w:pPr>
              <w:spacing w:after="20"/>
              <w:ind w:left="20"/>
              <w:jc w:val="both"/>
            </w:pPr>
            <w:r>
              <w:rPr>
                <w:rFonts w:ascii="Times New Roman"/>
                <w:b w:val="false"/>
                <w:i w:val="false"/>
                <w:color w:val="000000"/>
                <w:sz w:val="20"/>
              </w:rPr>
              <w:t>
   19. При изменениях лекарственного препарата (например, по результатам исследования стабильности, сравнительному тесту кинетики растворения, биодоступности) имеется достаточный объем информации о нем для доказательства того, что эти изменения не окажут существенного влияния на исходные параметры качества этого лекарственного препарата.</w:t>
            </w:r>
          </w:p>
          <w:p>
            <w:pPr>
              <w:spacing w:after="20"/>
              <w:ind w:left="20"/>
              <w:jc w:val="both"/>
            </w:pPr>
            <w:r>
              <w:rPr>
                <w:rFonts w:ascii="Times New Roman"/>
                <w:b w:val="false"/>
                <w:i w:val="false"/>
                <w:color w:val="000000"/>
                <w:sz w:val="20"/>
              </w:rPr>
              <w:t>
   20. Срок годности препарата сравнения, указанный на первоначальной упаковке, не может быть таким же для переупакованного в другую упаковку препарата, которая может не обеспечить эквивалентный уровень защиты или может быть несовместимой с препаратом. Поэтому спонсор или лицо, действующее от его имени, определяют приемлемую дату, до которой следует использовать препарат, принимается во внимание природа препарата, характеристики контейнера и условия, в которых будет храниться препарат. Новый срок годности обосновывается и не превышает срок годности, указанный на первоначальной упаковке. Срок годности согласовывается с длительностью клинического исследования.</w:t>
            </w:r>
          </w:p>
          <w:p>
            <w:pPr>
              <w:spacing w:after="20"/>
              <w:ind w:left="20"/>
              <w:jc w:val="both"/>
            </w:pPr>
            <w:r>
              <w:rPr>
                <w:rFonts w:ascii="Times New Roman"/>
                <w:b w:val="false"/>
                <w:i w:val="false"/>
                <w:color w:val="000000"/>
                <w:sz w:val="20"/>
              </w:rPr>
              <w:t>
   </w:t>
            </w:r>
            <w:r>
              <w:rPr>
                <w:rFonts w:ascii="Times New Roman"/>
                <w:b/>
                <w:i w:val="false"/>
                <w:color w:val="000000"/>
                <w:sz w:val="20"/>
              </w:rPr>
              <w:t>Операции по кодированию ("слепой" метод)</w:t>
            </w:r>
          </w:p>
          <w:p>
            <w:pPr>
              <w:spacing w:after="20"/>
              <w:ind w:left="20"/>
              <w:jc w:val="both"/>
            </w:pPr>
            <w:r>
              <w:rPr>
                <w:rFonts w:ascii="Times New Roman"/>
                <w:b w:val="false"/>
                <w:i w:val="false"/>
                <w:color w:val="000000"/>
                <w:sz w:val="20"/>
              </w:rPr>
              <w:t>
   21. Если лекарственные препараты кодируют, имеются системы, обеспечивающие достижение и сохранение кодировки, но при необходимости позволяющие идентифицировать закодированную ("слепую") продукцию, в том числе номера серий лекарственного препарата до операции по кодированию. Следует предусмотреть возможность быстрой идентификации лекарственного препарата в экстренных случаях.</w:t>
            </w:r>
          </w:p>
          <w:p>
            <w:pPr>
              <w:spacing w:after="20"/>
              <w:ind w:left="20"/>
              <w:jc w:val="both"/>
            </w:pPr>
            <w:r>
              <w:rPr>
                <w:rFonts w:ascii="Times New Roman"/>
                <w:b w:val="false"/>
                <w:i w:val="false"/>
                <w:color w:val="000000"/>
                <w:sz w:val="20"/>
              </w:rPr>
              <w:t>
   </w:t>
            </w:r>
            <w:r>
              <w:rPr>
                <w:rFonts w:ascii="Times New Roman"/>
                <w:b/>
                <w:i w:val="false"/>
                <w:color w:val="000000"/>
                <w:sz w:val="20"/>
              </w:rPr>
              <w:t>Код рандомизации</w:t>
            </w:r>
          </w:p>
          <w:p>
            <w:pPr>
              <w:spacing w:after="20"/>
              <w:ind w:left="20"/>
              <w:jc w:val="both"/>
            </w:pPr>
            <w:r>
              <w:rPr>
                <w:rFonts w:ascii="Times New Roman"/>
                <w:b w:val="false"/>
                <w:i w:val="false"/>
                <w:color w:val="000000"/>
                <w:sz w:val="20"/>
              </w:rPr>
              <w:t>
   22. В инструкциях описываются все процедуры по созданию, защите, распределению, обработке и хранению любого кода рандомизации, использованного для упакованных лекарственных препаратов для клинических исследований, а также методы раскрытия кода. Следует ввести соответствующие записи.</w:t>
            </w:r>
          </w:p>
          <w:p>
            <w:pPr>
              <w:spacing w:after="20"/>
              <w:ind w:left="20"/>
              <w:jc w:val="both"/>
            </w:pPr>
            <w:r>
              <w:rPr>
                <w:rFonts w:ascii="Times New Roman"/>
                <w:b w:val="false"/>
                <w:i w:val="false"/>
                <w:color w:val="000000"/>
                <w:sz w:val="20"/>
              </w:rPr>
              <w:t>
   </w:t>
            </w:r>
            <w:r>
              <w:rPr>
                <w:rFonts w:ascii="Times New Roman"/>
                <w:b/>
                <w:i w:val="false"/>
                <w:color w:val="000000"/>
                <w:sz w:val="20"/>
              </w:rPr>
              <w:t>Операции по упаковке</w:t>
            </w:r>
          </w:p>
          <w:p>
            <w:pPr>
              <w:spacing w:after="20"/>
              <w:ind w:left="20"/>
              <w:jc w:val="both"/>
            </w:pPr>
            <w:r>
              <w:rPr>
                <w:rFonts w:ascii="Times New Roman"/>
                <w:b w:val="false"/>
                <w:i w:val="false"/>
                <w:color w:val="000000"/>
                <w:sz w:val="20"/>
              </w:rPr>
              <w:t>
   23. При упаковке лекарственного препарата для клинических исследований может оказаться необходимым одновременное обращение продукции различных видов на одной и той же упаковочной линии. Должен быть сведен к минимуму риск перепутывания лекарственных препаратов путем выполнения соответствующих процедур и (или) применения специального оборудования и соответствующего обучения персонала.</w:t>
            </w:r>
          </w:p>
          <w:p>
            <w:pPr>
              <w:spacing w:after="20"/>
              <w:ind w:left="20"/>
              <w:jc w:val="both"/>
            </w:pPr>
            <w:r>
              <w:rPr>
                <w:rFonts w:ascii="Times New Roman"/>
                <w:b w:val="false"/>
                <w:i w:val="false"/>
                <w:color w:val="000000"/>
                <w:sz w:val="20"/>
              </w:rPr>
              <w:t>
   24. Операции по упаковке и маркировке лекарственных препаратов для клинических исследований могут быть более сложными и более подверженными ошибкам (которые труднее выявлять), чем при производстве зарегистрированных лекарственных препаратов. Особенно это касается лекарственных препаратов с похожим внешним видом при использовании "слепого" метода. В связи с этим требуется принимать особые меры по предотвращению ошибок в маркировке, например, за счет сведения баланса этикеток, очистки линии, контроля в процессе производства специально обученным персоналом.</w:t>
            </w:r>
          </w:p>
          <w:p>
            <w:pPr>
              <w:spacing w:after="20"/>
              <w:ind w:left="20"/>
              <w:jc w:val="both"/>
            </w:pPr>
            <w:r>
              <w:rPr>
                <w:rFonts w:ascii="Times New Roman"/>
                <w:b w:val="false"/>
                <w:i w:val="false"/>
                <w:color w:val="000000"/>
                <w:sz w:val="20"/>
              </w:rPr>
              <w:t>
   25. Упаковка гарантирует сохранность лекарственного препарата для клинических исследований в надлежащем состоянии при транспортировании и хранении в промежуточных пунктах назначения. Вторичная упаковка позволяет сразу выявить вскрытие или любое иное вмешательство во время транспортирования.</w:t>
            </w:r>
          </w:p>
          <w:p>
            <w:pPr>
              <w:spacing w:after="20"/>
              <w:ind w:left="20"/>
              <w:jc w:val="both"/>
            </w:pPr>
            <w:r>
              <w:rPr>
                <w:rFonts w:ascii="Times New Roman"/>
                <w:b w:val="false"/>
                <w:i w:val="false"/>
                <w:color w:val="000000"/>
                <w:sz w:val="20"/>
              </w:rPr>
              <w:t>
   </w:t>
            </w:r>
            <w:r>
              <w:rPr>
                <w:rFonts w:ascii="Times New Roman"/>
                <w:b/>
                <w:i w:val="false"/>
                <w:color w:val="000000"/>
                <w:sz w:val="20"/>
              </w:rPr>
              <w:t>Маркировка</w:t>
            </w:r>
          </w:p>
          <w:p>
            <w:pPr>
              <w:spacing w:after="20"/>
              <w:ind w:left="20"/>
              <w:jc w:val="both"/>
            </w:pPr>
            <w:r>
              <w:rPr>
                <w:rFonts w:ascii="Times New Roman"/>
                <w:b w:val="false"/>
                <w:i w:val="false"/>
                <w:color w:val="000000"/>
                <w:sz w:val="20"/>
              </w:rPr>
              <w:t>
   26. В таблице 1 суммированы требования, содержащиеся в пунктах 26-30 настоящего Приложения. Маркировка обеспечивает защиту субъекта исследований, возможность прослеживания и идентификации лекарственного препарата и исследования и способствовать правильному применению лекарственного препарата для клинических исследований. На этикетках содержится следующая информация, если не обосновано ее отсутствие (например, при наличии централизованной электронной системы рандомизированного кодирования):</w:t>
            </w:r>
          </w:p>
          <w:p>
            <w:pPr>
              <w:spacing w:after="20"/>
              <w:ind w:left="20"/>
              <w:jc w:val="both"/>
            </w:pPr>
            <w:r>
              <w:rPr>
                <w:rFonts w:ascii="Times New Roman"/>
                <w:b w:val="false"/>
                <w:i w:val="false"/>
                <w:color w:val="000000"/>
                <w:sz w:val="20"/>
              </w:rPr>
              <w:t>
   1) наименование (имя), адрес и номер телефона спонсора, контрактной исследовательской организации или исследователя (основное контактное лицо для информации относительно лекарственного препарата, клинического исследования и для экстренного раскодирования);</w:t>
            </w:r>
          </w:p>
          <w:p>
            <w:pPr>
              <w:spacing w:after="20"/>
              <w:ind w:left="20"/>
              <w:jc w:val="both"/>
            </w:pPr>
            <w:r>
              <w:rPr>
                <w:rFonts w:ascii="Times New Roman"/>
                <w:b w:val="false"/>
                <w:i w:val="false"/>
                <w:color w:val="000000"/>
                <w:sz w:val="20"/>
              </w:rPr>
              <w:t>
   2) лекарственная форма, способ введения, количество дозированных единиц, и в случае проведения открытого исследования - наименование/шифр лекарственного препарата и его дозировка/активность;</w:t>
            </w:r>
          </w:p>
          <w:p>
            <w:pPr>
              <w:spacing w:after="20"/>
              <w:ind w:left="20"/>
              <w:jc w:val="both"/>
            </w:pPr>
            <w:r>
              <w:rPr>
                <w:rFonts w:ascii="Times New Roman"/>
                <w:b w:val="false"/>
                <w:i w:val="false"/>
                <w:color w:val="000000"/>
                <w:sz w:val="20"/>
              </w:rPr>
              <w:t>
   3) номер серии и (или) код для идентификации содержимого и операции по упаковке;</w:t>
            </w:r>
          </w:p>
          <w:p>
            <w:pPr>
              <w:spacing w:after="20"/>
              <w:ind w:left="20"/>
              <w:jc w:val="both"/>
            </w:pPr>
            <w:r>
              <w:rPr>
                <w:rFonts w:ascii="Times New Roman"/>
                <w:b w:val="false"/>
                <w:i w:val="false"/>
                <w:color w:val="000000"/>
                <w:sz w:val="20"/>
              </w:rPr>
              <w:t>
   4) номер (код) исследования, позволяющий идентифицировать исследование, медицинскую организацию, исследователя и спонсора, если это не указано в другом месте;</w:t>
            </w:r>
          </w:p>
          <w:p>
            <w:pPr>
              <w:spacing w:after="20"/>
              <w:ind w:left="20"/>
              <w:jc w:val="both"/>
            </w:pPr>
            <w:r>
              <w:rPr>
                <w:rFonts w:ascii="Times New Roman"/>
                <w:b w:val="false"/>
                <w:i w:val="false"/>
                <w:color w:val="000000"/>
                <w:sz w:val="20"/>
              </w:rPr>
              <w:t>
   5) идентификационный номер/лечебный номер субъекта клинического исследования и при необходимости номер визита;</w:t>
            </w:r>
          </w:p>
          <w:p>
            <w:pPr>
              <w:spacing w:after="20"/>
              <w:ind w:left="20"/>
              <w:jc w:val="both"/>
            </w:pPr>
            <w:r>
              <w:rPr>
                <w:rFonts w:ascii="Times New Roman"/>
                <w:b w:val="false"/>
                <w:i w:val="false"/>
                <w:color w:val="000000"/>
                <w:sz w:val="20"/>
              </w:rPr>
              <w:t>
   6) фамилия и инициалы исследователя, если не указано в 1) или 4);</w:t>
            </w:r>
          </w:p>
          <w:p>
            <w:pPr>
              <w:spacing w:after="20"/>
              <w:ind w:left="20"/>
              <w:jc w:val="both"/>
            </w:pPr>
            <w:r>
              <w:rPr>
                <w:rFonts w:ascii="Times New Roman"/>
                <w:b w:val="false"/>
                <w:i w:val="false"/>
                <w:color w:val="000000"/>
                <w:sz w:val="20"/>
              </w:rPr>
              <w:t>
   7) инструкция по применению (может быть приведена ссылка на листок-вкладыш либо другой пояснительный документ, предназначенный для субъекта клинического исследования или лица, которое вводит лекарственный препарат);</w:t>
            </w:r>
          </w:p>
          <w:p>
            <w:pPr>
              <w:spacing w:after="20"/>
              <w:ind w:left="20"/>
              <w:jc w:val="both"/>
            </w:pPr>
            <w:r>
              <w:rPr>
                <w:rFonts w:ascii="Times New Roman"/>
                <w:b w:val="false"/>
                <w:i w:val="false"/>
                <w:color w:val="000000"/>
                <w:sz w:val="20"/>
              </w:rPr>
              <w:t>
   8) надпись "Только для клинических исследований" или аналогичная формулировка;</w:t>
            </w:r>
          </w:p>
          <w:p>
            <w:pPr>
              <w:spacing w:after="20"/>
              <w:ind w:left="20"/>
              <w:jc w:val="both"/>
            </w:pPr>
            <w:r>
              <w:rPr>
                <w:rFonts w:ascii="Times New Roman"/>
                <w:b w:val="false"/>
                <w:i w:val="false"/>
                <w:color w:val="000000"/>
                <w:sz w:val="20"/>
              </w:rPr>
              <w:t>
   9) условия хранения;</w:t>
            </w:r>
          </w:p>
          <w:p>
            <w:pPr>
              <w:spacing w:after="20"/>
              <w:ind w:left="20"/>
              <w:jc w:val="both"/>
            </w:pPr>
            <w:r>
              <w:rPr>
                <w:rFonts w:ascii="Times New Roman"/>
                <w:b w:val="false"/>
                <w:i w:val="false"/>
                <w:color w:val="000000"/>
                <w:sz w:val="20"/>
              </w:rPr>
              <w:t>
   10) срок использования с указанием месяца и года таким образом, чтобы избежать любой неопределенности;</w:t>
            </w:r>
          </w:p>
          <w:p>
            <w:pPr>
              <w:spacing w:after="20"/>
              <w:ind w:left="20"/>
              <w:jc w:val="both"/>
            </w:pPr>
            <w:r>
              <w:rPr>
                <w:rFonts w:ascii="Times New Roman"/>
                <w:b w:val="false"/>
                <w:i w:val="false"/>
                <w:color w:val="000000"/>
                <w:sz w:val="20"/>
              </w:rPr>
              <w:t>
   11) надпись "Хранить в недоступном для детей месте", за исключением случаев, когда лекарственный препарат предназначен для использования только в условиях стационара.</w:t>
            </w:r>
          </w:p>
          <w:p>
            <w:pPr>
              <w:spacing w:after="20"/>
              <w:ind w:left="20"/>
              <w:jc w:val="both"/>
            </w:pPr>
            <w:r>
              <w:rPr>
                <w:rFonts w:ascii="Times New Roman"/>
                <w:b w:val="false"/>
                <w:i w:val="false"/>
                <w:color w:val="000000"/>
                <w:sz w:val="20"/>
              </w:rPr>
              <w:t>
   27. Адрес и номер телефона основного контактного лица для передачи информации относительно лекарственного препарата, клинического исследования и экстренного раскодирования, могут быть не указаны на этикетке, если субъекту исследования предоставлены инструкция по применению или карточка, на которой указаны эти данные, а также дана инструкция держать их при себе постоянно.</w:t>
            </w:r>
          </w:p>
          <w:p>
            <w:pPr>
              <w:spacing w:after="20"/>
              <w:ind w:left="20"/>
              <w:jc w:val="both"/>
            </w:pPr>
            <w:r>
              <w:rPr>
                <w:rFonts w:ascii="Times New Roman"/>
                <w:b w:val="false"/>
                <w:i w:val="false"/>
                <w:color w:val="000000"/>
                <w:sz w:val="20"/>
              </w:rPr>
              <w:t>
   28. Данные приводятся на официальном языке или языках страны, где будет применяться лекарственный препарат для клинических исследований. Данные, приведенные в пункте 26 данного Приложения, находятся как на первичной, так и на вторичной упаковке, кроме случаев, описанных в пунктах 29 и 30 данного Приложения. Требования к содержанию этикеток на первичной и вторичной упаковках приведены в таблице 1. Также на этикетках может быть приведена информация на других языках.</w:t>
            </w:r>
          </w:p>
          <w:p>
            <w:pPr>
              <w:spacing w:after="20"/>
              <w:ind w:left="20"/>
              <w:jc w:val="both"/>
            </w:pPr>
            <w:r>
              <w:rPr>
                <w:rFonts w:ascii="Times New Roman"/>
                <w:b w:val="false"/>
                <w:i w:val="false"/>
                <w:color w:val="000000"/>
                <w:sz w:val="20"/>
              </w:rPr>
              <w:t>
   29. Если лекарственный препарат подготовлен для субъекта исследований или лица, которое вводит лекарственный препарат, в первичном контейнере вместе с вторичной упаковкой, которые оставляют вместе, и на вторичной упаковке содержатся данные, приведенные в пункте 26 данного Приложения, на этикетке первичного контейнера или любого укупоренного дозирующего устройства, содержащего первичный контейнер, указывается следующая информация:</w:t>
            </w:r>
          </w:p>
          <w:p>
            <w:pPr>
              <w:spacing w:after="20"/>
              <w:ind w:left="20"/>
              <w:jc w:val="both"/>
            </w:pPr>
            <w:r>
              <w:rPr>
                <w:rFonts w:ascii="Times New Roman"/>
                <w:b w:val="false"/>
                <w:i w:val="false"/>
                <w:color w:val="000000"/>
                <w:sz w:val="20"/>
              </w:rPr>
              <w:t>
   1) наименование или имя спонсора, контрактной исследовательской организации или исследователя;</w:t>
            </w:r>
          </w:p>
          <w:p>
            <w:pPr>
              <w:spacing w:after="20"/>
              <w:ind w:left="20"/>
              <w:jc w:val="both"/>
            </w:pPr>
            <w:r>
              <w:rPr>
                <w:rFonts w:ascii="Times New Roman"/>
                <w:b w:val="false"/>
                <w:i w:val="false"/>
                <w:color w:val="000000"/>
                <w:sz w:val="20"/>
              </w:rPr>
              <w:t>
   2) лекарственная форма, способ введения, количество дозированных единиц и в случае проведения открытого исследования наименование или шифр лекарственного препарата и его дозировка или активность;</w:t>
            </w:r>
          </w:p>
          <w:p>
            <w:pPr>
              <w:spacing w:after="20"/>
              <w:ind w:left="20"/>
              <w:jc w:val="both"/>
            </w:pPr>
            <w:r>
              <w:rPr>
                <w:rFonts w:ascii="Times New Roman"/>
                <w:b w:val="false"/>
                <w:i w:val="false"/>
                <w:color w:val="000000"/>
                <w:sz w:val="20"/>
              </w:rPr>
              <w:t xml:space="preserve">
   3) номер серии и (или) код для идентификации содержимого и операции по упаковке; </w:t>
            </w:r>
          </w:p>
          <w:p>
            <w:pPr>
              <w:spacing w:after="20"/>
              <w:ind w:left="20"/>
              <w:jc w:val="both"/>
            </w:pPr>
            <w:r>
              <w:rPr>
                <w:rFonts w:ascii="Times New Roman"/>
                <w:b w:val="false"/>
                <w:i w:val="false"/>
                <w:color w:val="000000"/>
                <w:sz w:val="20"/>
              </w:rPr>
              <w:t>
   4) номер или код исследования, позволяющий идентифицировать исследование, медицинскую организацию, исследователя и спонсора, если это не указано в другом месте;</w:t>
            </w:r>
          </w:p>
          <w:p>
            <w:pPr>
              <w:spacing w:after="20"/>
              <w:ind w:left="20"/>
              <w:jc w:val="both"/>
            </w:pPr>
            <w:r>
              <w:rPr>
                <w:rFonts w:ascii="Times New Roman"/>
                <w:b w:val="false"/>
                <w:i w:val="false"/>
                <w:color w:val="000000"/>
                <w:sz w:val="20"/>
              </w:rPr>
              <w:t>
   5) идентификационный номер/лечебный номер субъекта клинического исследования и при необходимости номер визита.</w:t>
            </w:r>
          </w:p>
          <w:p>
            <w:pPr>
              <w:spacing w:after="20"/>
              <w:ind w:left="20"/>
              <w:jc w:val="both"/>
            </w:pPr>
            <w:r>
              <w:rPr>
                <w:rFonts w:ascii="Times New Roman"/>
                <w:b w:val="false"/>
                <w:i w:val="false"/>
                <w:color w:val="000000"/>
                <w:sz w:val="20"/>
              </w:rPr>
              <w:t>
   30. Если первичной упаковкой является блистер или она имеет малый размер, например ампулы, на которых не могут быть размещены данные, приведенные в пункте 26 настоящего Приложения, предусматривается вторичная упаковка с этикеткой, содержащей эти данные. Тем не менее, на первичной упаковке указывается:</w:t>
            </w:r>
          </w:p>
          <w:p>
            <w:pPr>
              <w:spacing w:after="20"/>
              <w:ind w:left="20"/>
              <w:jc w:val="both"/>
            </w:pPr>
            <w:r>
              <w:rPr>
                <w:rFonts w:ascii="Times New Roman"/>
                <w:b w:val="false"/>
                <w:i w:val="false"/>
                <w:color w:val="000000"/>
                <w:sz w:val="20"/>
              </w:rPr>
              <w:t>
   1) наименование или имя спонсора, контрактной исследовательской организации или исследователя;</w:t>
            </w:r>
          </w:p>
          <w:p>
            <w:pPr>
              <w:spacing w:after="20"/>
              <w:ind w:left="20"/>
              <w:jc w:val="both"/>
            </w:pPr>
            <w:r>
              <w:rPr>
                <w:rFonts w:ascii="Times New Roman"/>
                <w:b w:val="false"/>
                <w:i w:val="false"/>
                <w:color w:val="000000"/>
                <w:sz w:val="20"/>
              </w:rPr>
              <w:t>
   2) способ введения, в случае проведения открытого исследования наименование или шифр лекарственного препарата и его дозировка или активность;</w:t>
            </w:r>
          </w:p>
          <w:p>
            <w:pPr>
              <w:spacing w:after="20"/>
              <w:ind w:left="20"/>
              <w:jc w:val="both"/>
            </w:pPr>
            <w:r>
              <w:rPr>
                <w:rFonts w:ascii="Times New Roman"/>
                <w:b w:val="false"/>
                <w:i w:val="false"/>
                <w:color w:val="000000"/>
                <w:sz w:val="20"/>
              </w:rPr>
              <w:t xml:space="preserve">
   3) номер серии и (или) код для идентификации содержимого и операции по упаковке; </w:t>
            </w:r>
          </w:p>
          <w:p>
            <w:pPr>
              <w:spacing w:after="20"/>
              <w:ind w:left="20"/>
              <w:jc w:val="both"/>
            </w:pPr>
            <w:r>
              <w:rPr>
                <w:rFonts w:ascii="Times New Roman"/>
                <w:b w:val="false"/>
                <w:i w:val="false"/>
                <w:color w:val="000000"/>
                <w:sz w:val="20"/>
              </w:rPr>
              <w:t>
   4) номер или код исследования, позволяющий идентифицировать исследование, медицинскую организацию, исследователя и спонсора, если это не указано в другом месте;</w:t>
            </w:r>
          </w:p>
          <w:p>
            <w:pPr>
              <w:spacing w:after="20"/>
              <w:ind w:left="20"/>
              <w:jc w:val="both"/>
            </w:pPr>
            <w:r>
              <w:rPr>
                <w:rFonts w:ascii="Times New Roman"/>
                <w:b w:val="false"/>
                <w:i w:val="false"/>
                <w:color w:val="000000"/>
                <w:sz w:val="20"/>
              </w:rPr>
              <w:t>
   5) идентификационный номер или лечебный номер субъекта клинического исследования и при необходимости номер визита.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8093"/>
        <w:gridCol w:w="4058"/>
      </w:tblGrid>
      <w:tr>
        <w:trPr>
          <w:trHeight w:val="30" w:hRule="atLeast"/>
        </w:trPr>
        <w:tc>
          <w:tcPr>
            <w:tcW w:w="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Таблица 1 </w:t>
            </w:r>
            <w:r>
              <w:rPr>
                <w:rFonts w:ascii="Times New Roman"/>
                <w:b w:val="false"/>
                <w:i w:val="false"/>
                <w:color w:val="000000"/>
                <w:sz w:val="20"/>
              </w:rPr>
              <w:t>– Суммарная информация о маркировке (пункты 26-30)</w:t>
            </w: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или имя, адрес и номер телефона спонсора, контрактной исследовательской организации или исследователя, основное контактное лицо для информации относительно лекарственного препарата, клинического исследования и для экстренного раскодирования;</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ОБЩИЙ СЛУЧАЙ</w:t>
            </w:r>
          </w:p>
          <w:p>
            <w:pPr>
              <w:spacing w:after="20"/>
              <w:ind w:left="20"/>
              <w:jc w:val="both"/>
            </w:pPr>
            <w:r>
              <w:rPr>
                <w:rFonts w:ascii="Times New Roman"/>
                <w:b w:val="false"/>
                <w:i w:val="false"/>
                <w:color w:val="000000"/>
                <w:sz w:val="20"/>
              </w:rPr>
              <w:t>
Для первичной упаковки и вторичной упаковки (пункт 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Информация, </w:t>
            </w:r>
          </w:p>
          <w:p>
            <w:pPr>
              <w:spacing w:after="20"/>
              <w:ind w:left="20"/>
              <w:jc w:val="both"/>
            </w:pPr>
            <w:r>
              <w:rPr>
                <w:rFonts w:ascii="Times New Roman"/>
                <w:b w:val="false"/>
                <w:i w:val="false"/>
                <w:color w:val="000000"/>
                <w:sz w:val="20"/>
              </w:rPr>
              <w:t>
указанная в пунктах</w:t>
            </w:r>
          </w:p>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r>
              <w:rPr>
                <w:rFonts w:ascii="Times New Roman"/>
                <w:b w:val="false"/>
                <w:i w:val="false"/>
                <w:color w:val="000000"/>
                <w:sz w:val="20"/>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Первичная упаковка</w:t>
            </w:r>
          </w:p>
          <w:p>
            <w:pPr>
              <w:spacing w:after="20"/>
              <w:ind w:left="20"/>
              <w:jc w:val="both"/>
            </w:pPr>
            <w:r>
              <w:rPr>
                <w:rFonts w:ascii="Times New Roman"/>
                <w:b w:val="false"/>
                <w:i w:val="false"/>
                <w:color w:val="000000"/>
                <w:sz w:val="20"/>
              </w:rPr>
              <w:t xml:space="preserve">
Если первичную упаковку  и вторичную упаковку хранят вместе (пункт 29) </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Информация, </w:t>
            </w:r>
          </w:p>
          <w:p>
            <w:pPr>
              <w:spacing w:after="20"/>
              <w:ind w:left="20"/>
              <w:jc w:val="both"/>
            </w:pPr>
            <w:r>
              <w:rPr>
                <w:rFonts w:ascii="Times New Roman"/>
                <w:b w:val="false"/>
                <w:i w:val="false"/>
                <w:color w:val="000000"/>
                <w:sz w:val="20"/>
              </w:rPr>
              <w:t>
указанная в пунктах</w:t>
            </w:r>
          </w:p>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w:t>
            </w:r>
            <w:r>
              <w:rPr>
                <w:rFonts w:ascii="Times New Roman"/>
                <w:b w:val="false"/>
                <w:i w:val="false"/>
                <w:color w:val="000000"/>
                <w:sz w:val="20"/>
              </w:rPr>
              <w:t xml:space="preserve"> 2</w:t>
            </w:r>
            <w:r>
              <w:rPr>
                <w:rFonts w:ascii="Times New Roman"/>
                <w:b w:val="false"/>
                <w:i w:val="false"/>
                <w:color w:val="000000"/>
                <w:vertAlign w:val="superscript"/>
              </w:rPr>
              <w:t>3</w:t>
            </w:r>
            <w:r>
              <w:rPr>
                <w:rFonts w:ascii="Times New Roman"/>
                <w:b w:val="false"/>
                <w:i w:val="false"/>
                <w:color w:val="000000"/>
                <w:sz w:val="20"/>
              </w:rPr>
              <w:t xml:space="preserve">3 4 5 </w:t>
            </w: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лекарственная форма, способ введения, количество дозированных единиц, и в случае проведения открытого исследования – наименование или шифр лекарственного препарата и его дозировка/активность;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номер серии и (или) код для идентификации содержимого и указание операции по упаковке;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 или код исследования, позволяющий идентифицировать исследование, медицинскую организацию, исследователя и спонсора, если это не указано в другом месте;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идентификационный номер/лечебный номер субъекта клинического исследования и при необходимости номер визита;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фамилия и инициалы исследователя (если не указано в пунктах a) или 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инструкция по применению (может быть приведена ссылка на листок-вкладыш либо другой пояснительный документ, предназначенный для субъекта клинического исследования или лица, которое вводит лекарственный препарат);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надпись "Только для клинических исследований" или аналогичная формулировка;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условия хранения;</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ПЕРВИЧНАЯ УПАКОВКА</w:t>
            </w:r>
          </w:p>
          <w:p>
            <w:pPr>
              <w:spacing w:after="20"/>
              <w:ind w:left="20"/>
              <w:jc w:val="both"/>
            </w:pPr>
            <w:r>
              <w:rPr>
                <w:rFonts w:ascii="Times New Roman"/>
                <w:b w:val="false"/>
                <w:i w:val="false"/>
                <w:color w:val="000000"/>
                <w:sz w:val="20"/>
              </w:rPr>
              <w:t>
Блистеры или упаковки малого  размера (пункт 30)</w:t>
            </w:r>
            <w:r>
              <w:rPr>
                <w:rFonts w:ascii="Times New Roman"/>
                <w:b w:val="false"/>
                <w:i w:val="false"/>
                <w:color w:val="000000"/>
                <w:vertAlign w:val="superscript"/>
              </w:rPr>
              <w:t>5</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Информация, </w:t>
            </w:r>
          </w:p>
          <w:p>
            <w:pPr>
              <w:spacing w:after="20"/>
              <w:ind w:left="20"/>
              <w:jc w:val="both"/>
            </w:pPr>
            <w:r>
              <w:rPr>
                <w:rFonts w:ascii="Times New Roman"/>
                <w:b w:val="false"/>
                <w:i w:val="false"/>
                <w:color w:val="000000"/>
                <w:sz w:val="20"/>
              </w:rPr>
              <w:t>
указанная в пунктах</w:t>
            </w:r>
          </w:p>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w:t>
            </w:r>
            <w:r>
              <w:rPr>
                <w:rFonts w:ascii="Times New Roman"/>
                <w:b w:val="false"/>
                <w:i w:val="false"/>
                <w:color w:val="000000"/>
                <w:sz w:val="20"/>
              </w:rPr>
              <w:t xml:space="preserve"> 2</w:t>
            </w:r>
            <w:r>
              <w:rPr>
                <w:rFonts w:ascii="Times New Roman"/>
                <w:b w:val="false"/>
                <w:i w:val="false"/>
                <w:color w:val="000000"/>
                <w:vertAlign w:val="superscript"/>
              </w:rPr>
              <w:t>3,4</w:t>
            </w:r>
            <w:r>
              <w:rPr>
                <w:rFonts w:ascii="Times New Roman"/>
                <w:b w:val="false"/>
                <w:i w:val="false"/>
                <w:color w:val="000000"/>
                <w:sz w:val="20"/>
              </w:rPr>
              <w:t xml:space="preserve"> 3 4 5</w:t>
            </w: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срок использования с указанием месяца и года таким образом, чтобы избежать любой неопределенности (может быть указана дата, до которой необходимо использовать лекарственный препарат, срок годности или дата повторного контроля);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надпись "Хранить в недоступном для детей месте", за исключением случаев, когда лекарственный препарат предназначен для использования только в условиях стационара.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Адрес и номер телефона основного контактного лица для получения информации относительно лекарственного препарата, клинического исследования и экстренного раскодирования может не содержаться на этикетке, если субъекту исследования предоставлены инструкция по применению лекарственного препарата или карточка, где указаны эти данные, а также дана инструкция держать их при себе все время.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Не нужно размещать адрес и номер телефона основного контактного лица для информации относительно лекарственного препарата, клинического исследования и экстренного раскодирования.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Путь введения можно не указывать в случае твердых лекарственных форм для применения внутрь.</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Можно не указывать лекарственную форму и количество дозированных единиц.</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5 </w:t>
            </w:r>
            <w:r>
              <w:rPr>
                <w:rFonts w:ascii="Times New Roman"/>
                <w:b w:val="false"/>
                <w:i w:val="false"/>
                <w:color w:val="000000"/>
                <w:sz w:val="20"/>
              </w:rPr>
              <w:t>Если на вторичной упаковке содержится информация, приведенная в пункте 26 данного Приложения.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Для пояснения указанной выше информации могут быть использованы символы или пиктограммы. Может быть представлена дополнительная информация, предостережения и (или) инструкции по обращению с лекарственным препаратом.</w:t>
            </w:r>
          </w:p>
          <w:p>
            <w:pPr>
              <w:spacing w:after="20"/>
              <w:ind w:left="20"/>
              <w:jc w:val="both"/>
            </w:pPr>
            <w:r>
              <w:rPr>
                <w:rFonts w:ascii="Times New Roman"/>
                <w:b w:val="false"/>
                <w:i w:val="false"/>
                <w:color w:val="000000"/>
                <w:sz w:val="20"/>
              </w:rPr>
              <w:t>
   32. В случае клинических исследований, когда нет необходимости в отдельных процессах производства или упаковки, при исследовании используются лекарственные средства, зарегистрированные, произведенные или импортированные согласно действующему законодательству, в исследовании принимают участие пациенты с теми заболеваниями, которые соответствуют показаниям к применению, утвержденным при регистрации, на оригинальном контейнере так, чтобы не закрыть оригинальную этикетку, дополнительно приводятся следующие данные:</w:t>
            </w:r>
          </w:p>
          <w:p>
            <w:pPr>
              <w:spacing w:after="20"/>
              <w:ind w:left="20"/>
              <w:jc w:val="both"/>
            </w:pPr>
            <w:r>
              <w:rPr>
                <w:rFonts w:ascii="Times New Roman"/>
                <w:b w:val="false"/>
                <w:i w:val="false"/>
                <w:color w:val="000000"/>
                <w:sz w:val="20"/>
              </w:rPr>
              <w:t>
   название (имя) спонсора, контрактного исследовательской организации или исследователя;</w:t>
            </w:r>
          </w:p>
          <w:p>
            <w:pPr>
              <w:spacing w:after="20"/>
              <w:ind w:left="20"/>
              <w:jc w:val="both"/>
            </w:pPr>
            <w:r>
              <w:rPr>
                <w:rFonts w:ascii="Times New Roman"/>
                <w:b w:val="false"/>
                <w:i w:val="false"/>
                <w:color w:val="000000"/>
                <w:sz w:val="20"/>
              </w:rPr>
              <w:t>
   номер (код) исследования, позволяющий идентифицировать медицинскую организацию, исследователя и субъекта исследования.</w:t>
            </w:r>
          </w:p>
          <w:p>
            <w:pPr>
              <w:spacing w:after="20"/>
              <w:ind w:left="20"/>
              <w:jc w:val="both"/>
            </w:pPr>
            <w:r>
              <w:rPr>
                <w:rFonts w:ascii="Times New Roman"/>
                <w:b w:val="false"/>
                <w:i w:val="false"/>
                <w:color w:val="000000"/>
                <w:sz w:val="20"/>
              </w:rPr>
              <w:t>
   33. Если необходимо изменить дату, до которой используют лекарственный препарат для клинических исследований, на упаковку наносят дополнительную этикетку. На дополнительной этикетке указывается новая дата, до которой используют лекарственный препарат, а также повторно указывается номер серии. Дополнительную этикетку наклеивают поверх старой даты использования, но она не закрывает исходный номер серии, что необходимо для контроля качества. Эта операция осуществляется на предприятии, имеющем лицензию на производство лекарственных средств. Однако, если обосновано, это может осуществляться в исследовательской организации фармацевтом, проводящим клинические исследования, либо под его наблюдением, а также другим медицинским работником в соответствии с требованиями действующего законодательства. Если это невозможно, операцию осуществляют мониторы клинического исследования, которые прошли соответствующее обучение. Такую операцию осуществляют согласно принципам настоящего Стандарта в соответствии со специальными и стандартными операционными процедурами и, при необходимости, по контракту, проведение операции контролируется вторым лицом. Дополнительное этикетирование тщательным образом оформляется документально как в документах клинического исследования, так и в записях, относящихся к серии - досье на серию.</w:t>
            </w:r>
          </w:p>
          <w:p>
            <w:pPr>
              <w:spacing w:after="20"/>
              <w:ind w:left="20"/>
              <w:jc w:val="both"/>
            </w:pPr>
            <w:r>
              <w:rPr>
                <w:rFonts w:ascii="Times New Roman"/>
                <w:b w:val="false"/>
                <w:i w:val="false"/>
                <w:color w:val="000000"/>
                <w:sz w:val="20"/>
              </w:rPr>
              <w:t>
   </w:t>
            </w:r>
            <w:r>
              <w:rPr>
                <w:rFonts w:ascii="Times New Roman"/>
                <w:b/>
                <w:i w:val="false"/>
                <w:color w:val="000000"/>
                <w:sz w:val="20"/>
              </w:rPr>
              <w:t>Контроль качества</w:t>
            </w:r>
          </w:p>
          <w:p>
            <w:pPr>
              <w:spacing w:after="20"/>
              <w:ind w:left="20"/>
              <w:jc w:val="both"/>
            </w:pPr>
            <w:r>
              <w:rPr>
                <w:rFonts w:ascii="Times New Roman"/>
                <w:b w:val="false"/>
                <w:i w:val="false"/>
                <w:color w:val="000000"/>
                <w:sz w:val="20"/>
              </w:rPr>
              <w:t>
   34. В случае, когда процессы не стандартизованы или не в полной мере валидированы, возрастает значение испытаний для обеспечения гарантии того, что каждая серия продукции соответствует спецификации на нее.</w:t>
            </w:r>
          </w:p>
          <w:p>
            <w:pPr>
              <w:spacing w:after="20"/>
              <w:ind w:left="20"/>
              <w:jc w:val="both"/>
            </w:pPr>
            <w:r>
              <w:rPr>
                <w:rFonts w:ascii="Times New Roman"/>
                <w:b w:val="false"/>
                <w:i w:val="false"/>
                <w:color w:val="000000"/>
                <w:sz w:val="20"/>
              </w:rPr>
              <w:t>
   35. Контроль качества осуществляют в соответствии с досье на лекарственный препарат и согласно информации, предоставленной спонсором уполномоченному органу при заявке на проведение клинического исследования. Проводится проверка эффективности кодирования, результаты которой оформляются документально.</w:t>
            </w:r>
          </w:p>
          <w:p>
            <w:pPr>
              <w:spacing w:after="20"/>
              <w:ind w:left="20"/>
              <w:jc w:val="both"/>
            </w:pPr>
            <w:r>
              <w:rPr>
                <w:rFonts w:ascii="Times New Roman"/>
                <w:b w:val="false"/>
                <w:i w:val="false"/>
                <w:color w:val="000000"/>
                <w:sz w:val="20"/>
              </w:rPr>
              <w:t>
   36. Образцы лекарственных препаратов для клинических исследований хранятся в двух целях: во-первых, для обеспечения наличия образца для аналитических испытаний и, во-вторых, для обеспечения наличия образца готового лекарственного препарата. Таким образом, образцы можно разделить на две категории:</w:t>
            </w:r>
          </w:p>
          <w:p>
            <w:pPr>
              <w:spacing w:after="20"/>
              <w:ind w:left="20"/>
              <w:jc w:val="both"/>
            </w:pPr>
            <w:r>
              <w:rPr>
                <w:rFonts w:ascii="Times New Roman"/>
                <w:b w:val="false"/>
                <w:i w:val="false"/>
                <w:color w:val="000000"/>
                <w:sz w:val="20"/>
              </w:rPr>
              <w:t>
   Контрольный образец - образцы серии исходного сырья, упаковочных материалов, лекарственного препарата в первичной упаковке или готового лекарственного препарата, которые хранят для проведения анализа в случае возникновения такой необходимости. Образцы с критических промежуточных стадий и образцы промежуточных продуктов, которые поставляются за пределы зоны контроля производителя, если стабильность образцов это позволяет, сохраняются.</w:t>
            </w:r>
          </w:p>
          <w:p>
            <w:pPr>
              <w:spacing w:after="20"/>
              <w:ind w:left="20"/>
              <w:jc w:val="both"/>
            </w:pPr>
            <w:r>
              <w:rPr>
                <w:rFonts w:ascii="Times New Roman"/>
                <w:b w:val="false"/>
                <w:i w:val="false"/>
                <w:color w:val="000000"/>
                <w:sz w:val="20"/>
              </w:rPr>
              <w:t xml:space="preserve">
   Архивный образец - образец в окончательной упаковке, отобранный из серии готовой продукции. Его хранят в целях подтверждения идентичности. </w:t>
            </w:r>
          </w:p>
          <w:p>
            <w:pPr>
              <w:spacing w:after="20"/>
              <w:ind w:left="20"/>
              <w:jc w:val="both"/>
            </w:pPr>
            <w:r>
              <w:rPr>
                <w:rFonts w:ascii="Times New Roman"/>
                <w:b w:val="false"/>
                <w:i w:val="false"/>
                <w:color w:val="000000"/>
                <w:sz w:val="20"/>
              </w:rPr>
              <w:t>
   Во многих случаях контрольные и архивные образцы готовой продукции идентичны и являются единицами продукции в окончательной упаковке. В таких случаях контрольные и архивные образцы рассматриваются как взаимозаменяемые. Контрольные и архивные образцы лекарственного препарата для клинических исследований, в том числе закодированного лекарственного препарата, сохраняются не менее двух лет после окончания или официального прекращения последнего клинического исследования, в котором использовалась данная серия в зависимости от того, какой из периодов дольше.</w:t>
            </w:r>
          </w:p>
          <w:p>
            <w:pPr>
              <w:spacing w:after="20"/>
              <w:ind w:left="20"/>
              <w:jc w:val="both"/>
            </w:pPr>
            <w:r>
              <w:rPr>
                <w:rFonts w:ascii="Times New Roman"/>
                <w:b w:val="false"/>
                <w:i w:val="false"/>
                <w:color w:val="000000"/>
                <w:sz w:val="20"/>
              </w:rPr>
              <w:t xml:space="preserve">
   Следует уделить внимание хранению архивных образцов до тех пор, пока не будет составлен отчет о проведении клинического исследования, чтобы обеспечить возможность подтверждения идентичности лекарственного препарата, что необходимо при расследованиях непредвиденных случаев или противоречивых результатов таких исследований. </w:t>
            </w:r>
          </w:p>
          <w:p>
            <w:pPr>
              <w:spacing w:after="20"/>
              <w:ind w:left="20"/>
              <w:jc w:val="both"/>
            </w:pPr>
            <w:r>
              <w:rPr>
                <w:rFonts w:ascii="Times New Roman"/>
                <w:b w:val="false"/>
                <w:i w:val="false"/>
                <w:color w:val="000000"/>
                <w:sz w:val="20"/>
              </w:rPr>
              <w:t>
   37. Место хранения контрольных и архивных образцов определяется в техническом соглашении между спонсором и производителем(ями), обеспечивается своевременный доступ уполномоченного органа к ним.</w:t>
            </w:r>
          </w:p>
          <w:p>
            <w:pPr>
              <w:spacing w:after="20"/>
              <w:ind w:left="20"/>
              <w:jc w:val="both"/>
            </w:pPr>
            <w:r>
              <w:rPr>
                <w:rFonts w:ascii="Times New Roman"/>
                <w:b w:val="false"/>
                <w:i w:val="false"/>
                <w:color w:val="000000"/>
                <w:sz w:val="20"/>
              </w:rPr>
              <w:t xml:space="preserve">
   Контрольные образцы готового лекарственного препарата сохраняются у производителя и соответствуют требованиям настоящего Стандарта. </w:t>
            </w:r>
          </w:p>
          <w:p>
            <w:pPr>
              <w:spacing w:after="20"/>
              <w:ind w:left="20"/>
              <w:jc w:val="both"/>
            </w:pPr>
            <w:r>
              <w:rPr>
                <w:rFonts w:ascii="Times New Roman"/>
                <w:b w:val="false"/>
                <w:i w:val="false"/>
                <w:color w:val="000000"/>
                <w:sz w:val="20"/>
              </w:rPr>
              <w:t>
   Количество контрольных образцов является достаточным для проведения не менее чем двукратного аналитического контроля серии продукции в соответствии с требованиями досье на лекарственный препарат, поданного в уполномоченный орган для получения разрешения на проведение клинических исследований.</w:t>
            </w:r>
          </w:p>
          <w:p>
            <w:pPr>
              <w:spacing w:after="20"/>
              <w:ind w:left="20"/>
              <w:jc w:val="both"/>
            </w:pPr>
            <w:r>
              <w:rPr>
                <w:rFonts w:ascii="Times New Roman"/>
                <w:b w:val="false"/>
                <w:i w:val="false"/>
                <w:color w:val="000000"/>
                <w:sz w:val="20"/>
              </w:rPr>
              <w:t>
   Для архивных образцов хранят информацию в отношении окончательно упакованных единиц лекарственных препаратов в виде письменных или электронных записей, если такие записи обеспечивают достаточную информацию. В последнем случае система хранения соответствует требованиям Приложения 11 к настоящему Стандарту.</w:t>
            </w:r>
          </w:p>
          <w:p>
            <w:pPr>
              <w:spacing w:after="20"/>
              <w:ind w:left="20"/>
              <w:jc w:val="both"/>
            </w:pPr>
            <w:r>
              <w:rPr>
                <w:rFonts w:ascii="Times New Roman"/>
                <w:b w:val="false"/>
                <w:i w:val="false"/>
                <w:color w:val="000000"/>
                <w:sz w:val="20"/>
              </w:rPr>
              <w:t>
   </w:t>
            </w:r>
            <w:r>
              <w:rPr>
                <w:rFonts w:ascii="Times New Roman"/>
                <w:b/>
                <w:i w:val="false"/>
                <w:color w:val="000000"/>
                <w:sz w:val="20"/>
              </w:rPr>
              <w:t>Выдача разрешения на выпуск серий</w:t>
            </w:r>
          </w:p>
          <w:p>
            <w:pPr>
              <w:spacing w:after="20"/>
              <w:ind w:left="20"/>
              <w:jc w:val="both"/>
            </w:pPr>
            <w:r>
              <w:rPr>
                <w:rFonts w:ascii="Times New Roman"/>
                <w:b w:val="false"/>
                <w:i w:val="false"/>
                <w:color w:val="000000"/>
                <w:sz w:val="20"/>
              </w:rPr>
              <w:t xml:space="preserve">
   38. Не допускается выдача разрешения на выпуск лекарственных препаратов для исследований до тех пор, пока Уполномоченное лицо не удостоверит выполнение установленных требований и требований данного Приложения. </w:t>
            </w:r>
          </w:p>
          <w:p>
            <w:pPr>
              <w:spacing w:after="20"/>
              <w:ind w:left="20"/>
              <w:jc w:val="both"/>
            </w:pPr>
            <w:r>
              <w:rPr>
                <w:rFonts w:ascii="Times New Roman"/>
                <w:b w:val="false"/>
                <w:i w:val="false"/>
                <w:color w:val="000000"/>
                <w:sz w:val="20"/>
              </w:rPr>
              <w:t>
   39. На выполнение Уполномоченным лицом своих обязанностей в отношении лекарственных препаратов для клинических исследований влияют разные факторы, которые перечислены ниже:</w:t>
            </w:r>
          </w:p>
          <w:p>
            <w:pPr>
              <w:spacing w:after="20"/>
              <w:ind w:left="20"/>
              <w:jc w:val="both"/>
            </w:pPr>
            <w:r>
              <w:rPr>
                <w:rFonts w:ascii="Times New Roman"/>
                <w:b w:val="false"/>
                <w:i w:val="false"/>
                <w:color w:val="000000"/>
                <w:sz w:val="20"/>
              </w:rPr>
              <w:t>
   1) лекарственный препарат произведен, но не зарегистрирован в Республике Казахстан. При подаче заявления на проведение клинических исследований необходимо засвидетельствовать, что лекарственный препарат для клинических исследований произведен и проверен в соответствии с требованиями настоящего Стандарта, досье на лекарственный препарат, а также что имеется соответствующая информация, предоставленная спонсором уполномоченному органу;</w:t>
            </w:r>
          </w:p>
          <w:p>
            <w:pPr>
              <w:spacing w:after="20"/>
              <w:ind w:left="20"/>
              <w:jc w:val="both"/>
            </w:pPr>
            <w:r>
              <w:rPr>
                <w:rFonts w:ascii="Times New Roman"/>
                <w:b w:val="false"/>
                <w:i w:val="false"/>
                <w:color w:val="000000"/>
                <w:sz w:val="20"/>
              </w:rPr>
              <w:t>
   2) лекарственный препарат зарегистрирован в Республике Казахстан. Обязанности, которые указаны выше, остаются теми же, но объем представленных данных может быть ограничен подтверждением того, что лекарственный препарат соответствует заявлению на проведение клинических исследований и любой последующей обработки с целью кодирования, осуществления специальной упаковки или маркировки для этого исследования. Досье на лекарственный препарат также может быть ограниченным по объему;</w:t>
            </w:r>
          </w:p>
          <w:p>
            <w:pPr>
              <w:spacing w:after="20"/>
              <w:ind w:left="20"/>
              <w:jc w:val="both"/>
            </w:pPr>
            <w:r>
              <w:rPr>
                <w:rFonts w:ascii="Times New Roman"/>
                <w:b w:val="false"/>
                <w:i w:val="false"/>
                <w:color w:val="000000"/>
                <w:sz w:val="20"/>
              </w:rPr>
              <w:t xml:space="preserve">
   3) лекарственный препарат импортирован непосредственно из другой страны. Необходимо засвидетельствовать, что он произведен и проверен в соответствии с правилами надлежащего производства, как минимум, эквивалентными настоящему Стандарту, досье на лекарственный препарат, а также что имеется соответствующая информация, предоставленная спонсором уполномоченному органу при подаче заявления на проведение клинического исследования; </w:t>
            </w:r>
          </w:p>
          <w:p>
            <w:pPr>
              <w:spacing w:after="20"/>
              <w:ind w:left="20"/>
              <w:jc w:val="both"/>
            </w:pPr>
            <w:r>
              <w:rPr>
                <w:rFonts w:ascii="Times New Roman"/>
                <w:b w:val="false"/>
                <w:i w:val="false"/>
                <w:color w:val="000000"/>
                <w:sz w:val="20"/>
              </w:rPr>
              <w:t>
   4) при ввозе препаратов сравнения, когда невозможно получить гарантию того, что каждая серия продукции была произведена в соответствии с требованиями, эквивалентными настоящему Стандарту, Уполномоченное лицо свидетельствует, что каждая произведенная серия прошла все необходимые виды контроля и испытаний, необходимые для подтверждения ее качества, а также что имеется соответствующая информация, предоставленная спонсором уполномоченному органу при подаче заявления на проведение клинических исследований.</w:t>
            </w:r>
          </w:p>
          <w:p>
            <w:pPr>
              <w:spacing w:after="20"/>
              <w:ind w:left="20"/>
              <w:jc w:val="both"/>
            </w:pPr>
            <w:r>
              <w:rPr>
                <w:rFonts w:ascii="Times New Roman"/>
                <w:b w:val="false"/>
                <w:i w:val="false"/>
                <w:color w:val="000000"/>
                <w:sz w:val="20"/>
              </w:rPr>
              <w:t>
   40. При оценке каждой серии продукции перед выдачей разрешения на выпуск рассматривают:</w:t>
            </w:r>
          </w:p>
          <w:p>
            <w:pPr>
              <w:spacing w:after="20"/>
              <w:ind w:left="20"/>
              <w:jc w:val="both"/>
            </w:pPr>
            <w:r>
              <w:rPr>
                <w:rFonts w:ascii="Times New Roman"/>
                <w:b w:val="false"/>
                <w:i w:val="false"/>
                <w:color w:val="000000"/>
                <w:sz w:val="20"/>
              </w:rPr>
              <w:t>
   записи, относящиеся к серии, в том числе записи по контролю качества, записи по контролю в процессе производства и записи разрешения на выпуск, свидетельствующие о соответствии досье на лекарственный препарат, заказу, протоколу исследования и коду рандомизации. В эти записи вносятся все отклонения или внесенные в плановом порядке изменения, а также любые дополнительные проверки или испытания. Персонал, уполномоченный на это в соответствии с системой качества, согласовывает записи, касающиеся:</w:t>
            </w:r>
          </w:p>
          <w:p>
            <w:pPr>
              <w:spacing w:after="20"/>
              <w:ind w:left="20"/>
              <w:jc w:val="both"/>
            </w:pPr>
            <w:r>
              <w:rPr>
                <w:rFonts w:ascii="Times New Roman"/>
                <w:b w:val="false"/>
                <w:i w:val="false"/>
                <w:color w:val="000000"/>
                <w:sz w:val="20"/>
              </w:rPr>
              <w:t>
   условий производства;</w:t>
            </w:r>
          </w:p>
          <w:p>
            <w:pPr>
              <w:spacing w:after="20"/>
              <w:ind w:left="20"/>
              <w:jc w:val="both"/>
            </w:pPr>
            <w:r>
              <w:rPr>
                <w:rFonts w:ascii="Times New Roman"/>
                <w:b w:val="false"/>
                <w:i w:val="false"/>
                <w:color w:val="000000"/>
                <w:sz w:val="20"/>
              </w:rPr>
              <w:t>
   данных о валидации оборудования, процессов и методик;</w:t>
            </w:r>
          </w:p>
          <w:p>
            <w:pPr>
              <w:spacing w:after="20"/>
              <w:ind w:left="20"/>
              <w:jc w:val="both"/>
            </w:pPr>
            <w:r>
              <w:rPr>
                <w:rFonts w:ascii="Times New Roman"/>
                <w:b w:val="false"/>
                <w:i w:val="false"/>
                <w:color w:val="000000"/>
                <w:sz w:val="20"/>
              </w:rPr>
              <w:t>
   проверки окончательной упаковки;</w:t>
            </w:r>
          </w:p>
          <w:p>
            <w:pPr>
              <w:spacing w:after="20"/>
              <w:ind w:left="20"/>
              <w:jc w:val="both"/>
            </w:pPr>
            <w:r>
              <w:rPr>
                <w:rFonts w:ascii="Times New Roman"/>
                <w:b w:val="false"/>
                <w:i w:val="false"/>
                <w:color w:val="000000"/>
                <w:sz w:val="20"/>
              </w:rPr>
              <w:t>
   результатов любых анализов или испытаний, проведенных после импортирования, если необходимо;</w:t>
            </w:r>
          </w:p>
          <w:p>
            <w:pPr>
              <w:spacing w:after="20"/>
              <w:ind w:left="20"/>
              <w:jc w:val="both"/>
            </w:pPr>
            <w:r>
              <w:rPr>
                <w:rFonts w:ascii="Times New Roman"/>
                <w:b w:val="false"/>
                <w:i w:val="false"/>
                <w:color w:val="000000"/>
                <w:sz w:val="20"/>
              </w:rPr>
              <w:t>
   отчетов о стабильности;</w:t>
            </w:r>
          </w:p>
          <w:p>
            <w:pPr>
              <w:spacing w:after="20"/>
              <w:ind w:left="20"/>
              <w:jc w:val="both"/>
            </w:pPr>
            <w:r>
              <w:rPr>
                <w:rFonts w:ascii="Times New Roman"/>
                <w:b w:val="false"/>
                <w:i w:val="false"/>
                <w:color w:val="000000"/>
                <w:sz w:val="20"/>
              </w:rPr>
              <w:t>
   данных о поставщике и проверке условий хранения и транспортирования;</w:t>
            </w:r>
          </w:p>
          <w:p>
            <w:pPr>
              <w:spacing w:after="20"/>
              <w:ind w:left="20"/>
              <w:jc w:val="both"/>
            </w:pPr>
            <w:r>
              <w:rPr>
                <w:rFonts w:ascii="Times New Roman"/>
                <w:b w:val="false"/>
                <w:i w:val="false"/>
                <w:color w:val="000000"/>
                <w:sz w:val="20"/>
              </w:rPr>
              <w:t>
   отчетов об аудитах системы качества производителя;</w:t>
            </w:r>
          </w:p>
          <w:p>
            <w:pPr>
              <w:spacing w:after="20"/>
              <w:ind w:left="20"/>
              <w:jc w:val="both"/>
            </w:pPr>
            <w:r>
              <w:rPr>
                <w:rFonts w:ascii="Times New Roman"/>
                <w:b w:val="false"/>
                <w:i w:val="false"/>
                <w:color w:val="000000"/>
                <w:sz w:val="20"/>
              </w:rPr>
              <w:t>
   документов, подтверждающих право производителя на производство лекарственных препаратов для клинических исследований, включая препараты сравнения, на экспорт, выданные уполномоченными органами страны-экспортера;</w:t>
            </w:r>
          </w:p>
          <w:p>
            <w:pPr>
              <w:spacing w:after="20"/>
              <w:ind w:left="20"/>
              <w:jc w:val="both"/>
            </w:pPr>
            <w:r>
              <w:rPr>
                <w:rFonts w:ascii="Times New Roman"/>
                <w:b w:val="false"/>
                <w:i w:val="false"/>
                <w:color w:val="000000"/>
                <w:sz w:val="20"/>
              </w:rPr>
              <w:t>
   при необходимости нормативных требований в отношении регистрационной документации, применяемых требований правил надлежащего производства и любых официальных подтверждений выполнения требований правил надлежащего производства;</w:t>
            </w:r>
          </w:p>
          <w:p>
            <w:pPr>
              <w:spacing w:after="20"/>
              <w:ind w:left="20"/>
              <w:jc w:val="both"/>
            </w:pPr>
            <w:r>
              <w:rPr>
                <w:rFonts w:ascii="Times New Roman"/>
                <w:b w:val="false"/>
                <w:i w:val="false"/>
                <w:color w:val="000000"/>
                <w:sz w:val="20"/>
              </w:rPr>
              <w:t>
   всех других факторов, которые Уполномоченное лицо считает значимыми для качества серии.</w:t>
            </w:r>
          </w:p>
          <w:p>
            <w:pPr>
              <w:spacing w:after="20"/>
              <w:ind w:left="20"/>
              <w:jc w:val="both"/>
            </w:pPr>
            <w:r>
              <w:rPr>
                <w:rFonts w:ascii="Times New Roman"/>
                <w:b w:val="false"/>
                <w:i w:val="false"/>
                <w:color w:val="000000"/>
                <w:sz w:val="20"/>
              </w:rPr>
              <w:t>
   Значимость вышеприведенных факторов зависит от предприятия-производителя, статуса регистрации лекарственного препарата, а также от фазы разработки. Спонсор должен гарантировать, что все факторы, принятые во внимание Уполномоченным лицом, выполняющим оценку серии, соответствуют информации, предоставленной уполномоченному органу при подаче заявления на проведение клинических исследований.</w:t>
            </w:r>
          </w:p>
          <w:p>
            <w:pPr>
              <w:spacing w:after="20"/>
              <w:ind w:left="20"/>
              <w:jc w:val="both"/>
            </w:pPr>
            <w:r>
              <w:rPr>
                <w:rFonts w:ascii="Times New Roman"/>
                <w:b w:val="false"/>
                <w:i w:val="false"/>
                <w:color w:val="000000"/>
                <w:sz w:val="20"/>
              </w:rPr>
              <w:t>
   41. Если лекарственные препараты для клинических исследований производят и упаковывают на разных участках, за которые несут ответственность разные Уполномоченные лица, необходимо выполнять требования Приложения 16 к настоящему Стандарту.</w:t>
            </w:r>
          </w:p>
          <w:p>
            <w:pPr>
              <w:spacing w:after="20"/>
              <w:ind w:left="20"/>
              <w:jc w:val="both"/>
            </w:pPr>
            <w:r>
              <w:rPr>
                <w:rFonts w:ascii="Times New Roman"/>
                <w:b w:val="false"/>
                <w:i w:val="false"/>
                <w:color w:val="000000"/>
                <w:sz w:val="20"/>
              </w:rPr>
              <w:t>
   42. Если согласно действующему законодательству упаковка или маркировка осуществляется в исследовательской организации фармацевтом, участвующим в проведении клинического исследования, или под его наблюдением, либо другим медицинским работником, то контроль этой деятельности не входит в обязанности Уполномоченного лица. Однако спонсор несет ответственность за гарантию того, что работа надлежащим образом документально оформлена и выполнена в соответствии с требованиями настоящего Стандарта. По этому вопросу он должен получить информацию от Уполномоченного лица.</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Транспортирование</w:t>
            </w:r>
          </w:p>
          <w:p>
            <w:pPr>
              <w:spacing w:after="20"/>
              <w:ind w:left="20"/>
              <w:jc w:val="both"/>
            </w:pPr>
            <w:r>
              <w:rPr>
                <w:rFonts w:ascii="Times New Roman"/>
                <w:b w:val="false"/>
                <w:i w:val="false"/>
                <w:color w:val="000000"/>
                <w:sz w:val="20"/>
              </w:rPr>
              <w:t>
   43. Лекарственные препараты для клинических исследований остаются под контролем спонсора до завершения двухэтапной процедуры выдачи разрешения на выпуск: оценки соответствия Уполномоченным лицом и выдачи спонсором разрешения на выпуск для использования в клинических исследованиях после соблюдения требований действующего законодательства. Оба этапа оформляются документально, а записи хранятся непосредственно у спонсора или у лица, которое действует от его имени. Спонсор должен гарантировать, что вся подробная информация, которая приложена к заявлению на проведение клинического исследования, рассмотрена Уполномоченным лицом и отвечает информации, которая утверждена уполномоченными органами. Оформляется соответствующий договор о выполнении этого требования. С практической точки зрения, наилучшим способом выполнения этих требований является контроль изменений в досье на лекарственный препарат, что включается в техническое соглашение между Уполномоченным лицом и спонсором.</w:t>
            </w:r>
          </w:p>
          <w:p>
            <w:pPr>
              <w:spacing w:after="20"/>
              <w:ind w:left="20"/>
              <w:jc w:val="both"/>
            </w:pPr>
            <w:r>
              <w:rPr>
                <w:rFonts w:ascii="Times New Roman"/>
                <w:b w:val="false"/>
                <w:i w:val="false"/>
                <w:color w:val="000000"/>
                <w:sz w:val="20"/>
              </w:rPr>
              <w:t>
   44. Транспортирование лекарственных препаратов для клинических исследований следует осуществлять в соответствии с инструкциями, предоставленными в распоряжение спонсором или лицом, действующим от его имени.</w:t>
            </w:r>
          </w:p>
          <w:p>
            <w:pPr>
              <w:spacing w:after="20"/>
              <w:ind w:left="20"/>
              <w:jc w:val="both"/>
            </w:pPr>
            <w:r>
              <w:rPr>
                <w:rFonts w:ascii="Times New Roman"/>
                <w:b w:val="false"/>
                <w:i w:val="false"/>
                <w:color w:val="000000"/>
                <w:sz w:val="20"/>
              </w:rPr>
              <w:t>
   45. До поставки лекарственных препаратов для клинических исследований к месту проведения исследований устанавливаются правила по раскодированию лекарственных препаратов уполномоченным на то персоналом.</w:t>
            </w:r>
          </w:p>
          <w:p>
            <w:pPr>
              <w:spacing w:after="20"/>
              <w:ind w:left="20"/>
              <w:jc w:val="both"/>
            </w:pPr>
            <w:r>
              <w:rPr>
                <w:rFonts w:ascii="Times New Roman"/>
                <w:b w:val="false"/>
                <w:i w:val="false"/>
                <w:color w:val="000000"/>
                <w:sz w:val="20"/>
              </w:rPr>
              <w:t>
   46. Следует хранить подробный перечень отгруженной продукции, составленный производителем или импортером. Особое внимание следует уделять точности указания наименования и адреса получателя.</w:t>
            </w:r>
          </w:p>
          <w:p>
            <w:pPr>
              <w:spacing w:after="20"/>
              <w:ind w:left="20"/>
              <w:jc w:val="both"/>
            </w:pPr>
            <w:r>
              <w:rPr>
                <w:rFonts w:ascii="Times New Roman"/>
                <w:b w:val="false"/>
                <w:i w:val="false"/>
                <w:color w:val="000000"/>
                <w:sz w:val="20"/>
              </w:rPr>
              <w:t xml:space="preserve">
   47. Передачу лекарственных препаратов для исследований из одного места проведения исследований в другое проводят только в исключительных случаях. Порядок такой передачи устанавливается стандартной операционной процедурой. Проверяется совокупность имеющихся о лекарственном препарате сведений за тот период, когда он находился вне контроля производителя, например, с помощью отчетов о мониторинге клинических исследований или регистрации условий хранения на предыдущем месте проведения исследований. Такая проверка учитывается при оценке возможности передачи продукции. К участию в проверке привлекается Уполномоченное лицо. При необходимости лекарственный препарат возвращается производителю или другому имеющему на то право производителю для повторной маркировки и для его оценки Уполномоченным лицом. Записи хранятся и обеспечивается полное отслеживание подобных передач. </w:t>
            </w:r>
          </w:p>
          <w:p>
            <w:pPr>
              <w:spacing w:after="20"/>
              <w:ind w:left="20"/>
              <w:jc w:val="both"/>
            </w:pPr>
            <w:r>
              <w:rPr>
                <w:rFonts w:ascii="Times New Roman"/>
                <w:b w:val="false"/>
                <w:i w:val="false"/>
                <w:color w:val="000000"/>
                <w:sz w:val="20"/>
              </w:rPr>
              <w:t>
   </w:t>
            </w:r>
            <w:r>
              <w:rPr>
                <w:rFonts w:ascii="Times New Roman"/>
                <w:b/>
                <w:i w:val="false"/>
                <w:color w:val="000000"/>
                <w:sz w:val="20"/>
              </w:rPr>
              <w:t>Претензии</w:t>
            </w:r>
          </w:p>
          <w:p>
            <w:pPr>
              <w:spacing w:after="20"/>
              <w:ind w:left="20"/>
              <w:jc w:val="both"/>
            </w:pPr>
            <w:r>
              <w:rPr>
                <w:rFonts w:ascii="Times New Roman"/>
                <w:b w:val="false"/>
                <w:i w:val="false"/>
                <w:color w:val="000000"/>
                <w:sz w:val="20"/>
              </w:rPr>
              <w:t>
   48. Выводы по результатам любого расследования, проведенного в связи с поступлением претензии по качеству лекарственного препарата, обсуждаются между производителем или импортером и спонсором (если это не одно и то же лицо). В этом участвуют Уполномоченное лицо и лица, ответственные за проведение соответствующего клинического исследования, чтобы оценить возможное влияние претензии на клиническое исследование, разработку лекарственного препарата и субъектов исследований.</w:t>
            </w:r>
          </w:p>
          <w:p>
            <w:pPr>
              <w:spacing w:after="20"/>
              <w:ind w:left="20"/>
              <w:jc w:val="both"/>
            </w:pPr>
            <w:r>
              <w:rPr>
                <w:rFonts w:ascii="Times New Roman"/>
                <w:b w:val="false"/>
                <w:i w:val="false"/>
                <w:color w:val="000000"/>
                <w:sz w:val="20"/>
              </w:rPr>
              <w:t>
   </w:t>
            </w:r>
            <w:r>
              <w:rPr>
                <w:rFonts w:ascii="Times New Roman"/>
                <w:b/>
                <w:i w:val="false"/>
                <w:color w:val="000000"/>
                <w:sz w:val="20"/>
              </w:rPr>
              <w:t>Отзывы и возвраты</w:t>
            </w:r>
          </w:p>
          <w:p>
            <w:pPr>
              <w:spacing w:after="20"/>
              <w:ind w:left="20"/>
              <w:jc w:val="both"/>
            </w:pPr>
            <w:r>
              <w:rPr>
                <w:rFonts w:ascii="Times New Roman"/>
                <w:b w:val="false"/>
                <w:i w:val="false"/>
                <w:color w:val="000000"/>
                <w:sz w:val="20"/>
              </w:rPr>
              <w:t>
   </w:t>
            </w:r>
            <w:r>
              <w:rPr>
                <w:rFonts w:ascii="Times New Roman"/>
                <w:b/>
                <w:i w:val="false"/>
                <w:color w:val="000000"/>
                <w:sz w:val="20"/>
              </w:rPr>
              <w:t>Отзывы</w:t>
            </w:r>
          </w:p>
          <w:p>
            <w:pPr>
              <w:spacing w:after="20"/>
              <w:ind w:left="20"/>
              <w:jc w:val="both"/>
            </w:pPr>
            <w:r>
              <w:rPr>
                <w:rFonts w:ascii="Times New Roman"/>
                <w:b w:val="false"/>
                <w:i w:val="false"/>
                <w:color w:val="000000"/>
                <w:sz w:val="20"/>
              </w:rPr>
              <w:t>
   49. Порядок отзыва лекарственных препаратов для клинических исследований и его документального оформления согласовывается между спонсором и производителем или импортером (если это не одно и то же лицо). Исследователь и монитор клинического исследования понимают свои обязанности при выполнении отзыва.</w:t>
            </w:r>
          </w:p>
          <w:p>
            <w:pPr>
              <w:spacing w:after="20"/>
              <w:ind w:left="20"/>
              <w:jc w:val="both"/>
            </w:pPr>
            <w:r>
              <w:rPr>
                <w:rFonts w:ascii="Times New Roman"/>
                <w:b w:val="false"/>
                <w:i w:val="false"/>
                <w:color w:val="000000"/>
                <w:sz w:val="20"/>
              </w:rPr>
              <w:t xml:space="preserve">
   50. Спонсор гарантирует, что поставщик любого препарата сравнения или других лекарственных препаратов, используемых в клиническом исследовании, имеет систему для извещения спонсора о необходимости отзыва любого поставленного лекарственного препарата. </w:t>
            </w:r>
          </w:p>
          <w:p>
            <w:pPr>
              <w:spacing w:after="20"/>
              <w:ind w:left="20"/>
              <w:jc w:val="both"/>
            </w:pPr>
            <w:r>
              <w:rPr>
                <w:rFonts w:ascii="Times New Roman"/>
                <w:b w:val="false"/>
                <w:i w:val="false"/>
                <w:color w:val="000000"/>
                <w:sz w:val="20"/>
              </w:rPr>
              <w:t>
   </w:t>
            </w:r>
            <w:r>
              <w:rPr>
                <w:rFonts w:ascii="Times New Roman"/>
                <w:b/>
                <w:i w:val="false"/>
                <w:color w:val="000000"/>
                <w:sz w:val="20"/>
              </w:rPr>
              <w:t>Возвраты</w:t>
            </w:r>
          </w:p>
          <w:p>
            <w:pPr>
              <w:spacing w:after="20"/>
              <w:ind w:left="20"/>
              <w:jc w:val="both"/>
            </w:pPr>
            <w:r>
              <w:rPr>
                <w:rFonts w:ascii="Times New Roman"/>
                <w:b w:val="false"/>
                <w:i w:val="false"/>
                <w:color w:val="000000"/>
                <w:sz w:val="20"/>
              </w:rPr>
              <w:t xml:space="preserve">
   51. Лекарственные препараты для клинических исследований следует возвращать с соблюдением условий, установленных спонсором и изложенных в утвержденных письменных процедурах. </w:t>
            </w:r>
          </w:p>
          <w:p>
            <w:pPr>
              <w:spacing w:after="20"/>
              <w:ind w:left="20"/>
              <w:jc w:val="both"/>
            </w:pPr>
            <w:r>
              <w:rPr>
                <w:rFonts w:ascii="Times New Roman"/>
                <w:b w:val="false"/>
                <w:i w:val="false"/>
                <w:color w:val="000000"/>
                <w:sz w:val="20"/>
              </w:rPr>
              <w:t>
   52. Возвращенные лекарственные препараты для клинических исследований четко обозначаются. Их следует хранить в специально предназначенной контролируемой зоне. Следует сохранять записи по учету возвращенных лекарственных препаратов.</w:t>
            </w:r>
          </w:p>
          <w:p>
            <w:pPr>
              <w:spacing w:after="20"/>
              <w:ind w:left="20"/>
              <w:jc w:val="both"/>
            </w:pPr>
            <w:r>
              <w:rPr>
                <w:rFonts w:ascii="Times New Roman"/>
                <w:b w:val="false"/>
                <w:i w:val="false"/>
                <w:color w:val="000000"/>
                <w:sz w:val="20"/>
              </w:rPr>
              <w:t>
   </w:t>
            </w:r>
            <w:r>
              <w:rPr>
                <w:rFonts w:ascii="Times New Roman"/>
                <w:b/>
                <w:i w:val="false"/>
                <w:color w:val="000000"/>
                <w:sz w:val="20"/>
              </w:rPr>
              <w:t>Уничтожение</w:t>
            </w:r>
          </w:p>
          <w:p>
            <w:pPr>
              <w:spacing w:after="20"/>
              <w:ind w:left="20"/>
              <w:jc w:val="both"/>
            </w:pPr>
            <w:r>
              <w:rPr>
                <w:rFonts w:ascii="Times New Roman"/>
                <w:b w:val="false"/>
                <w:i w:val="false"/>
                <w:color w:val="000000"/>
                <w:sz w:val="20"/>
              </w:rPr>
              <w:t>
   53. Спонсор несет ответственность за уничтожение неиспользованных и (или) возвращенных лекарственных препаратов для клинических исследований. Не допускается уничтожение лекарственных препаратов для клинических исследований без получения письменного разрешения от спонсора.</w:t>
            </w:r>
          </w:p>
          <w:p>
            <w:pPr>
              <w:spacing w:after="20"/>
              <w:ind w:left="20"/>
              <w:jc w:val="both"/>
            </w:pPr>
            <w:r>
              <w:rPr>
                <w:rFonts w:ascii="Times New Roman"/>
                <w:b w:val="false"/>
                <w:i w:val="false"/>
                <w:color w:val="000000"/>
                <w:sz w:val="20"/>
              </w:rPr>
              <w:t>
   54. Для каждого места проведения исследований и каждого периода исследования спонсор или лицо, действующее от его имени, фиксирует, составляет баланс и проверяет количество лекарственного препарата, которое поставлено, использовано и возвращено. Уничтожение неиспользованных лекарственных препаратов для клинических исследований для данного места проведения исследований или данного периода исследований следует осуществлять только после того, как будет проведено расследование и удовлетворительно объяснены любые несоответствия, а также будет составлен материальный баланс. Документальное оформление операций по уничтожению лекарственного препарата необходимо вести таким образом, чтобы можно было представить отчет обо всех операциях. Записи по уничтожению следует хранить у спонсора.</w:t>
            </w:r>
          </w:p>
          <w:p>
            <w:pPr>
              <w:spacing w:after="20"/>
              <w:ind w:left="20"/>
              <w:jc w:val="both"/>
            </w:pPr>
            <w:r>
              <w:rPr>
                <w:rFonts w:ascii="Times New Roman"/>
                <w:b w:val="false"/>
                <w:i w:val="false"/>
                <w:color w:val="000000"/>
                <w:sz w:val="20"/>
              </w:rPr>
              <w:t>
   55. В случае уничтожения лекарственных препаратов для клинических исследований спонсору представляется акт с указанием даты или другой документ об уничтожении. В этих документах следует четко указать номера серий и (или) номера пациентов (или обеспечить возможность их отслеживания), и количество уничтоженных лекарственных препаратов.</w:t>
            </w:r>
          </w:p>
          <w:p>
            <w:pPr>
              <w:spacing w:after="20"/>
              <w:ind w:left="20"/>
              <w:jc w:val="both"/>
            </w:pPr>
            <w:r>
              <w:rPr>
                <w:rFonts w:ascii="Times New Roman"/>
                <w:b w:val="false"/>
                <w:i w:val="false"/>
                <w:color w:val="000000"/>
                <w:sz w:val="20"/>
              </w:rPr>
              <w:t>
   </w:t>
            </w:r>
            <w:r>
              <w:rPr>
                <w:rFonts w:ascii="Times New Roman"/>
                <w:b/>
                <w:i w:val="false"/>
                <w:color w:val="000000"/>
                <w:sz w:val="20"/>
              </w:rPr>
              <w:t>Дополнение 1</w:t>
            </w:r>
          </w:p>
          <w:p>
            <w:pPr>
              <w:spacing w:after="20"/>
              <w:ind w:left="20"/>
              <w:jc w:val="both"/>
            </w:pPr>
            <w:r>
              <w:rPr>
                <w:rFonts w:ascii="Times New Roman"/>
                <w:b w:val="false"/>
                <w:i w:val="false"/>
                <w:color w:val="000000"/>
                <w:sz w:val="20"/>
              </w:rPr>
              <w:t>
   [БЛАНК ПРОИЗВОДИТЕЛЯ]</w:t>
            </w:r>
          </w:p>
          <w:p>
            <w:pPr>
              <w:spacing w:after="20"/>
              <w:ind w:left="20"/>
              <w:jc w:val="both"/>
            </w:pPr>
            <w:r>
              <w:rPr>
                <w:rFonts w:ascii="Times New Roman"/>
                <w:b w:val="false"/>
                <w:i w:val="false"/>
                <w:color w:val="000000"/>
                <w:sz w:val="20"/>
              </w:rPr>
              <w:t>
   </w:t>
            </w:r>
            <w:r>
              <w:rPr>
                <w:rFonts w:ascii="Times New Roman"/>
                <w:b/>
                <w:i w:val="false"/>
                <w:color w:val="000000"/>
                <w:sz w:val="20"/>
              </w:rPr>
              <w:t>Содержание сертификата серии</w:t>
            </w:r>
          </w:p>
          <w:p>
            <w:pPr>
              <w:spacing w:after="20"/>
              <w:ind w:left="20"/>
              <w:jc w:val="both"/>
            </w:pPr>
            <w:r>
              <w:rPr>
                <w:rFonts w:ascii="Times New Roman"/>
                <w:b w:val="false"/>
                <w:i w:val="false"/>
                <w:color w:val="000000"/>
                <w:sz w:val="20"/>
              </w:rPr>
              <w:t>
   1) название (названия) лекарственного(ых) препарата(ов)/идентификатора(ов) лекарственного препарата в соответствии с заявкой на проведение клинического исследования, в зависимости от того, что применимо;</w:t>
            </w:r>
          </w:p>
          <w:p>
            <w:pPr>
              <w:spacing w:after="20"/>
              <w:ind w:left="20"/>
              <w:jc w:val="both"/>
            </w:pPr>
            <w:r>
              <w:rPr>
                <w:rFonts w:ascii="Times New Roman"/>
                <w:b w:val="false"/>
                <w:i w:val="false"/>
                <w:color w:val="000000"/>
                <w:sz w:val="20"/>
              </w:rPr>
              <w:t>
   2) номер(а) EudraCT (Общеевропейская база данных клинических исследований) и номер кода протокола спонсора, при наличии;</w:t>
            </w:r>
          </w:p>
          <w:p>
            <w:pPr>
              <w:spacing w:after="20"/>
              <w:ind w:left="20"/>
              <w:jc w:val="both"/>
            </w:pPr>
            <w:r>
              <w:rPr>
                <w:rFonts w:ascii="Times New Roman"/>
                <w:b w:val="false"/>
                <w:i w:val="false"/>
                <w:color w:val="000000"/>
                <w:sz w:val="20"/>
              </w:rPr>
              <w:t>
   3) дозировка;</w:t>
            </w:r>
          </w:p>
          <w:p>
            <w:pPr>
              <w:spacing w:after="20"/>
              <w:ind w:left="20"/>
              <w:jc w:val="both"/>
            </w:pPr>
            <w:r>
              <w:rPr>
                <w:rFonts w:ascii="Times New Roman"/>
                <w:b w:val="false"/>
                <w:i w:val="false"/>
                <w:color w:val="000000"/>
                <w:sz w:val="20"/>
              </w:rPr>
              <w:t>
   Название и количество в единице дозы всех активных фармацевтических субстанций для каждого лекарственного препарата для клинических исследований (включая плацебо). Способ предоставления такой информации не должен способствовать раскодированию "слепого" исследования;</w:t>
            </w:r>
          </w:p>
          <w:p>
            <w:pPr>
              <w:spacing w:after="20"/>
              <w:ind w:left="20"/>
              <w:jc w:val="both"/>
            </w:pPr>
            <w:r>
              <w:rPr>
                <w:rFonts w:ascii="Times New Roman"/>
                <w:b w:val="false"/>
                <w:i w:val="false"/>
                <w:color w:val="000000"/>
                <w:sz w:val="20"/>
              </w:rPr>
              <w:t>
   4) лекарственная форма;</w:t>
            </w:r>
          </w:p>
          <w:p>
            <w:pPr>
              <w:spacing w:after="20"/>
              <w:ind w:left="20"/>
              <w:jc w:val="both"/>
            </w:pPr>
            <w:r>
              <w:rPr>
                <w:rFonts w:ascii="Times New Roman"/>
                <w:b w:val="false"/>
                <w:i w:val="false"/>
                <w:color w:val="000000"/>
                <w:sz w:val="20"/>
              </w:rPr>
              <w:t>
   5) размер упаковки (контейнера) и тип (например, флаконы, бутыли, блистеры);</w:t>
            </w:r>
          </w:p>
          <w:p>
            <w:pPr>
              <w:spacing w:after="20"/>
              <w:ind w:left="20"/>
              <w:jc w:val="both"/>
            </w:pPr>
            <w:r>
              <w:rPr>
                <w:rFonts w:ascii="Times New Roman"/>
                <w:b w:val="false"/>
                <w:i w:val="false"/>
                <w:color w:val="000000"/>
                <w:sz w:val="20"/>
              </w:rPr>
              <w:t>
   6) номер партии/серии;</w:t>
            </w:r>
          </w:p>
          <w:p>
            <w:pPr>
              <w:spacing w:after="20"/>
              <w:ind w:left="20"/>
              <w:jc w:val="both"/>
            </w:pPr>
            <w:r>
              <w:rPr>
                <w:rFonts w:ascii="Times New Roman"/>
                <w:b w:val="false"/>
                <w:i w:val="false"/>
                <w:color w:val="000000"/>
                <w:sz w:val="20"/>
              </w:rPr>
              <w:t>
   7) дата окончания срока годности/повторного контроля/срок использования;</w:t>
            </w:r>
          </w:p>
          <w:p>
            <w:pPr>
              <w:spacing w:after="20"/>
              <w:ind w:left="20"/>
              <w:jc w:val="both"/>
            </w:pPr>
            <w:r>
              <w:rPr>
                <w:rFonts w:ascii="Times New Roman"/>
                <w:b w:val="false"/>
                <w:i w:val="false"/>
                <w:color w:val="000000"/>
                <w:sz w:val="20"/>
              </w:rPr>
              <w:t>
   8) название и адрес производителя, где находится выдающее сертификат Уполномоченное лицо.</w:t>
            </w:r>
          </w:p>
          <w:p>
            <w:pPr>
              <w:spacing w:after="20"/>
              <w:ind w:left="20"/>
              <w:jc w:val="both"/>
            </w:pPr>
            <w:r>
              <w:rPr>
                <w:rFonts w:ascii="Times New Roman"/>
                <w:b w:val="false"/>
                <w:i w:val="false"/>
                <w:color w:val="000000"/>
                <w:sz w:val="20"/>
              </w:rPr>
              <w:t>
   9) номер лицензии на производство для площадки, указанной в пункте 8.</w:t>
            </w:r>
          </w:p>
          <w:p>
            <w:pPr>
              <w:spacing w:after="20"/>
              <w:ind w:left="20"/>
              <w:jc w:val="both"/>
            </w:pPr>
            <w:r>
              <w:rPr>
                <w:rFonts w:ascii="Times New Roman"/>
                <w:b w:val="false"/>
                <w:i w:val="false"/>
                <w:color w:val="000000"/>
                <w:sz w:val="20"/>
              </w:rPr>
              <w:t>
   10) комментарии/примечания.</w:t>
            </w:r>
          </w:p>
          <w:p>
            <w:pPr>
              <w:spacing w:after="20"/>
              <w:ind w:left="20"/>
              <w:jc w:val="both"/>
            </w:pPr>
            <w:r>
              <w:rPr>
                <w:rFonts w:ascii="Times New Roman"/>
                <w:b w:val="false"/>
                <w:i w:val="false"/>
                <w:color w:val="000000"/>
                <w:sz w:val="20"/>
              </w:rPr>
              <w:t>
   11) любая дополнительная информация, которая является существенной по мнению Уполномоченного лица.</w:t>
            </w:r>
          </w:p>
          <w:p>
            <w:pPr>
              <w:spacing w:after="20"/>
              <w:ind w:left="20"/>
              <w:jc w:val="both"/>
            </w:pPr>
            <w:r>
              <w:rPr>
                <w:rFonts w:ascii="Times New Roman"/>
                <w:b w:val="false"/>
                <w:i w:val="false"/>
                <w:color w:val="000000"/>
                <w:sz w:val="20"/>
              </w:rPr>
              <w:t>
   12) заявление о сертификации</w:t>
            </w:r>
          </w:p>
          <w:p>
            <w:pPr>
              <w:spacing w:after="20"/>
              <w:ind w:left="20"/>
              <w:jc w:val="both"/>
            </w:pPr>
            <w:r>
              <w:rPr>
                <w:rFonts w:ascii="Times New Roman"/>
                <w:b w:val="false"/>
                <w:i w:val="false"/>
                <w:color w:val="000000"/>
                <w:sz w:val="20"/>
              </w:rPr>
              <w:t>
   13) "Настоящим я подтверждаю, что эта серия соответствует одному из нижеприведенных требований:</w:t>
            </w:r>
          </w:p>
          <w:p>
            <w:pPr>
              <w:spacing w:after="20"/>
              <w:ind w:left="20"/>
              <w:jc w:val="both"/>
            </w:pPr>
            <w:r>
              <w:rPr>
                <w:rFonts w:ascii="Times New Roman"/>
                <w:b w:val="false"/>
                <w:i w:val="false"/>
                <w:color w:val="000000"/>
                <w:sz w:val="20"/>
              </w:rPr>
              <w:t>
   1) лекарственный препарат произведен и проверен в соответствии с требованиями настоящего Стандарта, досье на лекарственный препарат, а также что имеется соответствующая информация, предоставленная спонсором уполномоченному органу;</w:t>
            </w:r>
          </w:p>
          <w:p>
            <w:pPr>
              <w:spacing w:after="20"/>
              <w:ind w:left="20"/>
              <w:jc w:val="both"/>
            </w:pPr>
            <w:r>
              <w:rPr>
                <w:rFonts w:ascii="Times New Roman"/>
                <w:b w:val="false"/>
                <w:i w:val="false"/>
                <w:color w:val="000000"/>
                <w:sz w:val="20"/>
              </w:rPr>
              <w:t>
   2) лекарственный препарат зарегистрирован в Республике Казахстан. Обязанности, которые указаны выше, остаются теми же, но объем представленных данных ограничивается подтверждением того, что лекарственный препарат соответствует заявлению на проведение клинических исследований и любой последующей обработке с целью кодирования, осуществления специальной упаковки или маркировки для этого исследования;</w:t>
            </w:r>
          </w:p>
          <w:p>
            <w:pPr>
              <w:spacing w:after="20"/>
              <w:ind w:left="20"/>
              <w:jc w:val="both"/>
            </w:pPr>
            <w:r>
              <w:rPr>
                <w:rFonts w:ascii="Times New Roman"/>
                <w:b w:val="false"/>
                <w:i w:val="false"/>
                <w:color w:val="000000"/>
                <w:sz w:val="20"/>
              </w:rPr>
              <w:t xml:space="preserve">
   3) лекарственный препарат импортирован: необходимо засвидетельствовать, что он произведен и проверен в соответствии с требованиями, как минимум, эквивалентными изложенным в настоящем Стандарте, досье на лекарственный препарат, а также что имеется соответствующая информация, предоставленная спонсором уполномоченному органу при подаче заявления на проведение клинического исследования. </w:t>
            </w:r>
          </w:p>
          <w:p>
            <w:pPr>
              <w:spacing w:after="20"/>
              <w:ind w:left="20"/>
              <w:jc w:val="both"/>
            </w:pPr>
            <w:r>
              <w:rPr>
                <w:rFonts w:ascii="Times New Roman"/>
                <w:b w:val="false"/>
                <w:i w:val="false"/>
                <w:color w:val="000000"/>
                <w:sz w:val="20"/>
              </w:rPr>
              <w:t>
   14) Фамилия Уполномоченного лица, подписавшего сертификат;</w:t>
            </w:r>
          </w:p>
          <w:p>
            <w:pPr>
              <w:spacing w:after="20"/>
              <w:ind w:left="20"/>
              <w:jc w:val="both"/>
            </w:pPr>
            <w:r>
              <w:rPr>
                <w:rFonts w:ascii="Times New Roman"/>
                <w:b w:val="false"/>
                <w:i w:val="false"/>
                <w:color w:val="000000"/>
                <w:sz w:val="20"/>
              </w:rPr>
              <w:t>
   15) подпись;</w:t>
            </w:r>
          </w:p>
          <w:p>
            <w:pPr>
              <w:spacing w:after="20"/>
              <w:ind w:left="20"/>
              <w:jc w:val="both"/>
            </w:pPr>
            <w:r>
              <w:rPr>
                <w:rFonts w:ascii="Times New Roman"/>
                <w:b w:val="false"/>
                <w:i w:val="false"/>
                <w:color w:val="000000"/>
                <w:sz w:val="20"/>
              </w:rPr>
              <w:t>
   16) дата подписания.</w:t>
            </w:r>
          </w:p>
          <w:p>
            <w:pPr>
              <w:spacing w:after="20"/>
              <w:ind w:left="20"/>
              <w:jc w:val="both"/>
            </w:pPr>
            <w:r>
              <w:rPr>
                <w:rFonts w:ascii="Times New Roman"/>
                <w:b w:val="false"/>
                <w:i w:val="false"/>
                <w:color w:val="000000"/>
                <w:sz w:val="20"/>
              </w:rPr>
              <w:t>
   </w:t>
            </w:r>
            <w:r>
              <w:rPr>
                <w:rFonts w:ascii="Times New Roman"/>
                <w:b/>
                <w:i w:val="false"/>
                <w:color w:val="000000"/>
                <w:sz w:val="20"/>
              </w:rPr>
              <w:t>Пояснительная записка</w:t>
            </w:r>
          </w:p>
          <w:p>
            <w:pPr>
              <w:spacing w:after="20"/>
              <w:ind w:left="20"/>
              <w:jc w:val="both"/>
            </w:pPr>
            <w:r>
              <w:rPr>
                <w:rFonts w:ascii="Times New Roman"/>
                <w:b w:val="false"/>
                <w:i w:val="false"/>
                <w:color w:val="000000"/>
                <w:sz w:val="20"/>
              </w:rPr>
              <w:t>
   Лекарственные препараты для клинических исследований не могут быть использованы в клиническом исследовании до окончания двухэтапной процедуры, описанной в пункте 43 данного Приложения к настоящему Стандарту. Первый этап заканчивается и оформляется документально сертификация каждой серии Уполномоченным лицом производителя или импортера в соответствии с пунктом 13 настоящего Дополнения.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p>
      <w:pPr>
        <w:spacing w:after="0"/>
        <w:ind w:left="0"/>
        <w:jc w:val="both"/>
      </w:pPr>
      <w:r>
        <w:rPr>
          <w:rFonts w:ascii="Times New Roman"/>
          <w:b w:val="false"/>
          <w:i w:val="false"/>
          <w:color w:val="ff0000"/>
          <w:sz w:val="28"/>
        </w:rPr>
        <w:t xml:space="preserve">
      Сноска. Приложение 14 с изменениями, внесенными приказом Министра здравоохранения РК от 08.05.2019 </w:t>
      </w:r>
      <w:r>
        <w:rPr>
          <w:rFonts w:ascii="Times New Roman"/>
          <w:b w:val="false"/>
          <w:i w:val="false"/>
          <w:color w:val="ff0000"/>
          <w:sz w:val="28"/>
        </w:rPr>
        <w:t>№ ҚР ДСМ-71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8"/>
              <w:gridCol w:w="4512"/>
            </w:tblGrid>
            <w:tr>
              <w:trPr>
                <w:trHeight w:val="30" w:hRule="atLeast"/>
              </w:trPr>
              <w:tc>
                <w:tcPr>
                  <w:tcW w:w="76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2"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Производство лекарственных препаратов, получаемых из донорской крови или плазмы</w:t>
                  </w:r>
                </w:p>
              </w:tc>
            </w:tr>
            <w:tr>
              <w:trPr>
                <w:trHeight w:val="30" w:hRule="atLeast"/>
              </w:trPr>
              <w:tc>
                <w:tcPr>
                  <w:tcW w:w="76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2"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Термины и определения</w:t>
                  </w:r>
                </w:p>
              </w:tc>
            </w:tr>
          </w:tbl>
          <w:p/>
          <w:p>
            <w:pPr>
              <w:spacing w:after="20"/>
              <w:ind w:left="20"/>
              <w:jc w:val="both"/>
            </w:pPr>
            <w:r>
              <w:rPr>
                <w:rFonts w:ascii="Times New Roman"/>
                <w:b w:val="false"/>
                <w:i w:val="false"/>
                <w:color w:val="000000"/>
                <w:sz w:val="20"/>
              </w:rPr>
              <w:t xml:space="preserve">
   Компонент крови - терапевтическая составляющая крови (эритроциты, лейкоциты, тромбоциты и плазма), которая может быть подготовлена различными методами. </w:t>
            </w:r>
          </w:p>
          <w:p>
            <w:pPr>
              <w:spacing w:after="20"/>
              <w:ind w:left="20"/>
              <w:jc w:val="both"/>
            </w:pPr>
            <w:r>
              <w:rPr>
                <w:rFonts w:ascii="Times New Roman"/>
                <w:b w:val="false"/>
                <w:i w:val="false"/>
                <w:color w:val="000000"/>
                <w:sz w:val="20"/>
              </w:rPr>
              <w:t xml:space="preserve">
   Кровь - цельная кровь, которая взята у донора и обработана для трансфузии или для дальнейшего производства. </w:t>
            </w:r>
          </w:p>
          <w:p>
            <w:pPr>
              <w:spacing w:after="20"/>
              <w:ind w:left="20"/>
              <w:jc w:val="both"/>
            </w:pPr>
            <w:r>
              <w:rPr>
                <w:rFonts w:ascii="Times New Roman"/>
                <w:b w:val="false"/>
                <w:i w:val="false"/>
                <w:color w:val="000000"/>
                <w:sz w:val="20"/>
              </w:rPr>
              <w:t>
   Лекарственные препараты, получаемые из донорской крови или плазмы - лекарственные препараты на основе компонентов крови, которые произведены промышленным способом на государственных - любой из этапов полуения компонентов крови, который осуществляется после забора крови перед получением компонента крови, например, сепарация и заморозка компонентов крови. В данном Приложении под обработкой дополнительно понимают выполняемые в организациях по забору крови операции, которые являются специфическими для плазмы, используемой для фракционирования.</w:t>
            </w:r>
          </w:p>
          <w:p>
            <w:pPr>
              <w:spacing w:after="20"/>
              <w:ind w:left="20"/>
              <w:jc w:val="both"/>
            </w:pPr>
            <w:r>
              <w:rPr>
                <w:rFonts w:ascii="Times New Roman"/>
                <w:b w:val="false"/>
                <w:i w:val="false"/>
                <w:color w:val="000000"/>
                <w:sz w:val="20"/>
              </w:rPr>
              <w:t>
   Основное досье плазмы – отдельный документ, который не входит в регистрационное досье на лекарственный препарат. В нем содержится вся соответствующая подробная информация в отношении характеристик цельной донорской плазмы, используемой как исходное сырье для производства промежуточных фракций/субфракций, вспомогательных веществ и активных фармацевтических субстанций, которые являются частью плазмы, лекарственных препаратов или медицинских изделий.</w:t>
            </w:r>
          </w:p>
          <w:p>
            <w:pPr>
              <w:spacing w:after="20"/>
              <w:ind w:left="20"/>
              <w:jc w:val="both"/>
            </w:pPr>
            <w:r>
              <w:rPr>
                <w:rFonts w:ascii="Times New Roman"/>
                <w:b w:val="false"/>
                <w:i w:val="false"/>
                <w:color w:val="000000"/>
                <w:sz w:val="20"/>
              </w:rPr>
              <w:t>
   Ответственное лицо - специально назначенное лицо в организациях по забору/проверке крови:</w:t>
            </w:r>
          </w:p>
          <w:p>
            <w:pPr>
              <w:spacing w:after="20"/>
              <w:ind w:left="20"/>
              <w:jc w:val="both"/>
            </w:pPr>
            <w:r>
              <w:rPr>
                <w:rFonts w:ascii="Times New Roman"/>
                <w:b w:val="false"/>
                <w:i w:val="false"/>
                <w:color w:val="000000"/>
                <w:sz w:val="20"/>
              </w:rPr>
              <w:t>
   1) несет ответственность за:</w:t>
            </w:r>
          </w:p>
          <w:p>
            <w:pPr>
              <w:spacing w:after="20"/>
              <w:ind w:left="20"/>
              <w:jc w:val="both"/>
            </w:pPr>
            <w:r>
              <w:rPr>
                <w:rFonts w:ascii="Times New Roman"/>
                <w:b w:val="false"/>
                <w:i w:val="false"/>
                <w:color w:val="000000"/>
                <w:sz w:val="20"/>
              </w:rPr>
              <w:t>
   обеспечение того, что кровь или ее компоненты были взяты и проверены в каждой единице независимо от их предназначения, а также за то, что (в случае предназначения для трансфузии) их обработка, хранение и отпуск были произведены в соответствии с законодательством;</w:t>
            </w:r>
          </w:p>
          <w:p>
            <w:pPr>
              <w:spacing w:after="20"/>
              <w:ind w:left="20"/>
              <w:jc w:val="both"/>
            </w:pPr>
            <w:r>
              <w:rPr>
                <w:rFonts w:ascii="Times New Roman"/>
                <w:b w:val="false"/>
                <w:i w:val="false"/>
                <w:color w:val="000000"/>
                <w:sz w:val="20"/>
              </w:rPr>
              <w:t>
   предоставление соответствующей информации уполномоченным органам в отношении предписаний, разрешений, аккредитации или лицензирования;</w:t>
            </w:r>
          </w:p>
          <w:p>
            <w:pPr>
              <w:spacing w:after="20"/>
              <w:ind w:left="20"/>
              <w:jc w:val="both"/>
            </w:pPr>
            <w:r>
              <w:rPr>
                <w:rFonts w:ascii="Times New Roman"/>
                <w:b w:val="false"/>
                <w:i w:val="false"/>
                <w:color w:val="000000"/>
                <w:sz w:val="20"/>
              </w:rPr>
              <w:t>
   выполнение в организации по забору/проверке крови всех требований законодательства.</w:t>
            </w:r>
          </w:p>
          <w:p>
            <w:pPr>
              <w:spacing w:after="20"/>
              <w:ind w:left="20"/>
              <w:jc w:val="both"/>
            </w:pPr>
            <w:r>
              <w:rPr>
                <w:rFonts w:ascii="Times New Roman"/>
                <w:b w:val="false"/>
                <w:i w:val="false"/>
                <w:color w:val="000000"/>
                <w:sz w:val="20"/>
              </w:rPr>
              <w:t>
   2) отвечает следующим условиям в отношении квалификации:</w:t>
            </w:r>
          </w:p>
          <w:p>
            <w:pPr>
              <w:spacing w:after="20"/>
              <w:ind w:left="20"/>
              <w:jc w:val="both"/>
            </w:pPr>
            <w:r>
              <w:rPr>
                <w:rFonts w:ascii="Times New Roman"/>
                <w:b w:val="false"/>
                <w:i w:val="false"/>
                <w:color w:val="000000"/>
                <w:sz w:val="20"/>
              </w:rPr>
              <w:t>
   имеет высшее образование в области медицины или биологии;</w:t>
            </w:r>
          </w:p>
          <w:p>
            <w:pPr>
              <w:spacing w:after="20"/>
              <w:ind w:left="20"/>
              <w:jc w:val="both"/>
            </w:pPr>
            <w:r>
              <w:rPr>
                <w:rFonts w:ascii="Times New Roman"/>
                <w:b w:val="false"/>
                <w:i w:val="false"/>
                <w:color w:val="000000"/>
                <w:sz w:val="20"/>
              </w:rPr>
              <w:t>
   имеет стаж работы не менее двух лет в области забору/проверки донорской крови и компонентов крови или их обработки, хранения или распределения.</w:t>
            </w:r>
          </w:p>
          <w:p>
            <w:pPr>
              <w:spacing w:after="20"/>
              <w:ind w:left="20"/>
              <w:jc w:val="both"/>
            </w:pPr>
            <w:r>
              <w:rPr>
                <w:rFonts w:ascii="Times New Roman"/>
                <w:b w:val="false"/>
                <w:i w:val="false"/>
                <w:color w:val="000000"/>
                <w:sz w:val="20"/>
              </w:rPr>
              <w:t>
   3) обязанности ответственного лица, могут быть переданы другим лицам, которые имеют соответствующую квалификацию и стаж работы для выполнения этих обязанностей;</w:t>
            </w:r>
          </w:p>
          <w:p>
            <w:pPr>
              <w:spacing w:after="20"/>
              <w:ind w:left="20"/>
              <w:jc w:val="both"/>
            </w:pPr>
            <w:r>
              <w:rPr>
                <w:rFonts w:ascii="Times New Roman"/>
                <w:b w:val="false"/>
                <w:i w:val="false"/>
                <w:color w:val="000000"/>
                <w:sz w:val="20"/>
              </w:rPr>
              <w:t xml:space="preserve">
   4) организации по забору/проверке крови сообщают в уполномоченный орган фамилию (имя, отчество) ответственного лица с обязанностями, указанными выше в пункте 1, а также других лиц, указанных выше в пункте 3, вместе с информацией о конкретных обязанностях, которые на них возложены; </w:t>
            </w:r>
          </w:p>
          <w:p>
            <w:pPr>
              <w:spacing w:after="20"/>
              <w:ind w:left="20"/>
              <w:jc w:val="both"/>
            </w:pPr>
            <w:r>
              <w:rPr>
                <w:rFonts w:ascii="Times New Roman"/>
                <w:b w:val="false"/>
                <w:i w:val="false"/>
                <w:color w:val="000000"/>
                <w:sz w:val="20"/>
              </w:rPr>
              <w:t>
   5) если ответственное лицо или лица, указанные выше в пункте 3, заменяются на постоянной или временной основе, организация по забору/проверке крови сразу уведомляет уполномоченный орган о фамилии (имени, отчестве) нового ответственного лица и дате его назначения.</w:t>
            </w:r>
          </w:p>
          <w:p>
            <w:pPr>
              <w:spacing w:after="20"/>
              <w:ind w:left="20"/>
              <w:jc w:val="both"/>
            </w:pPr>
            <w:r>
              <w:rPr>
                <w:rFonts w:ascii="Times New Roman"/>
                <w:b w:val="false"/>
                <w:i w:val="false"/>
                <w:color w:val="000000"/>
                <w:sz w:val="20"/>
              </w:rPr>
              <w:t>
   Плазма для фракционирования - жидкая часть донорской крови, которая остается после отделения клеточных компонентов крови, отобранная в контейнер с антикоагулянтом, или которая остается после сепарации с помощью непрерывной фильтрации или центрифугирования крови с антикоагулянтом во время процедуры афереза. Она предназначена для производства лекарственных препаратов, получаемых из плазмы, в частности, альбумина, факторов свертывания крови и иммуноглобулина человека.</w:t>
            </w:r>
          </w:p>
          <w:p>
            <w:pPr>
              <w:spacing w:after="20"/>
              <w:ind w:left="20"/>
              <w:jc w:val="both"/>
            </w:pPr>
            <w:r>
              <w:rPr>
                <w:rFonts w:ascii="Times New Roman"/>
                <w:b w:val="false"/>
                <w:i w:val="false"/>
                <w:color w:val="000000"/>
                <w:sz w:val="20"/>
              </w:rPr>
              <w:t>
   Препараты крови - лекарственные препараты, полученные из донорской крови или плазмы.</w:t>
            </w:r>
          </w:p>
          <w:p>
            <w:pPr>
              <w:spacing w:after="20"/>
              <w:ind w:left="20"/>
              <w:jc w:val="both"/>
            </w:pPr>
            <w:r>
              <w:rPr>
                <w:rFonts w:ascii="Times New Roman"/>
                <w:b w:val="false"/>
                <w:i w:val="false"/>
                <w:color w:val="000000"/>
                <w:sz w:val="20"/>
              </w:rPr>
              <w:t>
   Уполномоченное лицо -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настоящего Стандарта. Обязанности Уполномоченного лица детально описаны в главе 2 части I и Приложении 16 к настоящему Стандарту.</w:t>
            </w:r>
          </w:p>
          <w:p>
            <w:pPr>
              <w:spacing w:after="20"/>
              <w:ind w:left="20"/>
              <w:jc w:val="both"/>
            </w:pPr>
            <w:r>
              <w:rPr>
                <w:rFonts w:ascii="Times New Roman"/>
                <w:b w:val="false"/>
                <w:i w:val="false"/>
                <w:color w:val="000000"/>
                <w:sz w:val="20"/>
              </w:rPr>
              <w:t xml:space="preserve">
   Организация по забору/проверке крови - организация, которая несет ответственность за любой аспект забора и проверки донорской крови или компонентов крови независимо от их дальнейшего предназначения, а также за их обработку, хранение и поставку в случае, когда они предназначены для трансфузии. Этот термин не распространяется на банки крови в больницах, но распространяется на организации, в которых проводят плазмаферез. </w:t>
            </w:r>
          </w:p>
          <w:p>
            <w:pPr>
              <w:spacing w:after="20"/>
              <w:ind w:left="20"/>
              <w:jc w:val="both"/>
            </w:pPr>
            <w:r>
              <w:rPr>
                <w:rFonts w:ascii="Times New Roman"/>
                <w:b w:val="false"/>
                <w:i w:val="false"/>
                <w:color w:val="000000"/>
                <w:sz w:val="20"/>
              </w:rPr>
              <w:t>
   Фракционирование, предприятие по фракционированию - фракционирование – это технологический процесс на предприятии (предприятии по фракционированию), во время которого разделяют/очищают компоненты плазмы с помощью различных физических и химических методов, например, таких как осаждение, хроматография.      </w:t>
            </w:r>
          </w:p>
          <w:p>
            <w:pPr>
              <w:spacing w:after="20"/>
              <w:ind w:left="20"/>
              <w:jc w:val="both"/>
            </w:pPr>
            <w:r>
              <w:rPr>
                <w:rFonts w:ascii="Times New Roman"/>
                <w:b w:val="false"/>
                <w:i w:val="false"/>
                <w:color w:val="000000"/>
                <w:sz w:val="20"/>
              </w:rPr>
              <w:t>
   </w:t>
            </w:r>
            <w:r>
              <w:rPr>
                <w:rFonts w:ascii="Times New Roman"/>
                <w:b/>
                <w:i w:val="false"/>
                <w:color w:val="000000"/>
                <w:sz w:val="20"/>
              </w:rPr>
              <w:t>1. Область применения</w:t>
            </w:r>
          </w:p>
          <w:p>
            <w:pPr>
              <w:spacing w:after="20"/>
              <w:ind w:left="20"/>
              <w:jc w:val="both"/>
            </w:pPr>
            <w:r>
              <w:rPr>
                <w:rFonts w:ascii="Times New Roman"/>
                <w:b w:val="false"/>
                <w:i w:val="false"/>
                <w:color w:val="000000"/>
                <w:sz w:val="20"/>
              </w:rPr>
              <w:t>
   1.1. Положения настоящего Приложения распространяются на лекарственные препараты, получаемые из донорской крови или плазмы, фракционированной или импортированной на территорию Республики Казахстан. Приложение распространяется также на исходное сырье для таких лекарственных препаратов. Эти требования применимы также к стабильным фракциям донорской крови или плазмы, которые включают в медицинские изделия.</w:t>
            </w:r>
          </w:p>
          <w:p>
            <w:pPr>
              <w:spacing w:after="20"/>
              <w:ind w:left="20"/>
              <w:jc w:val="both"/>
            </w:pPr>
            <w:r>
              <w:rPr>
                <w:rFonts w:ascii="Times New Roman"/>
                <w:b w:val="false"/>
                <w:i w:val="false"/>
                <w:color w:val="000000"/>
                <w:sz w:val="20"/>
              </w:rPr>
              <w:t xml:space="preserve">
   1.2. Данное Приложение устанавливает специальные требования настоящих Правил в отношении производства, хранения и транспортирования донорской плазмы, используемой для фракционирования и для производства лекарственных препаратов, получаемых из донорской крови или плазмы. </w:t>
            </w:r>
          </w:p>
          <w:p>
            <w:pPr>
              <w:spacing w:after="20"/>
              <w:ind w:left="20"/>
              <w:jc w:val="both"/>
            </w:pPr>
            <w:r>
              <w:rPr>
                <w:rFonts w:ascii="Times New Roman"/>
                <w:b w:val="false"/>
                <w:i w:val="false"/>
                <w:color w:val="000000"/>
                <w:sz w:val="20"/>
              </w:rPr>
              <w:t>
   1.3. В данном Приложении установлены специальные положения в случаях, когда исходное сырье импортируется из третьих стран, а также в случаях программ фракционирования по контракту для третьих стран.</w:t>
            </w:r>
          </w:p>
          <w:p>
            <w:pPr>
              <w:spacing w:after="20"/>
              <w:ind w:left="20"/>
              <w:jc w:val="both"/>
            </w:pPr>
            <w:r>
              <w:rPr>
                <w:rFonts w:ascii="Times New Roman"/>
                <w:b w:val="false"/>
                <w:i w:val="false"/>
                <w:color w:val="000000"/>
                <w:sz w:val="20"/>
              </w:rPr>
              <w:t xml:space="preserve">
   1.4. Данное Приложение не применяется для компонентов крови, предназначенных для трансфузии. </w:t>
            </w:r>
          </w:p>
          <w:p>
            <w:pPr>
              <w:spacing w:after="20"/>
              <w:ind w:left="20"/>
              <w:jc w:val="both"/>
            </w:pPr>
            <w:r>
              <w:rPr>
                <w:rFonts w:ascii="Times New Roman"/>
                <w:b w:val="false"/>
                <w:i w:val="false"/>
                <w:color w:val="000000"/>
                <w:sz w:val="20"/>
              </w:rPr>
              <w:t>
   </w:t>
            </w:r>
            <w:r>
              <w:rPr>
                <w:rFonts w:ascii="Times New Roman"/>
                <w:b/>
                <w:i w:val="false"/>
                <w:color w:val="000000"/>
                <w:sz w:val="20"/>
              </w:rPr>
              <w:t>2. Принцип</w:t>
            </w:r>
          </w:p>
          <w:p>
            <w:pPr>
              <w:spacing w:after="20"/>
              <w:ind w:left="20"/>
              <w:jc w:val="both"/>
            </w:pPr>
            <w:r>
              <w:rPr>
                <w:rFonts w:ascii="Times New Roman"/>
                <w:b w:val="false"/>
                <w:i w:val="false"/>
                <w:color w:val="000000"/>
                <w:sz w:val="20"/>
              </w:rPr>
              <w:t xml:space="preserve">
   2.1. Лекарственные препараты, получаемые из донорской крови или плазмы (а также их активные фармацевтические субстанции, используемые как исходное сырье), соответствуют требованиям настоящего Стандарта, а также регистрационному досье на лекарственный препарат. Они рассматриваются как биологические лекарственные препараты и исходное сырье, в которых содержатся биологические субстанции, такие как человеческие клетки или жидкости, включая кровь или плазму. Вследствие биологической природы источников сырья, последние имеют определенные характерные особенности. Например, исходное сырье может быть контаминировано инфицирующими агентами, в особенности вирусами. Поэтому качество и безопасность таких лекарственных препаратов зависит от контроля исходного сырья и источника его происхождения, а также от дальнейших технологических процедур, включая проверку на инфекционные маркеры, удаление и инактивацию вирусов. </w:t>
            </w:r>
          </w:p>
          <w:p>
            <w:pPr>
              <w:spacing w:after="20"/>
              <w:ind w:left="20"/>
              <w:jc w:val="both"/>
            </w:pPr>
            <w:r>
              <w:rPr>
                <w:rFonts w:ascii="Times New Roman"/>
                <w:b w:val="false"/>
                <w:i w:val="false"/>
                <w:color w:val="000000"/>
                <w:sz w:val="20"/>
              </w:rPr>
              <w:t>
   2.2. Все активные фармацевтические субстанции, используемые как исходное сырье для лекарственных препаратов, отвечают требованиям настоящего Стандарта (см. пункт 2.1 данного Приложения). В отношении забора и проверки исходного сырья, получаемого из донорской крови или плазмы, необходимо придерживаться нижеследующих установленных требований. Забор и проверку следует проводить в соответствии с надлежащей системой качества, соответствующими стандартами и спецификациями. Кроме того, необходимо выполнять действующие требования в отношении прослеживаемости от донора до реципиента и в отношении уведомлений о серьезных нежелательных реакциях и серьезных нежелательных явлениях. Кроме того, следует руководствоваться фармакопейными требованиями.</w:t>
            </w:r>
          </w:p>
          <w:p>
            <w:pPr>
              <w:spacing w:after="20"/>
              <w:ind w:left="20"/>
              <w:jc w:val="both"/>
            </w:pPr>
            <w:r>
              <w:rPr>
                <w:rFonts w:ascii="Times New Roman"/>
                <w:b w:val="false"/>
                <w:i w:val="false"/>
                <w:color w:val="000000"/>
                <w:sz w:val="20"/>
              </w:rPr>
              <w:t xml:space="preserve">
   2.3. Импортированное исходное сырье для производства лекарственных препаратов, получаемых из донорской крови или плазмы, отвечает требованиям законодательства Республики Казахстан.Соблюдаются установленные требования по прослеживаемости от донора до реципиента и в отношении уведомлений о серьезных нежелательных реакциях и серьезных нежелательных явлениях, а также обеспечивается соответствие действующим требованиям к крови и ее компонентам. </w:t>
            </w:r>
          </w:p>
          <w:p>
            <w:pPr>
              <w:spacing w:after="20"/>
              <w:ind w:left="20"/>
              <w:jc w:val="both"/>
            </w:pPr>
            <w:r>
              <w:rPr>
                <w:rFonts w:ascii="Times New Roman"/>
                <w:b w:val="false"/>
                <w:i w:val="false"/>
                <w:color w:val="000000"/>
                <w:sz w:val="20"/>
              </w:rPr>
              <w:t xml:space="preserve">
   2.4. Настоящий Стандарт распространяется на все стадии после забора и проверки крови, например, обработка, включая разделение, заморозка, хранение и транспортирование к производителю. Эта деятельность находится в сфере ответственности Уполномоченного лица предприятия, которое имеет лицензию на производство лекарственных средств. Если специфические этапы обработки, предназначенной для фракционирования плазмы, проводятся в организации по забору/проверке крови, в нем может быть специально назначено Уполномоченное лицо, однако его присутствие и ответственность могут не совпадать с теми, которые выполняет ответственное лицо. Для разрешения этой специфической ситуации и для обеспечения того, что обязанности Уполномоченного лица, предусмотренные законодательством, выполняются надлежащим образом, предприятие по фракционированию (производитель лекарственных препаратов) имеет договор с организацией по забору/переработке крови. Договор отвечает требованиям, описанным в главе 7 части I настоящего Стандарта, в нем устанавливаются соответствующие обязанности и подробные требования для обеспечения качества. Ответственное лицо организации по забору/проверке крови и Уполномоченное лицо предприятия по фракционированию (производителя лекарственных препаратов) принимает участие в составлении такого договора. Для подтверждения того, что организация по забору/проверке крови исполняет условия такого договора, Уполномоченное лицо обеспечивает проведение соответствующих аудитов. </w:t>
            </w:r>
          </w:p>
          <w:p>
            <w:pPr>
              <w:spacing w:after="20"/>
              <w:ind w:left="20"/>
              <w:jc w:val="both"/>
            </w:pPr>
            <w:r>
              <w:rPr>
                <w:rFonts w:ascii="Times New Roman"/>
                <w:b w:val="false"/>
                <w:i w:val="false"/>
                <w:color w:val="000000"/>
                <w:sz w:val="20"/>
              </w:rPr>
              <w:t xml:space="preserve">
   2.5. Специальные требования к документации и другие мероприятия в отношении исходного сырья для получаемых из плазмы лекарственных препаратов указывают в основном досье плазмы. </w:t>
            </w:r>
          </w:p>
          <w:p>
            <w:pPr>
              <w:spacing w:after="20"/>
              <w:ind w:left="20"/>
              <w:jc w:val="both"/>
            </w:pPr>
            <w:r>
              <w:rPr>
                <w:rFonts w:ascii="Times New Roman"/>
                <w:b w:val="false"/>
                <w:i w:val="false"/>
                <w:color w:val="000000"/>
                <w:sz w:val="20"/>
              </w:rPr>
              <w:t>
   </w:t>
            </w:r>
            <w:r>
              <w:rPr>
                <w:rFonts w:ascii="Times New Roman"/>
                <w:b/>
                <w:i w:val="false"/>
                <w:color w:val="000000"/>
                <w:sz w:val="20"/>
              </w:rPr>
              <w:t>3. Управление качеством</w:t>
            </w:r>
          </w:p>
          <w:p>
            <w:pPr>
              <w:spacing w:after="20"/>
              <w:ind w:left="20"/>
              <w:jc w:val="both"/>
            </w:pPr>
            <w:r>
              <w:rPr>
                <w:rFonts w:ascii="Times New Roman"/>
                <w:b w:val="false"/>
                <w:i w:val="false"/>
                <w:color w:val="000000"/>
                <w:sz w:val="20"/>
              </w:rPr>
              <w:t xml:space="preserve">
   3.1. Управление качеством охватывает все стадии от отбора доноров до поставки готовой продукции. Следует выполнять действующие требования в отношении прослеживаемости на этапе, предваряющем поставку плазмы на предприятие по фракционированию, и на сам этап поставки, а также всех стадий, связанных с забором и проверкой донорской крови или плазмы, предназначенных для производства лекарственных препаратов. </w:t>
            </w:r>
          </w:p>
          <w:p>
            <w:pPr>
              <w:spacing w:after="20"/>
              <w:ind w:left="20"/>
              <w:jc w:val="both"/>
            </w:pPr>
            <w:r>
              <w:rPr>
                <w:rFonts w:ascii="Times New Roman"/>
                <w:b w:val="false"/>
                <w:i w:val="false"/>
                <w:color w:val="000000"/>
                <w:sz w:val="20"/>
              </w:rPr>
              <w:t>
   3.2. Забор крови или плазмы, которые используются как сырье для производства лекарственных препаратов, следует проводить в организациях по забору/проверке крови, а проверку проводить в лабораториях, которые применяют системы качества, отвечающие действующим требованиям, имеют соответствующее разрешение, выданное уполномоченным органом, и подлежат регулярному инспектированию. При наличии у производителя программ фракционирования по контрактам для экспорта, он уведомляет об этом уполномоченный орган.</w:t>
            </w:r>
          </w:p>
          <w:p>
            <w:pPr>
              <w:spacing w:after="20"/>
              <w:ind w:left="20"/>
              <w:jc w:val="both"/>
            </w:pPr>
            <w:r>
              <w:rPr>
                <w:rFonts w:ascii="Times New Roman"/>
                <w:b w:val="false"/>
                <w:i w:val="false"/>
                <w:color w:val="000000"/>
                <w:sz w:val="20"/>
              </w:rPr>
              <w:t>
   3.3. В случае импорта плазмы, она поставляется только утвержденными поставщиками, например, организациями по забору/проверке крови, включая внешние склады. Эти поставщики указываются в спецификациях на исходное сырье, установленных предприятием по фракционированию/производству, и утверждаются уполномоченным органом (например, после инспектирования), а также Уполномоченным лицом предприятия по фракционированию. В пункте 6.8 данного Приложения описана оценка и выдача разрешения на использование плазмы (плазмы для фракционирования) как исходного сырья.</w:t>
            </w:r>
          </w:p>
          <w:p>
            <w:pPr>
              <w:spacing w:after="20"/>
              <w:ind w:left="20"/>
              <w:jc w:val="both"/>
            </w:pPr>
            <w:r>
              <w:rPr>
                <w:rFonts w:ascii="Times New Roman"/>
                <w:b w:val="false"/>
                <w:i w:val="false"/>
                <w:color w:val="000000"/>
                <w:sz w:val="20"/>
              </w:rPr>
              <w:t xml:space="preserve">
   3.4. Предприятие по фракционированию/производитель готовых лекарственных препаратов в соответствии с письменными процедурами проводит квалификацию поставщиков, включая их аудиты. Следует проводить регулярную повторную квалификацию поставщиков с учетом подхода, основанного на оценке рисков. </w:t>
            </w:r>
          </w:p>
          <w:p>
            <w:pPr>
              <w:spacing w:after="20"/>
              <w:ind w:left="20"/>
              <w:jc w:val="both"/>
            </w:pPr>
            <w:r>
              <w:rPr>
                <w:rFonts w:ascii="Times New Roman"/>
                <w:b w:val="false"/>
                <w:i w:val="false"/>
                <w:color w:val="000000"/>
                <w:sz w:val="20"/>
              </w:rPr>
              <w:t>
   3.5. Предприятие по фракционированию/производитель готовых лекарственных препаратов заключает письменные договоры с организациями по забору/проверке крови, которые являются поставщиками.</w:t>
            </w:r>
          </w:p>
          <w:p>
            <w:pPr>
              <w:spacing w:after="20"/>
              <w:ind w:left="20"/>
              <w:jc w:val="both"/>
            </w:pPr>
            <w:r>
              <w:rPr>
                <w:rFonts w:ascii="Times New Roman"/>
                <w:b w:val="false"/>
                <w:i w:val="false"/>
                <w:color w:val="000000"/>
                <w:sz w:val="20"/>
              </w:rPr>
              <w:t>
   В каждом таком договоре отражаются следующие аспекты:</w:t>
            </w:r>
          </w:p>
          <w:p>
            <w:pPr>
              <w:spacing w:after="20"/>
              <w:ind w:left="20"/>
              <w:jc w:val="both"/>
            </w:pPr>
            <w:r>
              <w:rPr>
                <w:rFonts w:ascii="Times New Roman"/>
                <w:b w:val="false"/>
                <w:i w:val="false"/>
                <w:color w:val="000000"/>
                <w:sz w:val="20"/>
              </w:rPr>
              <w:t>
   определение обязанностей и ответственности;</w:t>
            </w:r>
          </w:p>
          <w:p>
            <w:pPr>
              <w:spacing w:after="20"/>
              <w:ind w:left="20"/>
              <w:jc w:val="both"/>
            </w:pPr>
            <w:r>
              <w:rPr>
                <w:rFonts w:ascii="Times New Roman"/>
                <w:b w:val="false"/>
                <w:i w:val="false"/>
                <w:color w:val="000000"/>
                <w:sz w:val="20"/>
              </w:rPr>
              <w:t>
   требования к системе качества и документации;</w:t>
            </w:r>
          </w:p>
          <w:p>
            <w:pPr>
              <w:spacing w:after="20"/>
              <w:ind w:left="20"/>
              <w:jc w:val="both"/>
            </w:pPr>
            <w:r>
              <w:rPr>
                <w:rFonts w:ascii="Times New Roman"/>
                <w:b w:val="false"/>
                <w:i w:val="false"/>
                <w:color w:val="000000"/>
                <w:sz w:val="20"/>
              </w:rPr>
              <w:t>
   критерии отбора доноров и проведение испытаний;</w:t>
            </w:r>
          </w:p>
          <w:p>
            <w:pPr>
              <w:spacing w:after="20"/>
              <w:ind w:left="20"/>
              <w:jc w:val="both"/>
            </w:pPr>
            <w:r>
              <w:rPr>
                <w:rFonts w:ascii="Times New Roman"/>
                <w:b w:val="false"/>
                <w:i w:val="false"/>
                <w:color w:val="000000"/>
                <w:sz w:val="20"/>
              </w:rPr>
              <w:t>
   требования к разделению крови на компоненты крови и плазму;</w:t>
            </w:r>
          </w:p>
          <w:p>
            <w:pPr>
              <w:spacing w:after="20"/>
              <w:ind w:left="20"/>
              <w:jc w:val="both"/>
            </w:pPr>
            <w:r>
              <w:rPr>
                <w:rFonts w:ascii="Times New Roman"/>
                <w:b w:val="false"/>
                <w:i w:val="false"/>
                <w:color w:val="000000"/>
                <w:sz w:val="20"/>
              </w:rPr>
              <w:t>
   заморозка плазмы;</w:t>
            </w:r>
          </w:p>
          <w:p>
            <w:pPr>
              <w:spacing w:after="20"/>
              <w:ind w:left="20"/>
              <w:jc w:val="both"/>
            </w:pPr>
            <w:r>
              <w:rPr>
                <w:rFonts w:ascii="Times New Roman"/>
                <w:b w:val="false"/>
                <w:i w:val="false"/>
                <w:color w:val="000000"/>
                <w:sz w:val="20"/>
              </w:rPr>
              <w:t>
   хранение и транспортирование плазмы;</w:t>
            </w:r>
          </w:p>
          <w:p>
            <w:pPr>
              <w:spacing w:after="20"/>
              <w:ind w:left="20"/>
              <w:jc w:val="both"/>
            </w:pPr>
            <w:r>
              <w:rPr>
                <w:rFonts w:ascii="Times New Roman"/>
                <w:b w:val="false"/>
                <w:i w:val="false"/>
                <w:color w:val="000000"/>
                <w:sz w:val="20"/>
              </w:rPr>
              <w:t>
   прослеживаемость и информирование после сдачи/забора крови (в том числе о нежелательных явлениях).</w:t>
            </w:r>
          </w:p>
          <w:p>
            <w:pPr>
              <w:spacing w:after="20"/>
              <w:ind w:left="20"/>
              <w:jc w:val="both"/>
            </w:pPr>
            <w:r>
              <w:rPr>
                <w:rFonts w:ascii="Times New Roman"/>
                <w:b w:val="false"/>
                <w:i w:val="false"/>
                <w:color w:val="000000"/>
                <w:sz w:val="20"/>
              </w:rPr>
              <w:t xml:space="preserve">
   На предприятии по фракционированию/производителе лекарственных препаратов в наличии имеются результаты испытаний всех единиц сырья, поставленных организацией по забору/проверке крови. Кроме этого, любая стадия, выполненная по субподряду, предусматривается письменным договором. </w:t>
            </w:r>
          </w:p>
          <w:p>
            <w:pPr>
              <w:spacing w:after="20"/>
              <w:ind w:left="20"/>
              <w:jc w:val="both"/>
            </w:pPr>
            <w:r>
              <w:rPr>
                <w:rFonts w:ascii="Times New Roman"/>
                <w:b w:val="false"/>
                <w:i w:val="false"/>
                <w:color w:val="000000"/>
                <w:sz w:val="20"/>
              </w:rPr>
              <w:t>
   3.6. Для планирования, оценки и документального оформления всех изменений, которые могут оказать влияние на качество и безопасность продукции или прослеживаемость, устанавливается надлежащая система контроля изменений. Необходимо оценивать потенциальное влияние предлагаемых изменений. Следует определить необходимость дополнительных испытаний или проведения валидации, особенно на стадиях инактивации и удаления вирусов.</w:t>
            </w:r>
          </w:p>
          <w:p>
            <w:pPr>
              <w:spacing w:after="20"/>
              <w:ind w:left="20"/>
              <w:jc w:val="both"/>
            </w:pPr>
            <w:r>
              <w:rPr>
                <w:rFonts w:ascii="Times New Roman"/>
                <w:b w:val="false"/>
                <w:i w:val="false"/>
                <w:color w:val="000000"/>
                <w:sz w:val="20"/>
              </w:rPr>
              <w:t>
   3.7. Для минимизации рисков, связанных с инфицирующими агентами и новыми инфицирующими агентами, внедряется надлежащая система мер в отношении безопасности. Такая система включает в себя оценку рисков для того, чтобы:</w:t>
            </w:r>
          </w:p>
          <w:p>
            <w:pPr>
              <w:spacing w:after="20"/>
              <w:ind w:left="20"/>
              <w:jc w:val="both"/>
            </w:pPr>
            <w:r>
              <w:rPr>
                <w:rFonts w:ascii="Times New Roman"/>
                <w:b w:val="false"/>
                <w:i w:val="false"/>
                <w:color w:val="000000"/>
                <w:sz w:val="20"/>
              </w:rPr>
              <w:t>
   определить время удерживания производственного запаса (время внутреннего карантина) перед обработкой плазмы, чтобы изъять дозы, которые вызывают сомнения (дозы, взятые в течение периода определенного законодательством, прежде чем будет установлено, что дозы, взятые от доноров с высоким риском, исключены из обработки, например, в связи с положительным результатом теста);</w:t>
            </w:r>
          </w:p>
          <w:p>
            <w:pPr>
              <w:spacing w:after="20"/>
              <w:ind w:left="20"/>
              <w:jc w:val="both"/>
            </w:pPr>
            <w:r>
              <w:rPr>
                <w:rFonts w:ascii="Times New Roman"/>
                <w:b w:val="false"/>
                <w:i w:val="false"/>
                <w:color w:val="000000"/>
                <w:sz w:val="20"/>
              </w:rPr>
              <w:t>
   учитывать все аспекты, связанные со снижением количества вирусов и (или) испытаний на инфицирующие агенты или их аналоги;</w:t>
            </w:r>
          </w:p>
          <w:p>
            <w:pPr>
              <w:spacing w:after="20"/>
              <w:ind w:left="20"/>
              <w:jc w:val="both"/>
            </w:pPr>
            <w:r>
              <w:rPr>
                <w:rFonts w:ascii="Times New Roman"/>
                <w:b w:val="false"/>
                <w:i w:val="false"/>
                <w:color w:val="000000"/>
                <w:sz w:val="20"/>
              </w:rPr>
              <w:t xml:space="preserve">
   определить возможности снижения количества вирусов, определить размер серии исходного сырья и другие существенные аспекты процесса производства. </w:t>
            </w:r>
          </w:p>
          <w:p>
            <w:pPr>
              <w:spacing w:after="20"/>
              <w:ind w:left="20"/>
              <w:jc w:val="both"/>
            </w:pPr>
            <w:r>
              <w:rPr>
                <w:rFonts w:ascii="Times New Roman"/>
                <w:b w:val="false"/>
                <w:i w:val="false"/>
                <w:color w:val="000000"/>
                <w:sz w:val="20"/>
              </w:rPr>
              <w:t>
   </w:t>
            </w:r>
            <w:r>
              <w:rPr>
                <w:rFonts w:ascii="Times New Roman"/>
                <w:b/>
                <w:i w:val="false"/>
                <w:color w:val="000000"/>
                <w:sz w:val="20"/>
              </w:rPr>
              <w:t>4. Прослеживаемость и мероприятия после забору крови</w:t>
            </w:r>
          </w:p>
          <w:p>
            <w:pPr>
              <w:spacing w:after="20"/>
              <w:ind w:left="20"/>
              <w:jc w:val="both"/>
            </w:pPr>
            <w:r>
              <w:rPr>
                <w:rFonts w:ascii="Times New Roman"/>
                <w:b w:val="false"/>
                <w:i w:val="false"/>
                <w:color w:val="000000"/>
                <w:sz w:val="20"/>
              </w:rPr>
              <w:t xml:space="preserve">
   4.1. В наличии имеется система, которая дает возможность прослеживаемости от донора до дозы, забранной в организации по забору/проверке крови, и далее, до серии лекарственного препарата, а также в обратном направлении. </w:t>
            </w:r>
          </w:p>
          <w:p>
            <w:pPr>
              <w:spacing w:after="0"/>
              <w:ind w:left="0"/>
              <w:jc w:val="both"/>
            </w:pPr>
            <w:r>
              <w:rPr>
                <w:rFonts w:ascii="Times New Roman"/>
                <w:b w:val="false"/>
                <w:i w:val="false"/>
                <w:color w:val="000000"/>
                <w:sz w:val="20"/>
              </w:rPr>
              <w:t>
   4.2. Определяется ответственность за прослеживаемость продукции (отсутствие какого-либо этапа не допускается):</w:t>
            </w:r>
            <w:r>
              <w:br/>
            </w:r>
            <w:r>
              <w:rPr>
                <w:rFonts w:ascii="Times New Roman"/>
                <w:b w:val="false"/>
                <w:i w:val="false"/>
                <w:color w:val="000000"/>
                <w:sz w:val="20"/>
              </w:rPr>
              <w:t>
</w:t>
            </w:r>
            <w:r>
              <w:rPr>
                <w:rFonts w:ascii="Times New Roman"/>
                <w:b w:val="false"/>
                <w:i w:val="false"/>
                <w:color w:val="000000"/>
                <w:sz w:val="20"/>
              </w:rPr>
              <w:t>от донора и дозы, взятой в организации по забору/проверке крови, до предприятия по фракционированию (это является обязанностью ответственного лица в организации по забору/проверке крови);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 предприятия по фракционированию до производителя лекарственного препарата и какого-либо субподрядчика, независимо от того, является ли он производителем лекарственного препарата или медицинского изделия (это является обязанностью Уполномоченного лица).</w:t>
            </w:r>
          </w:p>
          <w:p>
            <w:pPr>
              <w:spacing w:after="20"/>
              <w:ind w:left="20"/>
              <w:jc w:val="both"/>
            </w:pPr>
            <w:r>
              <w:rPr>
                <w:rFonts w:ascii="Times New Roman"/>
                <w:b w:val="false"/>
                <w:i w:val="false"/>
                <w:color w:val="000000"/>
                <w:sz w:val="20"/>
              </w:rPr>
              <w:t>
   4.3. Данные, необходимые для полной прослеживаемости, необходимо хранить не менее 30 лет, если иное не установлено законодательством.</w:t>
            </w:r>
          </w:p>
          <w:p>
            <w:pPr>
              <w:spacing w:after="20"/>
              <w:ind w:left="20"/>
              <w:jc w:val="both"/>
            </w:pPr>
            <w:r>
              <w:rPr>
                <w:rFonts w:ascii="Times New Roman"/>
                <w:b w:val="false"/>
                <w:i w:val="false"/>
                <w:color w:val="000000"/>
                <w:sz w:val="20"/>
              </w:rPr>
              <w:t xml:space="preserve">
   4.4. Договоры, указанные в пункте 3.5 данного Приложения, между организациями по забору или проверке крови, в том числе контрольными лабораториями и предприятием по фракционированию или производителем гарантируют, что прослеживаемость и мероприятия после забора крови охватывают всю цепь от забора плазмы до всех производителей, ответственных за выдачу разрешения на выпуск готовой продукции. </w:t>
            </w:r>
          </w:p>
          <w:p>
            <w:pPr>
              <w:spacing w:after="20"/>
              <w:ind w:left="20"/>
              <w:jc w:val="both"/>
            </w:pPr>
            <w:r>
              <w:rPr>
                <w:rFonts w:ascii="Times New Roman"/>
                <w:b w:val="false"/>
                <w:i w:val="false"/>
                <w:color w:val="000000"/>
                <w:sz w:val="20"/>
              </w:rPr>
              <w:t>
   4.5. Организации по забору/проверке крови уведомляют предприятие по фракционированию/производителя о каком-либо случае, который может повлиять на качество или безопасность продукции, а также о другой важной информации, полученной после приема донора или выдачи разрешения на выпуск плазмы, например, обратную информацию (информацию, полученную после забора крови). Если предприятие по фракционированию/производитель находится на территории другой страны, информацию следует сообщить производителю, ответственному за выдачу разрешения на выпуск лекарственных препаратов. В обоих случаях такая информация, если она имеет отношение к качеству и безопасности готовой продукции, доводится до уполномоченного органа, в ведении которого находится предприятие по фракционированию/производитель лекарственных препаратов.</w:t>
            </w:r>
          </w:p>
          <w:p>
            <w:pPr>
              <w:spacing w:after="20"/>
              <w:ind w:left="20"/>
              <w:jc w:val="both"/>
            </w:pPr>
            <w:r>
              <w:rPr>
                <w:rFonts w:ascii="Times New Roman"/>
                <w:b w:val="false"/>
                <w:i w:val="false"/>
                <w:color w:val="000000"/>
                <w:sz w:val="20"/>
              </w:rPr>
              <w:t xml:space="preserve">
   4.6. В случае, если результатом инспектирования уполномоченным органом организации по забору/проверке крови является аннулирование существующей лицензии/сертификата/разрешения, необходимо также сделать уведомление, как указано в пункте 4.5 данного Приложения. </w:t>
            </w:r>
          </w:p>
          <w:p>
            <w:pPr>
              <w:spacing w:after="20"/>
              <w:ind w:left="20"/>
              <w:jc w:val="both"/>
            </w:pPr>
            <w:r>
              <w:rPr>
                <w:rFonts w:ascii="Times New Roman"/>
                <w:b w:val="false"/>
                <w:i w:val="false"/>
                <w:color w:val="000000"/>
                <w:sz w:val="20"/>
              </w:rPr>
              <w:t>
   4.7. В стандартных операционных процедурах описывается управление информацией, полученной после забора крови, при этом учитываются лицензионные требования и процедуры информирования уполномоченных органов. Необходимо предусмотреть соответствующие мероприятия после забора крови, которые установлены требованиями законодательства.</w:t>
            </w:r>
          </w:p>
          <w:p>
            <w:pPr>
              <w:spacing w:after="20"/>
              <w:ind w:left="20"/>
              <w:jc w:val="both"/>
            </w:pPr>
            <w:r>
              <w:rPr>
                <w:rFonts w:ascii="Times New Roman"/>
                <w:b w:val="false"/>
                <w:i w:val="false"/>
                <w:color w:val="000000"/>
                <w:sz w:val="20"/>
              </w:rPr>
              <w:t>
   </w:t>
            </w:r>
            <w:r>
              <w:rPr>
                <w:rFonts w:ascii="Times New Roman"/>
                <w:b/>
                <w:i w:val="false"/>
                <w:color w:val="000000"/>
                <w:sz w:val="20"/>
              </w:rPr>
              <w:t>5. Помещения и оборудование</w:t>
            </w:r>
          </w:p>
          <w:p>
            <w:pPr>
              <w:spacing w:after="20"/>
              <w:ind w:left="20"/>
              <w:jc w:val="both"/>
            </w:pPr>
            <w:r>
              <w:rPr>
                <w:rFonts w:ascii="Times New Roman"/>
                <w:b w:val="false"/>
                <w:i w:val="false"/>
                <w:color w:val="000000"/>
                <w:sz w:val="20"/>
              </w:rPr>
              <w:t>
   5.1. С целью сведения к минимуму микробной контаминации или внесения постороннего материала в серию плазмы оттаивание и объединение единиц плазмы следует производить в зонах, которые соответствуют установленным в Приложении 1 к настоящему Стандарту требованиям класса чистоты не менее D. Следует использовать соответствующую одежду, включая маски на лице и перчатки. Все другие операции с открытой продукцией в ходе технологического процесса следует осуществлять в условиях, которые удовлетворяют соответствующим требованиям Приложения 1 к настоящему Стандарту.</w:t>
            </w:r>
          </w:p>
          <w:p>
            <w:pPr>
              <w:spacing w:after="20"/>
              <w:ind w:left="20"/>
              <w:jc w:val="both"/>
            </w:pPr>
            <w:r>
              <w:rPr>
                <w:rFonts w:ascii="Times New Roman"/>
                <w:b w:val="false"/>
                <w:i w:val="false"/>
                <w:color w:val="000000"/>
                <w:sz w:val="20"/>
              </w:rPr>
              <w:t>
   5.2. В соответствии требованиями Приложения 1 к настоящему Стандарту осуществляют регулярный мониторинг производственной среды, особенно во время открывания контейнеров с плазмой, а также во время процессов оттаивания и объединения. Устанавливаются критерии приемлемости.</w:t>
            </w:r>
          </w:p>
          <w:p>
            <w:pPr>
              <w:spacing w:after="20"/>
              <w:ind w:left="20"/>
              <w:jc w:val="both"/>
            </w:pPr>
            <w:r>
              <w:rPr>
                <w:rFonts w:ascii="Times New Roman"/>
                <w:b w:val="false"/>
                <w:i w:val="false"/>
                <w:color w:val="000000"/>
                <w:sz w:val="20"/>
              </w:rPr>
              <w:t xml:space="preserve">
   5.3. При производстве лекарственных препаратов, получаемых из донорской плазмы, используются соответствующие методы инактивации или удаления вирусов и принимаются соответствующие меры по предотвращению контаминации обработанной продукции еще не обработанной продукцией. Для стадий технологического процесса, которые проводятся после вирусной инактивации, следует использовать специально предназначенные отдельные помещения и оборудование. </w:t>
            </w:r>
          </w:p>
          <w:p>
            <w:pPr>
              <w:spacing w:after="20"/>
              <w:ind w:left="20"/>
              <w:jc w:val="both"/>
            </w:pPr>
            <w:r>
              <w:rPr>
                <w:rFonts w:ascii="Times New Roman"/>
                <w:b w:val="false"/>
                <w:i w:val="false"/>
                <w:color w:val="000000"/>
                <w:sz w:val="20"/>
              </w:rPr>
              <w:t>
   5.4. Для того, чтобы не создавать риски контаминации текущего производства вирусами, которые используются во время валидационных испытаний, валидацию методов снижения количества вирусов не проводят с использованием производственных технических средств. Валидацию в указанном случае проводят согласно соответствующим нормативным правовым актам.</w:t>
            </w:r>
          </w:p>
          <w:p>
            <w:pPr>
              <w:spacing w:after="20"/>
              <w:ind w:left="20"/>
              <w:jc w:val="both"/>
            </w:pPr>
            <w:r>
              <w:rPr>
                <w:rFonts w:ascii="Times New Roman"/>
                <w:b w:val="false"/>
                <w:i w:val="false"/>
                <w:color w:val="000000"/>
                <w:sz w:val="20"/>
              </w:rPr>
              <w:t>
   </w:t>
            </w:r>
            <w:r>
              <w:rPr>
                <w:rFonts w:ascii="Times New Roman"/>
                <w:b/>
                <w:i w:val="false"/>
                <w:color w:val="000000"/>
                <w:sz w:val="20"/>
              </w:rPr>
              <w:t>6. Производство</w:t>
            </w:r>
          </w:p>
          <w:p>
            <w:pPr>
              <w:spacing w:after="20"/>
              <w:ind w:left="20"/>
              <w:jc w:val="both"/>
            </w:pPr>
            <w:r>
              <w:rPr>
                <w:rFonts w:ascii="Times New Roman"/>
                <w:b w:val="false"/>
                <w:i w:val="false"/>
                <w:color w:val="000000"/>
                <w:sz w:val="20"/>
              </w:rPr>
              <w:t>
   </w:t>
            </w:r>
            <w:r>
              <w:rPr>
                <w:rFonts w:ascii="Times New Roman"/>
                <w:b/>
                <w:i w:val="false"/>
                <w:color w:val="000000"/>
                <w:sz w:val="20"/>
              </w:rPr>
              <w:t>Исходные материалы</w:t>
            </w:r>
          </w:p>
          <w:p>
            <w:pPr>
              <w:spacing w:after="20"/>
              <w:ind w:left="20"/>
              <w:jc w:val="both"/>
            </w:pPr>
            <w:r>
              <w:rPr>
                <w:rFonts w:ascii="Times New Roman"/>
                <w:b w:val="false"/>
                <w:i w:val="false"/>
                <w:color w:val="000000"/>
                <w:sz w:val="20"/>
              </w:rPr>
              <w:t xml:space="preserve">
   6.1. Исходные материалы соответствуют требованиям соответствующих фармакопейных статей, а также удовлетворяют условиям, которые содержатся в соответствующем регистрационном досье, в том числе в основном досье плазмы. Эти требования излагаются в письменном договоре, как указано в пункте 3.5. данного Приложения, между организациями по забору или проверке крови и предприятием по фракционированию или производителем. Их контролируют с помощью системы качества. </w:t>
            </w:r>
          </w:p>
          <w:p>
            <w:pPr>
              <w:spacing w:after="20"/>
              <w:ind w:left="20"/>
              <w:jc w:val="both"/>
            </w:pPr>
            <w:r>
              <w:rPr>
                <w:rFonts w:ascii="Times New Roman"/>
                <w:b w:val="false"/>
                <w:i w:val="false"/>
                <w:color w:val="000000"/>
                <w:sz w:val="20"/>
              </w:rPr>
              <w:t>
   6.2. Исходные материалы для программ фракционирования по контракту для третьих стран соответствуют требованиям, указанным в пункте 2.4 данного Приложения.</w:t>
            </w:r>
          </w:p>
          <w:p>
            <w:pPr>
              <w:spacing w:after="20"/>
              <w:ind w:left="20"/>
              <w:jc w:val="both"/>
            </w:pPr>
            <w:r>
              <w:rPr>
                <w:rFonts w:ascii="Times New Roman"/>
                <w:b w:val="false"/>
                <w:i w:val="false"/>
                <w:color w:val="000000"/>
                <w:sz w:val="20"/>
              </w:rPr>
              <w:t xml:space="preserve">
   6.3. В зависимости от типа забора требуются различные стадии обработки. Все стадии обработки определяются в письменных инструкциях. </w:t>
            </w:r>
          </w:p>
          <w:p>
            <w:pPr>
              <w:spacing w:after="20"/>
              <w:ind w:left="20"/>
              <w:jc w:val="both"/>
            </w:pPr>
            <w:r>
              <w:rPr>
                <w:rFonts w:ascii="Times New Roman"/>
                <w:b w:val="false"/>
                <w:i w:val="false"/>
                <w:color w:val="000000"/>
                <w:sz w:val="20"/>
              </w:rPr>
              <w:t xml:space="preserve">
   6.4. Принимают меры для избежания какого-либо перепутывания единиц и образцов, особенно во время маркировки, а также какой-либо контаминации. </w:t>
            </w:r>
          </w:p>
          <w:p>
            <w:pPr>
              <w:spacing w:after="20"/>
              <w:ind w:left="20"/>
              <w:jc w:val="both"/>
            </w:pPr>
            <w:r>
              <w:rPr>
                <w:rFonts w:ascii="Times New Roman"/>
                <w:b w:val="false"/>
                <w:i w:val="false"/>
                <w:color w:val="000000"/>
                <w:sz w:val="20"/>
              </w:rPr>
              <w:t>
   6.5. Замораживание является критической стадией выделения протеинов, которые в плазме являются лабильными, например, факторов свертываемости. Поэтому замораживание осуществляют с помощью валидированных методов как можно быстрее после забора крови. При этом придерживаются требований соответствующих фармакопейных статей.</w:t>
            </w:r>
          </w:p>
          <w:p>
            <w:pPr>
              <w:spacing w:after="20"/>
              <w:ind w:left="20"/>
              <w:jc w:val="both"/>
            </w:pPr>
            <w:r>
              <w:rPr>
                <w:rFonts w:ascii="Times New Roman"/>
                <w:b w:val="false"/>
                <w:i w:val="false"/>
                <w:color w:val="000000"/>
                <w:sz w:val="20"/>
              </w:rPr>
              <w:t xml:space="preserve">
   6.6. Условия хранения и транспортирования крови или плазмы к предприятию по фракционированию определяются и документально оформляются на всех этапах цепи поставки. О каких-либо отклонениях от установленной температуры уведомляют предприятие по фракционированию. Используют оборудование, прошедшее квалификацию, и процедуры, прошедшие валидацию. </w:t>
            </w:r>
          </w:p>
          <w:p>
            <w:pPr>
              <w:spacing w:after="20"/>
              <w:ind w:left="20"/>
              <w:jc w:val="both"/>
            </w:pPr>
            <w:r>
              <w:rPr>
                <w:rFonts w:ascii="Times New Roman"/>
                <w:b w:val="false"/>
                <w:i w:val="false"/>
                <w:color w:val="000000"/>
                <w:sz w:val="20"/>
              </w:rPr>
              <w:t>
   </w:t>
            </w:r>
            <w:r>
              <w:rPr>
                <w:rFonts w:ascii="Times New Roman"/>
                <w:b/>
                <w:i w:val="false"/>
                <w:color w:val="000000"/>
                <w:sz w:val="20"/>
              </w:rPr>
              <w:t>Оценка/выдача разрешения на выпуск плазмы для фракционирования, используемой как исходное сырье</w:t>
            </w:r>
          </w:p>
          <w:p>
            <w:pPr>
              <w:spacing w:after="20"/>
              <w:ind w:left="20"/>
              <w:jc w:val="both"/>
            </w:pPr>
            <w:r>
              <w:rPr>
                <w:rFonts w:ascii="Times New Roman"/>
                <w:b w:val="false"/>
                <w:i w:val="false"/>
                <w:color w:val="000000"/>
                <w:sz w:val="20"/>
              </w:rPr>
              <w:t>
   6.7. Разрешение на выпуск плазмы для фракционирования (из карантина) производится только посредством систем и процедур, которые обеспечивают качество, необходимое для производства готовой продукции. Плазма поставляется предприятию по фракционированию или производителю только после документального подтверждения ответственным лицом или, в случае забора крови или плазмы в третьих странах, лицом, имеющим эквивалентные обязанности и квалификацию, того, что плазма для фракционирования соответствует требованиям и спецификациям, установленным в соответствующих письменных договорах, а также того, что все стадии были проведены в соответствии с настоящим Стандартом.</w:t>
            </w:r>
          </w:p>
          <w:p>
            <w:pPr>
              <w:spacing w:after="20"/>
              <w:ind w:left="20"/>
              <w:jc w:val="both"/>
            </w:pPr>
            <w:r>
              <w:rPr>
                <w:rFonts w:ascii="Times New Roman"/>
                <w:b w:val="false"/>
                <w:i w:val="false"/>
                <w:color w:val="000000"/>
                <w:sz w:val="20"/>
              </w:rPr>
              <w:t>
   6.8. Использование всех контейнеров с плазмой для фракционирования при поступлении на предприятие по фракционированию разрешается Уполномоченным лицом. Уполномоченное лицо подтверждает, что плазма соответствует всем требованиям фармакопейных статей, а также удовлетворяет условиям соответствующего регистрационного досье, в том числе основного досье плазмы, или, в случае использования плазмы для программ фракционирования по контракту для третьих стран, всем требованиям, указанным в пункте 2.4 данного Приложения.</w:t>
            </w:r>
          </w:p>
          <w:p>
            <w:pPr>
              <w:spacing w:after="20"/>
              <w:ind w:left="20"/>
              <w:jc w:val="both"/>
            </w:pPr>
            <w:r>
              <w:rPr>
                <w:rFonts w:ascii="Times New Roman"/>
                <w:b w:val="false"/>
                <w:i w:val="false"/>
                <w:color w:val="000000"/>
                <w:sz w:val="20"/>
              </w:rPr>
              <w:t>
   </w:t>
            </w:r>
            <w:r>
              <w:rPr>
                <w:rFonts w:ascii="Times New Roman"/>
                <w:b/>
                <w:i w:val="false"/>
                <w:color w:val="000000"/>
                <w:sz w:val="20"/>
              </w:rPr>
              <w:t>Обработка плазмы для фракционирования</w:t>
            </w:r>
          </w:p>
          <w:p>
            <w:pPr>
              <w:spacing w:after="20"/>
              <w:ind w:left="20"/>
              <w:jc w:val="both"/>
            </w:pPr>
            <w:r>
              <w:rPr>
                <w:rFonts w:ascii="Times New Roman"/>
                <w:b w:val="false"/>
                <w:i w:val="false"/>
                <w:color w:val="000000"/>
                <w:sz w:val="20"/>
              </w:rPr>
              <w:t xml:space="preserve">
   6.9. Стадии процесса фракционирования различаются в зависимости от продукции и производителя. Они включают различные операции фракционирования/очистки, а некоторые из них способствуют инактивации и (или) удалению возможной контаминации. </w:t>
            </w:r>
          </w:p>
          <w:p>
            <w:pPr>
              <w:spacing w:after="20"/>
              <w:ind w:left="20"/>
              <w:jc w:val="both"/>
            </w:pPr>
            <w:r>
              <w:rPr>
                <w:rFonts w:ascii="Times New Roman"/>
                <w:b w:val="false"/>
                <w:i w:val="false"/>
                <w:color w:val="000000"/>
                <w:sz w:val="20"/>
              </w:rPr>
              <w:t xml:space="preserve">
   6.10. Устанавливают требования к процессам объединения, отбора проб из объединенной плазмы, фракционирования или очистки и инактивации или удаления вирусов и строго их придерживаются. </w:t>
            </w:r>
          </w:p>
          <w:p>
            <w:pPr>
              <w:spacing w:after="20"/>
              <w:ind w:left="20"/>
              <w:jc w:val="both"/>
            </w:pPr>
            <w:r>
              <w:rPr>
                <w:rFonts w:ascii="Times New Roman"/>
                <w:b w:val="false"/>
                <w:i w:val="false"/>
                <w:color w:val="000000"/>
                <w:sz w:val="20"/>
              </w:rPr>
              <w:t xml:space="preserve">
   6.11. Методы, используемые в процессе вирусной инактивации, применяют со строгим соблюдением валидированных процедур. Эти методы соответствуют методам, которые были использованы при валидации процедур вирусной инактивации. Выполняется тщательное расследование всех неудавшихся процедур вирусной инактивации. Соблюдение валидированного технологического процесса является особенно важным в процедурах снижения количества вирусов, поскольку какие-либо отклонения представляют риски для безопасности готовой продукции. В наличии имеются процедуры, которые учитывают эти риски. </w:t>
            </w:r>
          </w:p>
          <w:p>
            <w:pPr>
              <w:spacing w:after="20"/>
              <w:ind w:left="20"/>
              <w:jc w:val="both"/>
            </w:pPr>
            <w:r>
              <w:rPr>
                <w:rFonts w:ascii="Times New Roman"/>
                <w:b w:val="false"/>
                <w:i w:val="false"/>
                <w:color w:val="000000"/>
                <w:sz w:val="20"/>
              </w:rPr>
              <w:t xml:space="preserve">
   6.12. Какую-либо повторную обработку или переработку производят только после проведения мероприятий по управлению рисками для качества и только на определенных стадиях технологического процесса, что указано в соответствующем регистрационном досье. </w:t>
            </w:r>
          </w:p>
          <w:p>
            <w:pPr>
              <w:spacing w:after="20"/>
              <w:ind w:left="20"/>
              <w:jc w:val="both"/>
            </w:pPr>
            <w:r>
              <w:rPr>
                <w:rFonts w:ascii="Times New Roman"/>
                <w:b w:val="false"/>
                <w:i w:val="false"/>
                <w:color w:val="000000"/>
                <w:sz w:val="20"/>
              </w:rPr>
              <w:t xml:space="preserve">
   6.13. На предприятии имеется система для четкого разделения/различения лекарственных препаратов или промежуточной продукции, которые прошли процедуру инактивации/удаления вирусов и тех, которые еще не прошли такую процедуру. </w:t>
            </w:r>
          </w:p>
          <w:p>
            <w:pPr>
              <w:spacing w:after="20"/>
              <w:ind w:left="20"/>
              <w:jc w:val="both"/>
            </w:pPr>
            <w:r>
              <w:rPr>
                <w:rFonts w:ascii="Times New Roman"/>
                <w:b w:val="false"/>
                <w:i w:val="false"/>
                <w:color w:val="000000"/>
                <w:sz w:val="20"/>
              </w:rPr>
              <w:t>
   6.14. В зависимости от результата тщательно проведенного процесса управления рисками (с учетом возможных отличий в эпидемиологических данных) может быть разрешено производство по принципу производственных циклов в случае, если на одном предприятии обрабатывают плазму/промежуточную продукцию различного происхождения, включая необходимые процедуры четкого разделения и наличие установленных валилидированных процедур очистки. Требования для таких мероприятий основываются на соответствующих нормативных правовых актах. С помощью процесса управления рисками решается вопрос, необходимо ли использовать специальное оборудование в случае программ фракционирования по контракту с третьими странами.</w:t>
            </w:r>
          </w:p>
          <w:p>
            <w:pPr>
              <w:spacing w:after="20"/>
              <w:ind w:left="20"/>
              <w:jc w:val="both"/>
            </w:pPr>
            <w:r>
              <w:rPr>
                <w:rFonts w:ascii="Times New Roman"/>
                <w:b w:val="false"/>
                <w:i w:val="false"/>
                <w:color w:val="000000"/>
                <w:sz w:val="20"/>
              </w:rPr>
              <w:t xml:space="preserve">
   6.15. Для промежуточной продукции, предназначенной для хранения, следует установить срок хранения на основании данных о стабильности. </w:t>
            </w:r>
          </w:p>
          <w:p>
            <w:pPr>
              <w:spacing w:after="20"/>
              <w:ind w:left="20"/>
              <w:jc w:val="both"/>
            </w:pPr>
            <w:r>
              <w:rPr>
                <w:rFonts w:ascii="Times New Roman"/>
                <w:b w:val="false"/>
                <w:i w:val="false"/>
                <w:color w:val="000000"/>
                <w:sz w:val="20"/>
              </w:rPr>
              <w:t xml:space="preserve">
   6.16. Устанавливаются и документально оформляются требования к хранению и транспортированию промежуточной продукции и готовых лекарственных препаратов на всех этапах цепи поставки. Следует использовать оборудование, которое прошло квалификацию и процедуры, которые прошли валидацию. </w:t>
            </w:r>
          </w:p>
          <w:p>
            <w:pPr>
              <w:spacing w:after="20"/>
              <w:ind w:left="20"/>
              <w:jc w:val="both"/>
            </w:pPr>
            <w:r>
              <w:rPr>
                <w:rFonts w:ascii="Times New Roman"/>
                <w:b w:val="false"/>
                <w:i w:val="false"/>
                <w:color w:val="000000"/>
                <w:sz w:val="20"/>
              </w:rPr>
              <w:t>
   </w:t>
            </w:r>
            <w:r>
              <w:rPr>
                <w:rFonts w:ascii="Times New Roman"/>
                <w:b/>
                <w:i w:val="false"/>
                <w:color w:val="000000"/>
                <w:sz w:val="20"/>
              </w:rPr>
              <w:t>7. Контроль качества</w:t>
            </w:r>
          </w:p>
          <w:p>
            <w:pPr>
              <w:spacing w:after="20"/>
              <w:ind w:left="20"/>
              <w:jc w:val="both"/>
            </w:pPr>
            <w:r>
              <w:rPr>
                <w:rFonts w:ascii="Times New Roman"/>
                <w:b w:val="false"/>
                <w:i w:val="false"/>
                <w:color w:val="000000"/>
                <w:sz w:val="20"/>
              </w:rPr>
              <w:t xml:space="preserve">
   7.1. Требования к испытаниям на вирусы или другие инфицирующие агенты следует устанавливать с учетом новых знаний об инфицирующих агентах и наличия вилидированных методов испытаний. </w:t>
            </w:r>
          </w:p>
          <w:p>
            <w:pPr>
              <w:spacing w:after="20"/>
              <w:ind w:left="20"/>
              <w:jc w:val="both"/>
            </w:pPr>
            <w:r>
              <w:rPr>
                <w:rFonts w:ascii="Times New Roman"/>
                <w:b w:val="false"/>
                <w:i w:val="false"/>
                <w:color w:val="000000"/>
                <w:sz w:val="20"/>
              </w:rPr>
              <w:t>
   7.2. Первый однородный пул плазмы (например, после отделения криопреципитата от пула плазмы) следует контролировать с использованием валидированных методов с надлежащей чувствительностью и специфичностью согласно соответствующим фармакопейным требованиям.</w:t>
            </w:r>
          </w:p>
          <w:p>
            <w:pPr>
              <w:spacing w:after="20"/>
              <w:ind w:left="20"/>
              <w:jc w:val="both"/>
            </w:pPr>
            <w:r>
              <w:rPr>
                <w:rFonts w:ascii="Times New Roman"/>
                <w:b w:val="false"/>
                <w:i w:val="false"/>
                <w:color w:val="000000"/>
                <w:sz w:val="20"/>
              </w:rPr>
              <w:t>
   </w:t>
            </w:r>
            <w:r>
              <w:rPr>
                <w:rFonts w:ascii="Times New Roman"/>
                <w:b/>
                <w:i w:val="false"/>
                <w:color w:val="000000"/>
                <w:sz w:val="20"/>
              </w:rPr>
              <w:t>8. Выдача разрешения на выпуск промежуточной и готовой продукции</w:t>
            </w:r>
          </w:p>
          <w:p>
            <w:pPr>
              <w:spacing w:after="20"/>
              <w:ind w:left="20"/>
              <w:jc w:val="both"/>
            </w:pPr>
            <w:r>
              <w:rPr>
                <w:rFonts w:ascii="Times New Roman"/>
                <w:b w:val="false"/>
                <w:i w:val="false"/>
                <w:color w:val="000000"/>
                <w:sz w:val="20"/>
              </w:rPr>
              <w:t>
   8.1. Разрешается выпуск только серий, произведенных из пулов плазмы, которые были признаны в результате контроля негативными в отношении вирус-маркеров/антител а также соответствующих фармакопейным требованиям (включая какие-либо специальные пределы, ограничивающие содержание вирусов) и утвержденным спецификациям (например, основному досье плазмы).</w:t>
            </w:r>
          </w:p>
          <w:p>
            <w:pPr>
              <w:spacing w:after="20"/>
              <w:ind w:left="20"/>
              <w:jc w:val="both"/>
            </w:pPr>
            <w:r>
              <w:rPr>
                <w:rFonts w:ascii="Times New Roman"/>
                <w:b w:val="false"/>
                <w:i w:val="false"/>
                <w:color w:val="000000"/>
                <w:sz w:val="20"/>
              </w:rPr>
              <w:t xml:space="preserve">
   8.2. Выдача разрешения на выпуск промежуточной продукции, предназначенной для дальнейшей обработки внутри предприятия или поставки на другой предприятие, а также выдача разрешения на выпуск готовых лекарственных препаратов осуществляется Уполномоченным лицом с соблюдением требований утвержденного регистрационного досье. </w:t>
            </w:r>
          </w:p>
          <w:p>
            <w:pPr>
              <w:spacing w:after="20"/>
              <w:ind w:left="20"/>
              <w:jc w:val="both"/>
            </w:pPr>
            <w:r>
              <w:rPr>
                <w:rFonts w:ascii="Times New Roman"/>
                <w:b w:val="false"/>
                <w:i w:val="false"/>
                <w:color w:val="000000"/>
                <w:sz w:val="20"/>
              </w:rPr>
              <w:t xml:space="preserve">
   8.3. Уполномоченное лицо осуществляет выдачу разрешения на выпуск промежуточной или готовой продукции, используемой для программ фракционирования по контракту для экспорта, на основании нормативов, согласованных с заказчиком, а также в соответствии с требованиями настоящего Стандарта. </w:t>
            </w:r>
          </w:p>
          <w:p>
            <w:pPr>
              <w:spacing w:after="20"/>
              <w:ind w:left="20"/>
              <w:jc w:val="both"/>
            </w:pPr>
            <w:r>
              <w:rPr>
                <w:rFonts w:ascii="Times New Roman"/>
                <w:b w:val="false"/>
                <w:i w:val="false"/>
                <w:color w:val="000000"/>
                <w:sz w:val="20"/>
              </w:rPr>
              <w:t>
   </w:t>
            </w:r>
            <w:r>
              <w:rPr>
                <w:rFonts w:ascii="Times New Roman"/>
                <w:b/>
                <w:i w:val="false"/>
                <w:color w:val="000000"/>
                <w:sz w:val="20"/>
              </w:rPr>
              <w:t>9. Хранение образцов пулов плазмы</w:t>
            </w:r>
          </w:p>
          <w:p>
            <w:pPr>
              <w:spacing w:after="20"/>
              <w:ind w:left="20"/>
              <w:jc w:val="both"/>
            </w:pPr>
            <w:r>
              <w:rPr>
                <w:rFonts w:ascii="Times New Roman"/>
                <w:b w:val="false"/>
                <w:i w:val="false"/>
                <w:color w:val="000000"/>
                <w:sz w:val="20"/>
              </w:rPr>
              <w:t>
   9.1. Один пул плазмы может быть использован для производства нескольких серий и (или) лекарственных препаратов. Контрольные образцы каждого пула плазмы, а также соответствующие записи следует хранить на менее одного года после окончания срока хранения полученного из этого пула лекарственного препарата с наибольшим сроком хранения из всех лекарственных препаратов, полученных из этого пула плазмы.  </w:t>
            </w:r>
          </w:p>
          <w:p>
            <w:pPr>
              <w:spacing w:after="20"/>
              <w:ind w:left="20"/>
              <w:jc w:val="both"/>
            </w:pPr>
            <w:r>
              <w:rPr>
                <w:rFonts w:ascii="Times New Roman"/>
                <w:b w:val="false"/>
                <w:i w:val="false"/>
                <w:color w:val="000000"/>
                <w:sz w:val="20"/>
              </w:rPr>
              <w:t>
   </w:t>
            </w:r>
            <w:r>
              <w:rPr>
                <w:rFonts w:ascii="Times New Roman"/>
                <w:b/>
                <w:i w:val="false"/>
                <w:color w:val="000000"/>
                <w:sz w:val="20"/>
              </w:rPr>
              <w:t>10. Удаление отходов</w:t>
            </w:r>
          </w:p>
          <w:p>
            <w:pPr>
              <w:spacing w:after="20"/>
              <w:ind w:left="20"/>
              <w:jc w:val="both"/>
            </w:pPr>
            <w:r>
              <w:rPr>
                <w:rFonts w:ascii="Times New Roman"/>
                <w:b w:val="false"/>
                <w:i w:val="false"/>
                <w:color w:val="000000"/>
                <w:sz w:val="20"/>
              </w:rPr>
              <w:t>
   10.1. Следует иметь письменные процедуры безопасного хранения и удаления отходов, одноразовых и отклоненных материалов (например, контаминированных единиц, единиц от инфицированных доноров, а также крови, плазмы, промежуточной продукции или готовых лекарственных препаратов с истекшим сроком годности), что оформляется документально.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
        <w:gridCol w:w="12233"/>
      </w:tblGrid>
      <w:tr>
        <w:trPr>
          <w:trHeight w:val="30" w:hRule="atLeast"/>
        </w:trPr>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Квалификация и валидация</w:t>
            </w:r>
          </w:p>
          <w:p>
            <w:pPr>
              <w:spacing w:after="20"/>
              <w:ind w:left="20"/>
              <w:jc w:val="both"/>
            </w:pPr>
            <w:r>
              <w:rPr>
                <w:rFonts w:ascii="Times New Roman"/>
                <w:b w:val="false"/>
                <w:i w:val="false"/>
                <w:color w:val="000000"/>
                <w:sz w:val="20"/>
              </w:rPr>
              <w:t>
</w:t>
            </w:r>
            <w:r>
              <w:rPr>
                <w:rFonts w:ascii="Times New Roman"/>
                <w:b/>
                <w:i w:val="false"/>
                <w:color w:val="000000"/>
                <w:sz w:val="20"/>
              </w:rPr>
              <w:t>Принцип</w:t>
            </w:r>
          </w:p>
          <w:p>
            <w:pPr>
              <w:spacing w:after="20"/>
              <w:ind w:left="20"/>
              <w:jc w:val="both"/>
            </w:pPr>
            <w:r>
              <w:rPr>
                <w:rFonts w:ascii="Times New Roman"/>
                <w:b w:val="false"/>
                <w:i w:val="false"/>
                <w:color w:val="000000"/>
                <w:sz w:val="20"/>
              </w:rPr>
              <w:t>
   1. В данном Приложении описаны принципы квалификации и валидации, применимые к производству лекарственных препаратов. С целью доказательства соответствия параметров критических процессов (оборудования) заданным требованиям производители лекарственных средств проводят валидацию процессов и оборудования, используемых при производстве лекарственных средств. Валидация также проводится при существенных изменениях в помещениях, оборудовании и процессах, которые могут оказать влияние на качество продукции. Для определения состава и объема работ по валидации следует использовать подход, основанный на оценке рисков. Согласно требованиям настоящего Стандарта, производители определяют, какая работа по валидации необходима для подтверждения контроля критических аспектов проводимых ими конкретных операций. Существенные изменения, вносимые в помещение, оборудование и процессы, которые влияют на качество продукции, проходят валидацию. Для определения области проведения и объема валидации используют подход, основанный на оценке рисков.</w:t>
            </w:r>
          </w:p>
          <w:p>
            <w:pPr>
              <w:spacing w:after="20"/>
              <w:ind w:left="20"/>
              <w:jc w:val="both"/>
            </w:pPr>
            <w:r>
              <w:rPr>
                <w:rFonts w:ascii="Times New Roman"/>
                <w:b w:val="false"/>
                <w:i w:val="false"/>
                <w:color w:val="000000"/>
                <w:sz w:val="20"/>
              </w:rPr>
              <w:t>
   </w:t>
            </w:r>
            <w:r>
              <w:rPr>
                <w:rFonts w:ascii="Times New Roman"/>
                <w:b/>
                <w:i w:val="false"/>
                <w:color w:val="000000"/>
                <w:sz w:val="20"/>
              </w:rPr>
              <w:t>Планирование валидации</w:t>
            </w:r>
          </w:p>
          <w:p>
            <w:pPr>
              <w:spacing w:after="20"/>
              <w:ind w:left="20"/>
              <w:jc w:val="both"/>
            </w:pPr>
            <w:r>
              <w:rPr>
                <w:rFonts w:ascii="Times New Roman"/>
                <w:b w:val="false"/>
                <w:i w:val="false"/>
                <w:color w:val="000000"/>
                <w:sz w:val="20"/>
              </w:rPr>
              <w:t>
   2. Всю деятельность по валидации планируют. Ключевые элементы программы валидации четко определяются и оформляются документально в основном плане валидации или эквивалентных документах.</w:t>
            </w:r>
          </w:p>
          <w:p>
            <w:pPr>
              <w:spacing w:after="20"/>
              <w:ind w:left="20"/>
              <w:jc w:val="both"/>
            </w:pPr>
            <w:r>
              <w:rPr>
                <w:rFonts w:ascii="Times New Roman"/>
                <w:b w:val="false"/>
                <w:i w:val="false"/>
                <w:color w:val="000000"/>
                <w:sz w:val="20"/>
              </w:rPr>
              <w:t>
   3. Основной план валидации является обобщающим документом, составленным в лаконичной, точной и ясной форме.</w:t>
            </w:r>
          </w:p>
          <w:p>
            <w:pPr>
              <w:spacing w:after="20"/>
              <w:ind w:left="20"/>
              <w:jc w:val="both"/>
            </w:pPr>
            <w:r>
              <w:rPr>
                <w:rFonts w:ascii="Times New Roman"/>
                <w:b w:val="false"/>
                <w:i w:val="false"/>
                <w:color w:val="000000"/>
                <w:sz w:val="20"/>
              </w:rPr>
              <w:t>
   4. Основной план валидации содержит следующую информацию:</w:t>
            </w:r>
          </w:p>
          <w:p>
            <w:pPr>
              <w:spacing w:after="20"/>
              <w:ind w:left="20"/>
              <w:jc w:val="both"/>
            </w:pPr>
            <w:r>
              <w:rPr>
                <w:rFonts w:ascii="Times New Roman"/>
                <w:b w:val="false"/>
                <w:i w:val="false"/>
                <w:color w:val="000000"/>
                <w:sz w:val="20"/>
              </w:rPr>
              <w:t>
   1) проведения валидации;</w:t>
            </w:r>
          </w:p>
          <w:p>
            <w:pPr>
              <w:spacing w:after="20"/>
              <w:ind w:left="20"/>
              <w:jc w:val="both"/>
            </w:pPr>
            <w:r>
              <w:rPr>
                <w:rFonts w:ascii="Times New Roman"/>
                <w:b w:val="false"/>
                <w:i w:val="false"/>
                <w:color w:val="000000"/>
                <w:sz w:val="20"/>
              </w:rPr>
              <w:t>
   2) организационную схему деятельности по валидации;</w:t>
            </w:r>
          </w:p>
          <w:p>
            <w:pPr>
              <w:spacing w:after="20"/>
              <w:ind w:left="20"/>
              <w:jc w:val="both"/>
            </w:pPr>
            <w:r>
              <w:rPr>
                <w:rFonts w:ascii="Times New Roman"/>
                <w:b w:val="false"/>
                <w:i w:val="false"/>
                <w:color w:val="000000"/>
                <w:sz w:val="20"/>
              </w:rPr>
              <w:t>
   3) перечень всех помещений, систем, оборудования и процессов, подлежащих валидации;</w:t>
            </w:r>
          </w:p>
          <w:p>
            <w:pPr>
              <w:spacing w:after="20"/>
              <w:ind w:left="20"/>
              <w:jc w:val="both"/>
            </w:pPr>
            <w:r>
              <w:rPr>
                <w:rFonts w:ascii="Times New Roman"/>
                <w:b w:val="false"/>
                <w:i w:val="false"/>
                <w:color w:val="000000"/>
                <w:sz w:val="20"/>
              </w:rPr>
              <w:t>
   4) форму документации: форму, которую следует использовать для протоколов и отчетов;</w:t>
            </w:r>
          </w:p>
          <w:p>
            <w:pPr>
              <w:spacing w:after="20"/>
              <w:ind w:left="20"/>
              <w:jc w:val="both"/>
            </w:pPr>
            <w:r>
              <w:rPr>
                <w:rFonts w:ascii="Times New Roman"/>
                <w:b w:val="false"/>
                <w:i w:val="false"/>
                <w:color w:val="000000"/>
                <w:sz w:val="20"/>
              </w:rPr>
              <w:t>
   5) планирование и график выполнения работ;</w:t>
            </w:r>
          </w:p>
          <w:p>
            <w:pPr>
              <w:spacing w:after="20"/>
              <w:ind w:left="20"/>
              <w:jc w:val="both"/>
            </w:pPr>
            <w:r>
              <w:rPr>
                <w:rFonts w:ascii="Times New Roman"/>
                <w:b w:val="false"/>
                <w:i w:val="false"/>
                <w:color w:val="000000"/>
                <w:sz w:val="20"/>
              </w:rPr>
              <w:t>
   6) контроль изменений;</w:t>
            </w:r>
          </w:p>
          <w:p>
            <w:pPr>
              <w:spacing w:after="20"/>
              <w:ind w:left="20"/>
              <w:jc w:val="both"/>
            </w:pPr>
            <w:r>
              <w:rPr>
                <w:rFonts w:ascii="Times New Roman"/>
                <w:b w:val="false"/>
                <w:i w:val="false"/>
                <w:color w:val="000000"/>
                <w:sz w:val="20"/>
              </w:rPr>
              <w:t>
   7) ссылки на существующие документы.</w:t>
            </w:r>
          </w:p>
          <w:p>
            <w:pPr>
              <w:spacing w:after="20"/>
              <w:ind w:left="20"/>
              <w:jc w:val="both"/>
            </w:pPr>
            <w:r>
              <w:rPr>
                <w:rFonts w:ascii="Times New Roman"/>
                <w:b w:val="false"/>
                <w:i w:val="false"/>
                <w:color w:val="000000"/>
                <w:sz w:val="20"/>
              </w:rPr>
              <w:t>
   5. В случае выполнения крупных проектов составляются отдельные основные планы валидации.</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Документация</w:t>
            </w:r>
          </w:p>
          <w:p>
            <w:pPr>
              <w:spacing w:after="20"/>
              <w:ind w:left="20"/>
              <w:jc w:val="both"/>
            </w:pPr>
            <w:r>
              <w:rPr>
                <w:rFonts w:ascii="Times New Roman"/>
                <w:b w:val="false"/>
                <w:i w:val="false"/>
                <w:color w:val="000000"/>
                <w:sz w:val="20"/>
              </w:rPr>
              <w:t xml:space="preserve">
   6. Разрабатывается письменный протокол с указаниями, каким образом будет проведена квалификация и валидация. Такой протокол проверяется и утверждается. В протоколе указываются критические этапы и критерии приемлемости. </w:t>
            </w:r>
          </w:p>
          <w:p>
            <w:pPr>
              <w:spacing w:after="20"/>
              <w:ind w:left="20"/>
              <w:jc w:val="both"/>
            </w:pPr>
            <w:r>
              <w:rPr>
                <w:rFonts w:ascii="Times New Roman"/>
                <w:b w:val="false"/>
                <w:i w:val="false"/>
                <w:color w:val="000000"/>
                <w:sz w:val="20"/>
              </w:rPr>
              <w:t>
   7. Готовится отчет с перекрестными ссылками на протокол квалификации и (или) валидации, обобщающий полученные результаты, содержащий комментарии относительно любых замеченных отклонений и выводы, включая рекомендуемые изменения, необходимые для устранения отклонений. Любые изменения, внесенные в план, который приведен в протоколе, оформляют документально с соответствующим обоснованием.</w:t>
            </w:r>
          </w:p>
          <w:p>
            <w:pPr>
              <w:spacing w:after="20"/>
              <w:ind w:left="20"/>
              <w:jc w:val="both"/>
            </w:pPr>
            <w:r>
              <w:rPr>
                <w:rFonts w:ascii="Times New Roman"/>
                <w:b w:val="false"/>
                <w:i w:val="false"/>
                <w:color w:val="000000"/>
                <w:sz w:val="20"/>
              </w:rPr>
              <w:t xml:space="preserve">
   8. После успешного завершения квалификации оформляется официальное письменное разрешение для перехода к следующему этапу квалификации и валидации. </w:t>
            </w:r>
          </w:p>
          <w:p>
            <w:pPr>
              <w:spacing w:after="20"/>
              <w:ind w:left="20"/>
              <w:jc w:val="both"/>
            </w:pPr>
            <w:r>
              <w:rPr>
                <w:rFonts w:ascii="Times New Roman"/>
                <w:b w:val="false"/>
                <w:i w:val="false"/>
                <w:color w:val="000000"/>
                <w:sz w:val="20"/>
              </w:rPr>
              <w:t>
   </w:t>
            </w:r>
            <w:r>
              <w:rPr>
                <w:rFonts w:ascii="Times New Roman"/>
                <w:b/>
                <w:i w:val="false"/>
                <w:color w:val="000000"/>
                <w:sz w:val="20"/>
              </w:rPr>
              <w:t>Квалификация</w:t>
            </w:r>
          </w:p>
          <w:p>
            <w:pPr>
              <w:spacing w:after="20"/>
              <w:ind w:left="20"/>
              <w:jc w:val="both"/>
            </w:pPr>
            <w:r>
              <w:rPr>
                <w:rFonts w:ascii="Times New Roman"/>
                <w:b w:val="false"/>
                <w:i w:val="false"/>
                <w:color w:val="000000"/>
                <w:sz w:val="20"/>
              </w:rPr>
              <w:t>
   </w:t>
            </w:r>
            <w:r>
              <w:rPr>
                <w:rFonts w:ascii="Times New Roman"/>
                <w:b/>
                <w:i w:val="false"/>
                <w:color w:val="000000"/>
                <w:sz w:val="20"/>
              </w:rPr>
              <w:t>Квалификация проекта</w:t>
            </w:r>
          </w:p>
          <w:p>
            <w:pPr>
              <w:spacing w:after="20"/>
              <w:ind w:left="20"/>
              <w:jc w:val="both"/>
            </w:pPr>
            <w:r>
              <w:rPr>
                <w:rFonts w:ascii="Times New Roman"/>
                <w:b w:val="false"/>
                <w:i w:val="false"/>
                <w:color w:val="000000"/>
                <w:sz w:val="20"/>
              </w:rPr>
              <w:t>
   9. Первым элементом проведения валидации новых помещений, систем или оборудования является квалификация проекта.</w:t>
            </w:r>
          </w:p>
          <w:p>
            <w:pPr>
              <w:spacing w:after="20"/>
              <w:ind w:left="20"/>
              <w:jc w:val="both"/>
            </w:pPr>
            <w:r>
              <w:rPr>
                <w:rFonts w:ascii="Times New Roman"/>
                <w:b w:val="false"/>
                <w:i w:val="false"/>
                <w:color w:val="000000"/>
                <w:sz w:val="20"/>
              </w:rPr>
              <w:t>
   10. Соответствие проекта требованиям настоящего Стандарта оформляется документально.</w:t>
            </w:r>
          </w:p>
          <w:p>
            <w:pPr>
              <w:spacing w:after="20"/>
              <w:ind w:left="20"/>
              <w:jc w:val="both"/>
            </w:pPr>
            <w:r>
              <w:rPr>
                <w:rFonts w:ascii="Times New Roman"/>
                <w:b w:val="false"/>
                <w:i w:val="false"/>
                <w:color w:val="000000"/>
                <w:sz w:val="20"/>
              </w:rPr>
              <w:t>
   </w:t>
            </w:r>
            <w:r>
              <w:rPr>
                <w:rFonts w:ascii="Times New Roman"/>
                <w:b/>
                <w:i w:val="false"/>
                <w:color w:val="000000"/>
                <w:sz w:val="20"/>
              </w:rPr>
              <w:t>Квалификация монтажа</w:t>
            </w:r>
          </w:p>
          <w:p>
            <w:pPr>
              <w:spacing w:after="20"/>
              <w:ind w:left="20"/>
              <w:jc w:val="both"/>
            </w:pPr>
            <w:r>
              <w:rPr>
                <w:rFonts w:ascii="Times New Roman"/>
                <w:b w:val="false"/>
                <w:i w:val="false"/>
                <w:color w:val="000000"/>
                <w:sz w:val="20"/>
              </w:rPr>
              <w:t>
   11. Квалификацию монтажа следует проводить для новых или модифицированных помещений, систем и оборудования.</w:t>
            </w:r>
          </w:p>
          <w:p>
            <w:pPr>
              <w:spacing w:after="20"/>
              <w:ind w:left="20"/>
              <w:jc w:val="both"/>
            </w:pPr>
            <w:r>
              <w:rPr>
                <w:rFonts w:ascii="Times New Roman"/>
                <w:b w:val="false"/>
                <w:i w:val="false"/>
                <w:color w:val="000000"/>
                <w:sz w:val="20"/>
              </w:rPr>
              <w:t>
   12. Квалификация монтажа включает следующие элементы:</w:t>
            </w:r>
          </w:p>
          <w:p>
            <w:pPr>
              <w:spacing w:after="20"/>
              <w:ind w:left="20"/>
              <w:jc w:val="both"/>
            </w:pPr>
            <w:r>
              <w:rPr>
                <w:rFonts w:ascii="Times New Roman"/>
                <w:b w:val="false"/>
                <w:i w:val="false"/>
                <w:color w:val="000000"/>
                <w:sz w:val="20"/>
              </w:rPr>
              <w:t>
   1) проверку монтажа оборудования, трубопроводов, вспомогательных систем и приборов на соответствие действующим техническим чертежам и спецификациям;</w:t>
            </w:r>
          </w:p>
          <w:p>
            <w:pPr>
              <w:spacing w:after="20"/>
              <w:ind w:left="20"/>
              <w:jc w:val="both"/>
            </w:pPr>
            <w:r>
              <w:rPr>
                <w:rFonts w:ascii="Times New Roman"/>
                <w:b w:val="false"/>
                <w:i w:val="false"/>
                <w:color w:val="000000"/>
                <w:sz w:val="20"/>
              </w:rPr>
              <w:t>
   2) оценку полноты и сопоставление инструкций поставщика по эксплуатации и работе, а также требований к техническому обслуживанию;</w:t>
            </w:r>
          </w:p>
          <w:p>
            <w:pPr>
              <w:spacing w:after="20"/>
              <w:ind w:left="20"/>
              <w:jc w:val="both"/>
            </w:pPr>
            <w:r>
              <w:rPr>
                <w:rFonts w:ascii="Times New Roman"/>
                <w:b w:val="false"/>
                <w:i w:val="false"/>
                <w:color w:val="000000"/>
                <w:sz w:val="20"/>
              </w:rPr>
              <w:t>
   3) оценку требований к калибровке;</w:t>
            </w:r>
          </w:p>
          <w:p>
            <w:pPr>
              <w:spacing w:after="20"/>
              <w:ind w:left="20"/>
              <w:jc w:val="both"/>
            </w:pPr>
            <w:r>
              <w:rPr>
                <w:rFonts w:ascii="Times New Roman"/>
                <w:b w:val="false"/>
                <w:i w:val="false"/>
                <w:color w:val="000000"/>
                <w:sz w:val="20"/>
              </w:rPr>
              <w:t xml:space="preserve">
   4) проверку материалов, использованных в конструкциях. </w:t>
            </w:r>
          </w:p>
          <w:p>
            <w:pPr>
              <w:spacing w:after="20"/>
              <w:ind w:left="20"/>
              <w:jc w:val="both"/>
            </w:pPr>
            <w:r>
              <w:rPr>
                <w:rFonts w:ascii="Times New Roman"/>
                <w:b w:val="false"/>
                <w:i w:val="false"/>
                <w:color w:val="000000"/>
                <w:sz w:val="20"/>
              </w:rPr>
              <w:t>
   </w:t>
            </w:r>
            <w:r>
              <w:rPr>
                <w:rFonts w:ascii="Times New Roman"/>
                <w:b/>
                <w:i w:val="false"/>
                <w:color w:val="000000"/>
                <w:sz w:val="20"/>
              </w:rPr>
              <w:t>Квалификация функционирования</w:t>
            </w:r>
          </w:p>
          <w:p>
            <w:pPr>
              <w:spacing w:after="20"/>
              <w:ind w:left="20"/>
              <w:jc w:val="both"/>
            </w:pPr>
            <w:r>
              <w:rPr>
                <w:rFonts w:ascii="Times New Roman"/>
                <w:b w:val="false"/>
                <w:i w:val="false"/>
                <w:color w:val="000000"/>
                <w:sz w:val="20"/>
              </w:rPr>
              <w:t>
   13. Квалификация функционирования следует за квалификацией монтажа.</w:t>
            </w:r>
          </w:p>
          <w:p>
            <w:pPr>
              <w:spacing w:after="20"/>
              <w:ind w:left="20"/>
              <w:jc w:val="both"/>
            </w:pPr>
            <w:r>
              <w:rPr>
                <w:rFonts w:ascii="Times New Roman"/>
                <w:b w:val="false"/>
                <w:i w:val="false"/>
                <w:color w:val="000000"/>
                <w:sz w:val="20"/>
              </w:rPr>
              <w:t>
   14. Квалификация функционирования включает следующие элементы (но не ограничиваться ими):</w:t>
            </w:r>
          </w:p>
          <w:p>
            <w:pPr>
              <w:spacing w:after="20"/>
              <w:ind w:left="20"/>
              <w:jc w:val="both"/>
            </w:pPr>
            <w:r>
              <w:rPr>
                <w:rFonts w:ascii="Times New Roman"/>
                <w:b w:val="false"/>
                <w:i w:val="false"/>
                <w:color w:val="000000"/>
                <w:sz w:val="20"/>
              </w:rPr>
              <w:t>
   1) испытания, исходя из знаний о процессах, системах и оборудовании;</w:t>
            </w:r>
          </w:p>
          <w:p>
            <w:pPr>
              <w:spacing w:after="20"/>
              <w:ind w:left="20"/>
              <w:jc w:val="both"/>
            </w:pPr>
            <w:r>
              <w:rPr>
                <w:rFonts w:ascii="Times New Roman"/>
                <w:b w:val="false"/>
                <w:i w:val="false"/>
                <w:color w:val="000000"/>
                <w:sz w:val="20"/>
              </w:rPr>
              <w:t>
   2) испытания функционирования оборудования при рабочих параметрах, равных верхним и нижним допустимым пределам, то есть в условиях "наихудшего случая".</w:t>
            </w:r>
          </w:p>
          <w:p>
            <w:pPr>
              <w:spacing w:after="20"/>
              <w:ind w:left="20"/>
              <w:jc w:val="both"/>
            </w:pPr>
            <w:r>
              <w:rPr>
                <w:rFonts w:ascii="Times New Roman"/>
                <w:b w:val="false"/>
                <w:i w:val="false"/>
                <w:color w:val="000000"/>
                <w:sz w:val="20"/>
              </w:rPr>
              <w:t>
   15. Успешное завершение квалификации функционирования способствует окончательному оформлению инструкций по калибровке, эксплуатации и очистке, проведению обучения операторов, а также установлению требований к профилактическому техническому обслуживанию. Это позволит проводить официальную приемку помещений, систем и оборудования.</w:t>
            </w:r>
          </w:p>
          <w:p>
            <w:pPr>
              <w:spacing w:after="20"/>
              <w:ind w:left="20"/>
              <w:jc w:val="both"/>
            </w:pPr>
            <w:r>
              <w:rPr>
                <w:rFonts w:ascii="Times New Roman"/>
                <w:b w:val="false"/>
                <w:i w:val="false"/>
                <w:color w:val="000000"/>
                <w:sz w:val="20"/>
              </w:rPr>
              <w:t>
   </w:t>
            </w:r>
            <w:r>
              <w:rPr>
                <w:rFonts w:ascii="Times New Roman"/>
                <w:b/>
                <w:i w:val="false"/>
                <w:color w:val="000000"/>
                <w:sz w:val="20"/>
              </w:rPr>
              <w:t>Квалификация эксплуатации</w:t>
            </w:r>
          </w:p>
          <w:p>
            <w:pPr>
              <w:spacing w:after="20"/>
              <w:ind w:left="20"/>
              <w:jc w:val="both"/>
            </w:pPr>
            <w:r>
              <w:rPr>
                <w:rFonts w:ascii="Times New Roman"/>
                <w:b w:val="false"/>
                <w:i w:val="false"/>
                <w:color w:val="000000"/>
                <w:sz w:val="20"/>
              </w:rPr>
              <w:t>
   16. Квалификация эксплуатации выполняется после успешного завершения квалификации монтажа и квалификации функционирования.</w:t>
            </w:r>
          </w:p>
          <w:p>
            <w:pPr>
              <w:spacing w:after="20"/>
              <w:ind w:left="20"/>
              <w:jc w:val="both"/>
            </w:pPr>
            <w:r>
              <w:rPr>
                <w:rFonts w:ascii="Times New Roman"/>
                <w:b w:val="false"/>
                <w:i w:val="false"/>
                <w:color w:val="000000"/>
                <w:sz w:val="20"/>
              </w:rPr>
              <w:t>
   17. Квалификация эксплуатации включает следующие элементы, но не ограничиваясь ими:</w:t>
            </w:r>
          </w:p>
          <w:p>
            <w:pPr>
              <w:spacing w:after="20"/>
              <w:ind w:left="20"/>
              <w:jc w:val="both"/>
            </w:pPr>
            <w:r>
              <w:rPr>
                <w:rFonts w:ascii="Times New Roman"/>
                <w:b w:val="false"/>
                <w:i w:val="false"/>
                <w:color w:val="000000"/>
                <w:sz w:val="20"/>
              </w:rPr>
              <w:t>
   1) испытания с использованием реальных исходного сырья и материалов, применяемых в производстве, выбранных заменителей с аналогичными свойствами или моделирующего препарата, разработанные на основании знаний о процессе, а также о технических средствах, системах или оборудовании;</w:t>
            </w:r>
          </w:p>
          <w:p>
            <w:pPr>
              <w:spacing w:after="20"/>
              <w:ind w:left="20"/>
              <w:jc w:val="both"/>
            </w:pPr>
            <w:r>
              <w:rPr>
                <w:rFonts w:ascii="Times New Roman"/>
                <w:b w:val="false"/>
                <w:i w:val="false"/>
                <w:color w:val="000000"/>
                <w:sz w:val="20"/>
              </w:rPr>
              <w:t>
   2) испытания при рабочих параметрах, равных верхним и нижним допустимым пределам.</w:t>
            </w:r>
          </w:p>
          <w:p>
            <w:pPr>
              <w:spacing w:after="20"/>
              <w:ind w:left="20"/>
              <w:jc w:val="both"/>
            </w:pPr>
            <w:r>
              <w:rPr>
                <w:rFonts w:ascii="Times New Roman"/>
                <w:b w:val="false"/>
                <w:i w:val="false"/>
                <w:color w:val="000000"/>
                <w:sz w:val="20"/>
              </w:rPr>
              <w:t>
   18. Хотя квалификация эксплуатации рассматривается как отдельный этап работ, в некоторых случаях целесообразно проводить ее совместно с квалификацией функционирования.</w:t>
            </w:r>
          </w:p>
          <w:p>
            <w:pPr>
              <w:spacing w:after="20"/>
              <w:ind w:left="20"/>
              <w:jc w:val="both"/>
            </w:pPr>
            <w:r>
              <w:rPr>
                <w:rFonts w:ascii="Times New Roman"/>
                <w:b w:val="false"/>
                <w:i w:val="false"/>
                <w:color w:val="000000"/>
                <w:sz w:val="20"/>
              </w:rPr>
              <w:t>
   </w:t>
            </w:r>
            <w:r>
              <w:rPr>
                <w:rFonts w:ascii="Times New Roman"/>
                <w:b/>
                <w:i w:val="false"/>
                <w:color w:val="000000"/>
                <w:sz w:val="20"/>
              </w:rPr>
              <w:t>Квалификация установленных (используемых) технических средств, помещений и оборудования</w:t>
            </w:r>
          </w:p>
          <w:p>
            <w:pPr>
              <w:spacing w:after="20"/>
              <w:ind w:left="20"/>
              <w:jc w:val="both"/>
            </w:pPr>
            <w:r>
              <w:rPr>
                <w:rFonts w:ascii="Times New Roman"/>
                <w:b w:val="false"/>
                <w:i w:val="false"/>
                <w:color w:val="000000"/>
                <w:sz w:val="20"/>
              </w:rPr>
              <w:t>
   19. Необходимо иметь данные, обосновывающие и подтверждающие соответствие рабочих критических параметров заданным требованиям. Кроме того, следует документально оформить инструкции по калибровке, очистке, профилактическому техническому обслуживанию и эксплуатации, а также по обучению операторов и ведению отчетов.</w:t>
            </w:r>
          </w:p>
          <w:p>
            <w:pPr>
              <w:spacing w:after="20"/>
              <w:ind w:left="20"/>
              <w:jc w:val="both"/>
            </w:pPr>
            <w:r>
              <w:rPr>
                <w:rFonts w:ascii="Times New Roman"/>
                <w:b w:val="false"/>
                <w:i w:val="false"/>
                <w:color w:val="000000"/>
                <w:sz w:val="20"/>
              </w:rPr>
              <w:t>
   </w:t>
            </w:r>
            <w:r>
              <w:rPr>
                <w:rFonts w:ascii="Times New Roman"/>
                <w:b/>
                <w:i w:val="false"/>
                <w:color w:val="000000"/>
                <w:sz w:val="20"/>
              </w:rPr>
              <w:t>Валидация процесса</w:t>
            </w:r>
          </w:p>
          <w:p>
            <w:pPr>
              <w:spacing w:after="20"/>
              <w:ind w:left="20"/>
              <w:jc w:val="both"/>
            </w:pPr>
            <w:r>
              <w:rPr>
                <w:rFonts w:ascii="Times New Roman"/>
                <w:b w:val="false"/>
                <w:i w:val="false"/>
                <w:color w:val="000000"/>
                <w:sz w:val="20"/>
              </w:rPr>
              <w:t>
   </w:t>
            </w:r>
            <w:r>
              <w:rPr>
                <w:rFonts w:ascii="Times New Roman"/>
                <w:b/>
                <w:i w:val="false"/>
                <w:color w:val="000000"/>
                <w:sz w:val="20"/>
              </w:rPr>
              <w:t>Общие требования</w:t>
            </w:r>
          </w:p>
          <w:p>
            <w:pPr>
              <w:spacing w:after="20"/>
              <w:ind w:left="20"/>
              <w:jc w:val="both"/>
            </w:pPr>
            <w:r>
              <w:rPr>
                <w:rFonts w:ascii="Times New Roman"/>
                <w:b w:val="false"/>
                <w:i w:val="false"/>
                <w:color w:val="000000"/>
                <w:sz w:val="20"/>
              </w:rPr>
              <w:t>
   20. Требования и принципы, кратко изложенные в данном Приложении, применимы к производству лекарственных форм. Они распространяются на первоначальную валидацию новых процессов, последующую валидацию измененных процессов и повторную валидацию.</w:t>
            </w:r>
          </w:p>
          <w:p>
            <w:pPr>
              <w:spacing w:after="20"/>
              <w:ind w:left="20"/>
              <w:jc w:val="both"/>
            </w:pPr>
            <w:r>
              <w:rPr>
                <w:rFonts w:ascii="Times New Roman"/>
                <w:b w:val="false"/>
                <w:i w:val="false"/>
                <w:color w:val="000000"/>
                <w:sz w:val="20"/>
              </w:rPr>
              <w:t>
   21. Валидация процесса, завершеается до начала реализации и продажи лекарственного препарата (перспективная валидация). В исключительных случаях, когда такая валидация невозможна, может возникнуть необходимость проведения валидации процессов во время текущего производства (сопутствующая валидация). Процессы, которые уже проводились в течение некоторого времени, также подлежат валидации (ретроспективная валидация).</w:t>
            </w:r>
          </w:p>
          <w:p>
            <w:pPr>
              <w:spacing w:after="20"/>
              <w:ind w:left="20"/>
              <w:jc w:val="both"/>
            </w:pPr>
            <w:r>
              <w:rPr>
                <w:rFonts w:ascii="Times New Roman"/>
                <w:b w:val="false"/>
                <w:i w:val="false"/>
                <w:color w:val="000000"/>
                <w:sz w:val="20"/>
              </w:rPr>
              <w:t>
   22. Используемые помещения, системы и оборудование квалифицируются, а аналитические методики испытаний валидируются. Персонал, принимающий участие в проведении валидации, соответствующим образом обучается.</w:t>
            </w:r>
          </w:p>
          <w:p>
            <w:pPr>
              <w:spacing w:after="20"/>
              <w:ind w:left="20"/>
              <w:jc w:val="both"/>
            </w:pPr>
            <w:r>
              <w:rPr>
                <w:rFonts w:ascii="Times New Roman"/>
                <w:b w:val="false"/>
                <w:i w:val="false"/>
                <w:color w:val="000000"/>
                <w:sz w:val="20"/>
              </w:rPr>
              <w:t>
   23. Следует проводить периодическую оценку помещений, систем, оборудования и процессов с целью подтверждения их работы в соответствии с заданными требованиями.</w:t>
            </w:r>
          </w:p>
          <w:p>
            <w:pPr>
              <w:spacing w:after="20"/>
              <w:ind w:left="20"/>
              <w:jc w:val="both"/>
            </w:pPr>
            <w:r>
              <w:rPr>
                <w:rFonts w:ascii="Times New Roman"/>
                <w:b w:val="false"/>
                <w:i w:val="false"/>
                <w:color w:val="000000"/>
                <w:sz w:val="20"/>
              </w:rPr>
              <w:t>
   </w:t>
            </w:r>
            <w:r>
              <w:rPr>
                <w:rFonts w:ascii="Times New Roman"/>
                <w:b/>
                <w:i w:val="false"/>
                <w:color w:val="000000"/>
                <w:sz w:val="20"/>
              </w:rPr>
              <w:t>Перспективная валидация</w:t>
            </w:r>
          </w:p>
          <w:p>
            <w:pPr>
              <w:spacing w:after="20"/>
              <w:ind w:left="20"/>
              <w:jc w:val="both"/>
            </w:pPr>
            <w:r>
              <w:rPr>
                <w:rFonts w:ascii="Times New Roman"/>
                <w:b w:val="false"/>
                <w:i w:val="false"/>
                <w:color w:val="000000"/>
                <w:sz w:val="20"/>
              </w:rPr>
              <w:t>
   24. Перспективная валидация включает следующие элементы (но не ограничиваться ими):</w:t>
            </w:r>
          </w:p>
          <w:p>
            <w:pPr>
              <w:spacing w:after="20"/>
              <w:ind w:left="20"/>
              <w:jc w:val="both"/>
            </w:pPr>
            <w:r>
              <w:rPr>
                <w:rFonts w:ascii="Times New Roman"/>
                <w:b w:val="false"/>
                <w:i w:val="false"/>
                <w:color w:val="000000"/>
                <w:sz w:val="20"/>
              </w:rPr>
              <w:t>
   1) краткое описание процесса;</w:t>
            </w:r>
          </w:p>
          <w:p>
            <w:pPr>
              <w:spacing w:after="20"/>
              <w:ind w:left="20"/>
              <w:jc w:val="both"/>
            </w:pPr>
            <w:r>
              <w:rPr>
                <w:rFonts w:ascii="Times New Roman"/>
                <w:b w:val="false"/>
                <w:i w:val="false"/>
                <w:color w:val="000000"/>
                <w:sz w:val="20"/>
              </w:rPr>
              <w:t>
   2) перечень критических стадий процесса, подлежащих исследованию;</w:t>
            </w:r>
          </w:p>
          <w:p>
            <w:pPr>
              <w:spacing w:after="20"/>
              <w:ind w:left="20"/>
              <w:jc w:val="both"/>
            </w:pPr>
            <w:r>
              <w:rPr>
                <w:rFonts w:ascii="Times New Roman"/>
                <w:b w:val="false"/>
                <w:i w:val="false"/>
                <w:color w:val="000000"/>
                <w:sz w:val="20"/>
              </w:rPr>
              <w:t>
   3) перечень используемых помещений/оборудования (включая измерительное/контрольное/регистрирующее оборудование) с указанием сведений об их калибровке;</w:t>
            </w:r>
          </w:p>
          <w:p>
            <w:pPr>
              <w:spacing w:after="20"/>
              <w:ind w:left="20"/>
              <w:jc w:val="both"/>
            </w:pPr>
            <w:r>
              <w:rPr>
                <w:rFonts w:ascii="Times New Roman"/>
                <w:b w:val="false"/>
                <w:i w:val="false"/>
                <w:color w:val="000000"/>
                <w:sz w:val="20"/>
              </w:rPr>
              <w:t>
   4) спецификации на готовую продукцию при выпуске;</w:t>
            </w:r>
          </w:p>
          <w:p>
            <w:pPr>
              <w:spacing w:after="20"/>
              <w:ind w:left="20"/>
              <w:jc w:val="both"/>
            </w:pPr>
            <w:r>
              <w:rPr>
                <w:rFonts w:ascii="Times New Roman"/>
                <w:b w:val="false"/>
                <w:i w:val="false"/>
                <w:color w:val="000000"/>
                <w:sz w:val="20"/>
              </w:rPr>
              <w:t>
   5) при необходимости перечень аналитических методик;</w:t>
            </w:r>
          </w:p>
          <w:p>
            <w:pPr>
              <w:spacing w:after="20"/>
              <w:ind w:left="20"/>
              <w:jc w:val="both"/>
            </w:pPr>
            <w:r>
              <w:rPr>
                <w:rFonts w:ascii="Times New Roman"/>
                <w:b w:val="false"/>
                <w:i w:val="false"/>
                <w:color w:val="000000"/>
                <w:sz w:val="20"/>
              </w:rPr>
              <w:t>
   6) предлагаемые точки контроля в процессе производства и критерии приемлемости;</w:t>
            </w:r>
          </w:p>
          <w:p>
            <w:pPr>
              <w:spacing w:after="20"/>
              <w:ind w:left="20"/>
              <w:jc w:val="both"/>
            </w:pPr>
            <w:r>
              <w:rPr>
                <w:rFonts w:ascii="Times New Roman"/>
                <w:b w:val="false"/>
                <w:i w:val="false"/>
                <w:color w:val="000000"/>
                <w:sz w:val="20"/>
              </w:rPr>
              <w:t>
   7) при необходимости дополнительные испытания, которые следует провести, вместе с критериями приемлемости и валидацией аналитических методик;</w:t>
            </w:r>
          </w:p>
          <w:p>
            <w:pPr>
              <w:spacing w:after="20"/>
              <w:ind w:left="20"/>
              <w:jc w:val="both"/>
            </w:pPr>
            <w:r>
              <w:rPr>
                <w:rFonts w:ascii="Times New Roman"/>
                <w:b w:val="false"/>
                <w:i w:val="false"/>
                <w:color w:val="000000"/>
                <w:sz w:val="20"/>
              </w:rPr>
              <w:t>
   8) план отбора проб;</w:t>
            </w:r>
          </w:p>
          <w:p>
            <w:pPr>
              <w:spacing w:after="20"/>
              <w:ind w:left="20"/>
              <w:jc w:val="both"/>
            </w:pPr>
            <w:r>
              <w:rPr>
                <w:rFonts w:ascii="Times New Roman"/>
                <w:b w:val="false"/>
                <w:i w:val="false"/>
                <w:color w:val="000000"/>
                <w:sz w:val="20"/>
              </w:rPr>
              <w:t>
   9) методы регистрации и оценки результатов;</w:t>
            </w:r>
          </w:p>
          <w:p>
            <w:pPr>
              <w:spacing w:after="20"/>
              <w:ind w:left="20"/>
              <w:jc w:val="both"/>
            </w:pPr>
            <w:r>
              <w:rPr>
                <w:rFonts w:ascii="Times New Roman"/>
                <w:b w:val="false"/>
                <w:i w:val="false"/>
                <w:color w:val="000000"/>
                <w:sz w:val="20"/>
              </w:rPr>
              <w:t>
   10) функции и обязанности;</w:t>
            </w:r>
          </w:p>
          <w:p>
            <w:pPr>
              <w:spacing w:after="20"/>
              <w:ind w:left="20"/>
              <w:jc w:val="both"/>
            </w:pPr>
            <w:r>
              <w:rPr>
                <w:rFonts w:ascii="Times New Roman"/>
                <w:b w:val="false"/>
                <w:i w:val="false"/>
                <w:color w:val="000000"/>
                <w:sz w:val="20"/>
              </w:rPr>
              <w:t>
   11) предполагаемый график выполнения работ.</w:t>
            </w:r>
          </w:p>
          <w:p>
            <w:pPr>
              <w:spacing w:after="20"/>
              <w:ind w:left="20"/>
              <w:jc w:val="both"/>
            </w:pPr>
            <w:r>
              <w:rPr>
                <w:rFonts w:ascii="Times New Roman"/>
                <w:b w:val="false"/>
                <w:i w:val="false"/>
                <w:color w:val="000000"/>
                <w:sz w:val="20"/>
              </w:rPr>
              <w:t>
   25. С помощью установленного процесса (используя компоненты, соответствующие спецификациям) можно произвести ряд серий готовой продукции при обычных условиях. Стремятся, чтобы теоретически количество выполненных производственных циклов и сделанных наблюдений было достаточным, чтобы позволить установить обычную степень изменчивости и тенденции, а также получить необходимое количество данных для оценки. Для валидации процесса считается достаточным выполнить три последовательные серии или цикла, при которых параметры находятся в заданных пределах.</w:t>
            </w:r>
          </w:p>
          <w:p>
            <w:pPr>
              <w:spacing w:after="20"/>
              <w:ind w:left="20"/>
              <w:jc w:val="both"/>
            </w:pPr>
            <w:r>
              <w:rPr>
                <w:rFonts w:ascii="Times New Roman"/>
                <w:b w:val="false"/>
                <w:i w:val="false"/>
                <w:color w:val="000000"/>
                <w:sz w:val="20"/>
              </w:rPr>
              <w:t>
   26. Размер серии при валидации равен размеру серии при промышленном выпуске продукции.</w:t>
            </w:r>
          </w:p>
          <w:p>
            <w:pPr>
              <w:spacing w:after="20"/>
              <w:ind w:left="20"/>
              <w:jc w:val="both"/>
            </w:pPr>
            <w:r>
              <w:rPr>
                <w:rFonts w:ascii="Times New Roman"/>
                <w:b w:val="false"/>
                <w:i w:val="false"/>
                <w:color w:val="000000"/>
                <w:sz w:val="20"/>
              </w:rPr>
              <w:t>
   27. Если предполагается продажа или поставка серий, произведенных при валидации, то условия их производства полностью соответствуют регистрационному досье и требованиям настоящего Стандарта, включая удовлетворительный результат проведения валидации.</w:t>
            </w:r>
          </w:p>
          <w:p>
            <w:pPr>
              <w:spacing w:after="20"/>
              <w:ind w:left="20"/>
              <w:jc w:val="both"/>
            </w:pPr>
            <w:r>
              <w:rPr>
                <w:rFonts w:ascii="Times New Roman"/>
                <w:b w:val="false"/>
                <w:i w:val="false"/>
                <w:color w:val="000000"/>
                <w:sz w:val="20"/>
              </w:rPr>
              <w:t>
   </w:t>
            </w:r>
            <w:r>
              <w:rPr>
                <w:rFonts w:ascii="Times New Roman"/>
                <w:b/>
                <w:i w:val="false"/>
                <w:color w:val="000000"/>
                <w:sz w:val="20"/>
              </w:rPr>
              <w:t>Сопутствующая валидация</w:t>
            </w:r>
          </w:p>
          <w:p>
            <w:pPr>
              <w:spacing w:after="20"/>
              <w:ind w:left="20"/>
              <w:jc w:val="both"/>
            </w:pPr>
            <w:r>
              <w:rPr>
                <w:rFonts w:ascii="Times New Roman"/>
                <w:b w:val="false"/>
                <w:i w:val="false"/>
                <w:color w:val="000000"/>
                <w:sz w:val="20"/>
              </w:rPr>
              <w:t>
   28. В исключительных случаях допускается начинать серийное производство до завершения программы валидации.</w:t>
            </w:r>
          </w:p>
          <w:p>
            <w:pPr>
              <w:spacing w:after="20"/>
              <w:ind w:left="20"/>
              <w:jc w:val="both"/>
            </w:pPr>
            <w:r>
              <w:rPr>
                <w:rFonts w:ascii="Times New Roman"/>
                <w:b w:val="false"/>
                <w:i w:val="false"/>
                <w:color w:val="000000"/>
                <w:sz w:val="20"/>
              </w:rPr>
              <w:t>
   29. Решение о проведении сопутствующей валидации обосновывается, документально оформляется и утверждается лицами, имеющими на это право.</w:t>
            </w:r>
          </w:p>
          <w:p>
            <w:pPr>
              <w:spacing w:after="20"/>
              <w:ind w:left="20"/>
              <w:jc w:val="both"/>
            </w:pPr>
            <w:r>
              <w:rPr>
                <w:rFonts w:ascii="Times New Roman"/>
                <w:b w:val="false"/>
                <w:i w:val="false"/>
                <w:color w:val="000000"/>
                <w:sz w:val="20"/>
              </w:rPr>
              <w:t>
   30. Требования к документации для сопутствующей валидации являются такими же, как и требования, установленные для перспективной валидации.</w:t>
            </w:r>
          </w:p>
          <w:p>
            <w:pPr>
              <w:spacing w:after="20"/>
              <w:ind w:left="20"/>
              <w:jc w:val="both"/>
            </w:pPr>
            <w:r>
              <w:rPr>
                <w:rFonts w:ascii="Times New Roman"/>
                <w:b w:val="false"/>
                <w:i w:val="false"/>
                <w:color w:val="000000"/>
                <w:sz w:val="20"/>
              </w:rPr>
              <w:t>
   </w:t>
            </w:r>
            <w:r>
              <w:rPr>
                <w:rFonts w:ascii="Times New Roman"/>
                <w:b/>
                <w:i w:val="false"/>
                <w:color w:val="000000"/>
                <w:sz w:val="20"/>
              </w:rPr>
              <w:t>Ретроспективная валидация</w:t>
            </w:r>
          </w:p>
          <w:p>
            <w:pPr>
              <w:spacing w:after="20"/>
              <w:ind w:left="20"/>
              <w:jc w:val="both"/>
            </w:pPr>
            <w:r>
              <w:rPr>
                <w:rFonts w:ascii="Times New Roman"/>
                <w:b w:val="false"/>
                <w:i w:val="false"/>
                <w:color w:val="000000"/>
                <w:sz w:val="20"/>
              </w:rPr>
              <w:t>
   31. Ретроспективная валидация проводится только для хорошо отработанных процессов. Проведение ее не допускается, если в состав продукции, технологический процесс или оборудование недавно были внесены изменения.</w:t>
            </w:r>
          </w:p>
          <w:p>
            <w:pPr>
              <w:spacing w:after="20"/>
              <w:ind w:left="20"/>
              <w:jc w:val="both"/>
            </w:pPr>
            <w:r>
              <w:rPr>
                <w:rFonts w:ascii="Times New Roman"/>
                <w:b w:val="false"/>
                <w:i w:val="false"/>
                <w:color w:val="000000"/>
                <w:sz w:val="20"/>
              </w:rPr>
              <w:t xml:space="preserve">
   32. Ретроспективная валидация таких процессов основывается на предшествующих данных. При этом требуется составление специального протокола и отчета и проведение обзора данных предшествующей эксплуатации с выдачей заключения и рекомендаций. </w:t>
            </w:r>
          </w:p>
          <w:p>
            <w:pPr>
              <w:spacing w:after="20"/>
              <w:ind w:left="20"/>
              <w:jc w:val="both"/>
            </w:pPr>
            <w:r>
              <w:rPr>
                <w:rFonts w:ascii="Times New Roman"/>
                <w:b w:val="false"/>
                <w:i w:val="false"/>
                <w:color w:val="000000"/>
                <w:sz w:val="20"/>
              </w:rPr>
              <w:t>
   33. Источники данных для такой валидации включают, но не ограничиваясь ими: записи по производству и упаковке серий продукции, контрольные карты производства, журналы проведения технического обслуживания, данные об изменениях в персонале, исследования возможностей процесса, данные о готовой продукции, в том числе карты тенденций, а также результаты изучения ее стабильности при хранении.</w:t>
            </w:r>
          </w:p>
          <w:p>
            <w:pPr>
              <w:spacing w:after="20"/>
              <w:ind w:left="20"/>
              <w:jc w:val="both"/>
            </w:pPr>
            <w:r>
              <w:rPr>
                <w:rFonts w:ascii="Times New Roman"/>
                <w:b w:val="false"/>
                <w:i w:val="false"/>
                <w:color w:val="000000"/>
                <w:sz w:val="20"/>
              </w:rPr>
              <w:t>
   34. Серии продукции, отобранные для проведения ретроспективной валидации, являются представительной выборкой для всех серий, произведенных в течение рассматриваемого периода, в том числе всех серий, не соответствующих спецификациям. Стремятся, чтобы количество серий продукции было достаточным, чтобы доказать стабильность процесса. При проведении ретроспективной валидации процесса могут понадобиться дополнительные испытания архивных образцов для получения необходимого количества или необходимого вида данных.</w:t>
            </w:r>
          </w:p>
          <w:p>
            <w:pPr>
              <w:spacing w:after="20"/>
              <w:ind w:left="20"/>
              <w:jc w:val="both"/>
            </w:pPr>
            <w:r>
              <w:rPr>
                <w:rFonts w:ascii="Times New Roman"/>
                <w:b w:val="false"/>
                <w:i w:val="false"/>
                <w:color w:val="000000"/>
                <w:sz w:val="20"/>
              </w:rPr>
              <w:t>
   35. Для оценки стабильности процесса при проведении ретроспективной валидации следует выполнить анализ данных по 10-30 последовательно произведенным сериям, однако при наличии соответствующего обоснования количество исследуемых серий уменьшается.</w:t>
            </w:r>
          </w:p>
          <w:p>
            <w:pPr>
              <w:spacing w:after="20"/>
              <w:ind w:left="20"/>
              <w:jc w:val="both"/>
            </w:pPr>
            <w:r>
              <w:rPr>
                <w:rFonts w:ascii="Times New Roman"/>
                <w:b w:val="false"/>
                <w:i w:val="false"/>
                <w:color w:val="000000"/>
                <w:sz w:val="20"/>
              </w:rPr>
              <w:t>
   </w:t>
            </w:r>
            <w:r>
              <w:rPr>
                <w:rFonts w:ascii="Times New Roman"/>
                <w:b/>
                <w:i w:val="false"/>
                <w:color w:val="000000"/>
                <w:sz w:val="20"/>
              </w:rPr>
              <w:t>Валидация очистки</w:t>
            </w:r>
          </w:p>
          <w:p>
            <w:pPr>
              <w:spacing w:after="20"/>
              <w:ind w:left="20"/>
              <w:jc w:val="both"/>
            </w:pPr>
            <w:r>
              <w:rPr>
                <w:rFonts w:ascii="Times New Roman"/>
                <w:b w:val="false"/>
                <w:i w:val="false"/>
                <w:color w:val="000000"/>
                <w:sz w:val="20"/>
              </w:rPr>
              <w:t>
   36. Валидацию очистки проводят для того, чтобы подтвердить эффективность процедуры очистки. Обоснование выбранных пределов для переносимых остатков продукта, моющих средств, а также микробной контаминации основывается на свойствах применяемых материалов. Эти предельные значения реально достижимые и проверяемые.</w:t>
            </w:r>
          </w:p>
          <w:p>
            <w:pPr>
              <w:spacing w:after="20"/>
              <w:ind w:left="20"/>
              <w:jc w:val="both"/>
            </w:pPr>
            <w:r>
              <w:rPr>
                <w:rFonts w:ascii="Times New Roman"/>
                <w:b w:val="false"/>
                <w:i w:val="false"/>
                <w:color w:val="000000"/>
                <w:sz w:val="20"/>
              </w:rPr>
              <w:t>
   37. Для обнаружения остатков или контаминантов используют валидированные аналитические методики. Стремятся, чтобы предел обнаружения для каждой аналитической методики был достаточный для того, чтобы обнаружить установленный допустимый уровень остатка или контаминанта.</w:t>
            </w:r>
          </w:p>
          <w:p>
            <w:pPr>
              <w:spacing w:after="20"/>
              <w:ind w:left="20"/>
              <w:jc w:val="both"/>
            </w:pPr>
            <w:r>
              <w:rPr>
                <w:rFonts w:ascii="Times New Roman"/>
                <w:b w:val="false"/>
                <w:i w:val="false"/>
                <w:color w:val="000000"/>
                <w:sz w:val="20"/>
              </w:rPr>
              <w:t>
   38. Проводят валидацию только процедур очистки поверхностей оборудования, контактирующих с продукцией. Однако уделяется внимание и деталям оборудования, не контактирующим с продукцией. Проводится валидация длительности интервалов времени между окончанием процесса и очисткой, а также между очисткой и началом следующего процесса. Определяются методы очистки и интервалы времени между проведением очистки.</w:t>
            </w:r>
          </w:p>
          <w:p>
            <w:pPr>
              <w:spacing w:after="20"/>
              <w:ind w:left="20"/>
              <w:jc w:val="both"/>
            </w:pPr>
            <w:r>
              <w:rPr>
                <w:rFonts w:ascii="Times New Roman"/>
                <w:b w:val="false"/>
                <w:i w:val="false"/>
                <w:color w:val="000000"/>
                <w:sz w:val="20"/>
              </w:rPr>
              <w:t xml:space="preserve">
   39. Для процедур очистки, связанных с очень сходными продуктами и процессами, выбирается представительный ряд сходных продуктов и процессов. В таких случаях проводится одно валидационное исследование с использованием подхода "наихудший случай", при котором учтены все критические факторы. </w:t>
            </w:r>
          </w:p>
          <w:p>
            <w:pPr>
              <w:spacing w:after="20"/>
              <w:ind w:left="20"/>
              <w:jc w:val="both"/>
            </w:pPr>
            <w:r>
              <w:rPr>
                <w:rFonts w:ascii="Times New Roman"/>
                <w:b w:val="false"/>
                <w:i w:val="false"/>
                <w:color w:val="000000"/>
                <w:sz w:val="20"/>
              </w:rPr>
              <w:t>
   40. Для валидации процедуры очистки достаточно успешного проведения трех последовательных циклов очистки.</w:t>
            </w:r>
          </w:p>
          <w:p>
            <w:pPr>
              <w:spacing w:after="20"/>
              <w:ind w:left="20"/>
              <w:jc w:val="both"/>
            </w:pPr>
            <w:r>
              <w:rPr>
                <w:rFonts w:ascii="Times New Roman"/>
                <w:b w:val="false"/>
                <w:i w:val="false"/>
                <w:color w:val="000000"/>
                <w:sz w:val="20"/>
              </w:rPr>
              <w:t>
   41. Метод "испытывать до тех пор, пока не будет чисто" не заменяет валидацию процедуры очистки.</w:t>
            </w:r>
          </w:p>
          <w:p>
            <w:pPr>
              <w:spacing w:after="20"/>
              <w:ind w:left="20"/>
              <w:jc w:val="both"/>
            </w:pPr>
            <w:r>
              <w:rPr>
                <w:rFonts w:ascii="Times New Roman"/>
                <w:b w:val="false"/>
                <w:i w:val="false"/>
                <w:color w:val="000000"/>
                <w:sz w:val="20"/>
              </w:rPr>
              <w:t>
   42. Если удаляемые вещества являются токсичными или опасными, то в порядке исключения вместо них используют продукты, моделирующие физико-химические свойства таких веществ.</w:t>
            </w:r>
          </w:p>
          <w:p>
            <w:pPr>
              <w:spacing w:after="20"/>
              <w:ind w:left="20"/>
              <w:jc w:val="both"/>
            </w:pPr>
            <w:r>
              <w:rPr>
                <w:rFonts w:ascii="Times New Roman"/>
                <w:b w:val="false"/>
                <w:i w:val="false"/>
                <w:color w:val="000000"/>
                <w:sz w:val="20"/>
              </w:rPr>
              <w:t>
   </w:t>
            </w:r>
            <w:r>
              <w:rPr>
                <w:rFonts w:ascii="Times New Roman"/>
                <w:b/>
                <w:i w:val="false"/>
                <w:color w:val="000000"/>
                <w:sz w:val="20"/>
              </w:rPr>
              <w:t>Контроль изменений</w:t>
            </w:r>
          </w:p>
          <w:p>
            <w:pPr>
              <w:spacing w:after="20"/>
              <w:ind w:left="20"/>
              <w:jc w:val="both"/>
            </w:pPr>
            <w:r>
              <w:rPr>
                <w:rFonts w:ascii="Times New Roman"/>
                <w:b w:val="false"/>
                <w:i w:val="false"/>
                <w:color w:val="000000"/>
                <w:sz w:val="20"/>
              </w:rPr>
              <w:t>
   43. Имеются письменные процедуры с описанием действий, которые следует предпринять, если предполагается изменение исходного сырья, компонентов продукта, технологического оборудования, параметров производственной среды или участка, способа производства или метода контроля или любое другое изменение, которое влияет на качество продукции или воспроизводимость процесса. Процедуры контроля изменений обеспечивают получение достаточного количества данных для подтверждения того, что измененный процесс позволяет получать продукцию требуемого качества, соответствующую утвержденным спецификациям.</w:t>
            </w:r>
          </w:p>
          <w:p>
            <w:pPr>
              <w:spacing w:after="20"/>
              <w:ind w:left="20"/>
              <w:jc w:val="both"/>
            </w:pPr>
            <w:r>
              <w:rPr>
                <w:rFonts w:ascii="Times New Roman"/>
                <w:b w:val="false"/>
                <w:i w:val="false"/>
                <w:color w:val="000000"/>
                <w:sz w:val="20"/>
              </w:rPr>
              <w:t>
   44. Все изменения, которые оказывают влияние на качество продукции или воспроизводимость процесса, официально заявляются, документально оформляются и утверждаются. Оценивается возможное влияние изменений в помещениях, системах и оборудовании на продукцию, в том числе проводится анализ рисков. Определяется необходимость и объем повторной квалификации и повторной валидации.</w:t>
            </w:r>
          </w:p>
          <w:p>
            <w:pPr>
              <w:spacing w:after="20"/>
              <w:ind w:left="20"/>
              <w:jc w:val="both"/>
            </w:pPr>
            <w:r>
              <w:rPr>
                <w:rFonts w:ascii="Times New Roman"/>
                <w:b w:val="false"/>
                <w:i w:val="false"/>
                <w:color w:val="000000"/>
                <w:sz w:val="20"/>
              </w:rPr>
              <w:t>
   </w:t>
            </w:r>
            <w:r>
              <w:rPr>
                <w:rFonts w:ascii="Times New Roman"/>
                <w:b/>
                <w:i w:val="false"/>
                <w:color w:val="000000"/>
                <w:sz w:val="20"/>
              </w:rPr>
              <w:t>Повторная валидация</w:t>
            </w:r>
          </w:p>
          <w:p>
            <w:pPr>
              <w:spacing w:after="20"/>
              <w:ind w:left="20"/>
              <w:jc w:val="both"/>
            </w:pPr>
            <w:r>
              <w:rPr>
                <w:rFonts w:ascii="Times New Roman"/>
                <w:b w:val="false"/>
                <w:i w:val="false"/>
                <w:color w:val="000000"/>
                <w:sz w:val="20"/>
              </w:rPr>
              <w:t>
   45. Проводится периодическая оценка помещений, систем, оборудования и процессов, включая процедуры очистки, для подтверждения их соответствия заданным требованиям. Если существенные изменения отсутствуют, то вместо повторной валидации составляется отчет, свидетельствующий о том, что помещения, системы, оборудование и процессы соответствуют установленным требованиям.</w:t>
            </w:r>
          </w:p>
          <w:p>
            <w:pPr>
              <w:spacing w:after="20"/>
              <w:ind w:left="20"/>
              <w:jc w:val="both"/>
            </w:pPr>
            <w:r>
              <w:rPr>
                <w:rFonts w:ascii="Times New Roman"/>
                <w:b w:val="false"/>
                <w:i w:val="false"/>
                <w:color w:val="000000"/>
                <w:sz w:val="20"/>
              </w:rPr>
              <w:t>
   </w:t>
            </w:r>
            <w:r>
              <w:rPr>
                <w:rFonts w:ascii="Times New Roman"/>
                <w:b/>
                <w:i w:val="false"/>
                <w:color w:val="000000"/>
                <w:sz w:val="20"/>
              </w:rPr>
              <w:t>Термины и определения</w:t>
            </w:r>
          </w:p>
          <w:p>
            <w:pPr>
              <w:spacing w:after="20"/>
              <w:ind w:left="20"/>
              <w:jc w:val="both"/>
            </w:pPr>
            <w:r>
              <w:rPr>
                <w:rFonts w:ascii="Times New Roman"/>
                <w:b w:val="false"/>
                <w:i w:val="false"/>
                <w:color w:val="000000"/>
                <w:sz w:val="20"/>
              </w:rPr>
              <w:t>
   Термины, относящиеся к квалификации и валидации и не включенные в общий раздел "Термины и определения" настоящего Стандарта, приведены ниже в данном Приложении.</w:t>
            </w:r>
          </w:p>
          <w:p>
            <w:pPr>
              <w:spacing w:after="20"/>
              <w:ind w:left="20"/>
              <w:jc w:val="both"/>
            </w:pPr>
            <w:r>
              <w:rPr>
                <w:rFonts w:ascii="Times New Roman"/>
                <w:b w:val="false"/>
                <w:i w:val="false"/>
                <w:color w:val="000000"/>
                <w:sz w:val="20"/>
              </w:rPr>
              <w:t>
   Анализ рисков - метод оценки и описания критических параметров при функционировании оборудования, систем или процесса.</w:t>
            </w:r>
          </w:p>
          <w:p>
            <w:pPr>
              <w:spacing w:after="20"/>
              <w:ind w:left="20"/>
              <w:jc w:val="both"/>
            </w:pPr>
            <w:r>
              <w:rPr>
                <w:rFonts w:ascii="Times New Roman"/>
                <w:b w:val="false"/>
                <w:i w:val="false"/>
                <w:color w:val="000000"/>
                <w:sz w:val="20"/>
              </w:rPr>
              <w:t>
   Валидация очистки - документально оформленное подтверждение того, что утвержденная процедура очистки обеспечивает такую чистоту оборудования, которая необходима для производства лекарственных средств.</w:t>
            </w:r>
          </w:p>
          <w:p>
            <w:pPr>
              <w:spacing w:after="20"/>
              <w:ind w:left="20"/>
              <w:jc w:val="both"/>
            </w:pPr>
            <w:r>
              <w:rPr>
                <w:rFonts w:ascii="Times New Roman"/>
                <w:b w:val="false"/>
                <w:i w:val="false"/>
                <w:color w:val="000000"/>
                <w:sz w:val="20"/>
              </w:rPr>
              <w:t xml:space="preserve">
   Валидация процесса - документально оформленное подтверждение того, что процесс, выполняемый в рамках установленных параметров, осуществляется эффективно, воспроизводимо и приводит к производству лекарственного препарата, соответствующего заранее установленным спецификациям и характеристикам качества. </w:t>
            </w:r>
          </w:p>
          <w:p>
            <w:pPr>
              <w:spacing w:after="20"/>
              <w:ind w:left="20"/>
              <w:jc w:val="both"/>
            </w:pPr>
            <w:r>
              <w:rPr>
                <w:rFonts w:ascii="Times New Roman"/>
                <w:b w:val="false"/>
                <w:i w:val="false"/>
                <w:color w:val="000000"/>
                <w:sz w:val="20"/>
              </w:rPr>
              <w:t xml:space="preserve">
Квалификация монтажа - документально оформленное подтверждение того, что монтаж помещений, систем и оборудования (установленных или модифицированных) выполнен в соответствии с утвержденным проектом, рекомендациями производителя и (или) требованиями пользователя. </w:t>
            </w:r>
          </w:p>
          <w:p>
            <w:pPr>
              <w:spacing w:after="20"/>
              <w:ind w:left="20"/>
              <w:jc w:val="both"/>
            </w:pPr>
            <w:r>
              <w:rPr>
                <w:rFonts w:ascii="Times New Roman"/>
                <w:b w:val="false"/>
                <w:i w:val="false"/>
                <w:color w:val="000000"/>
                <w:sz w:val="20"/>
              </w:rPr>
              <w:t>
   Квалификация проекта - документально оформленное подтверждение того, что предложенный проект производственных помещений, оборудования или систем является пригодным для применения по назначению.</w:t>
            </w:r>
          </w:p>
          <w:p>
            <w:pPr>
              <w:spacing w:after="20"/>
              <w:ind w:left="20"/>
              <w:jc w:val="both"/>
            </w:pPr>
            <w:r>
              <w:rPr>
                <w:rFonts w:ascii="Times New Roman"/>
                <w:b w:val="false"/>
                <w:i w:val="false"/>
                <w:color w:val="000000"/>
                <w:sz w:val="20"/>
              </w:rPr>
              <w:t>
   Квалификация функционирования - документально оформленное подтверждение того, что помещения, системы и оборудование, установленные или модифицированные, функционируют в соответствии с предъявляемыми требованиями во всех предусмотренных режимах работы.</w:t>
            </w:r>
          </w:p>
          <w:p>
            <w:pPr>
              <w:spacing w:after="20"/>
              <w:ind w:left="20"/>
              <w:jc w:val="both"/>
            </w:pPr>
            <w:r>
              <w:rPr>
                <w:rFonts w:ascii="Times New Roman"/>
                <w:b w:val="false"/>
                <w:i w:val="false"/>
                <w:color w:val="000000"/>
                <w:sz w:val="20"/>
              </w:rPr>
              <w:t>
   Квалификация эксплуатации - документально оформленное подтверждение того, что помещения, системы и оборудование при совместном использовании работают эффективно и с воспроизводимыми показателями в соответствии с утвержденными требованиями и характеристиками процесса.</w:t>
            </w:r>
          </w:p>
          <w:p>
            <w:pPr>
              <w:spacing w:after="20"/>
              <w:ind w:left="20"/>
              <w:jc w:val="both"/>
            </w:pPr>
            <w:r>
              <w:rPr>
                <w:rFonts w:ascii="Times New Roman"/>
                <w:b w:val="false"/>
                <w:i w:val="false"/>
                <w:color w:val="000000"/>
                <w:sz w:val="20"/>
              </w:rPr>
              <w:t>
   Контроль изменений - документально оформленный порядок, согласно которому квалифицированные представители различных специальностей рассматривают предложенные или фактически внесенные изменения, которые влияют на валидированное состояние помещений, оборудования, систем или процессов. Цель такого контроля определить необходимость мероприятий, которые обеспечивают и документально удостоверяют поддержание системы в валидированном состоянии.</w:t>
            </w:r>
          </w:p>
          <w:p>
            <w:pPr>
              <w:spacing w:after="20"/>
              <w:ind w:left="20"/>
              <w:jc w:val="both"/>
            </w:pPr>
            <w:r>
              <w:rPr>
                <w:rFonts w:ascii="Times New Roman"/>
                <w:b w:val="false"/>
                <w:i w:val="false"/>
                <w:color w:val="000000"/>
                <w:sz w:val="20"/>
              </w:rPr>
              <w:t>
   Моделирующий препарат - материал, который по своим физическим и химическим характеристикам близок продукту, в отношении которого проводится валидация. Во многих случаях этими характеристиками обладаеть серия препарата-плацебо - продукта, не содержащего активного ингредиента.</w:t>
            </w:r>
          </w:p>
          <w:p>
            <w:pPr>
              <w:spacing w:after="20"/>
              <w:ind w:left="20"/>
              <w:jc w:val="both"/>
            </w:pPr>
            <w:r>
              <w:rPr>
                <w:rFonts w:ascii="Times New Roman"/>
                <w:b w:val="false"/>
                <w:i w:val="false"/>
                <w:color w:val="000000"/>
                <w:sz w:val="20"/>
              </w:rPr>
              <w:t>
   Наихудший случай - определенные стандартными операционными процедурами условия или комплекс условий, относящиеся к верхним и нижним предельным значениям рабочих параметров процесса и связанным с ними факторам, которые обусловливают наибольшую вероятность появления сбоя в процессе или дефекта продукта по сравнению с идеальными условиями. Такие условия не обязательно приводят к сбою в процессе или появлению дефекта продукта.</w:t>
            </w:r>
          </w:p>
          <w:p>
            <w:pPr>
              <w:spacing w:after="20"/>
              <w:ind w:left="20"/>
              <w:jc w:val="both"/>
            </w:pPr>
            <w:r>
              <w:rPr>
                <w:rFonts w:ascii="Times New Roman"/>
                <w:b w:val="false"/>
                <w:i w:val="false"/>
                <w:color w:val="000000"/>
                <w:sz w:val="20"/>
              </w:rPr>
              <w:t>
   Перспективная валидация - валидация, выполняемая до начала серийного производства продукции, предназначенной для реализации.</w:t>
            </w:r>
          </w:p>
          <w:p>
            <w:pPr>
              <w:spacing w:after="20"/>
              <w:ind w:left="20"/>
              <w:jc w:val="both"/>
            </w:pPr>
            <w:r>
              <w:rPr>
                <w:rFonts w:ascii="Times New Roman"/>
                <w:b w:val="false"/>
                <w:i w:val="false"/>
                <w:color w:val="000000"/>
                <w:sz w:val="20"/>
              </w:rPr>
              <w:t>
   Повторная валидация - повторение валидации процесса для обеспечения гарантии того, что изменения в процессе или оборудовании, внесенные в соответствии с процедурой контроля изменений, не ухудшают характеристики процесса и качество продукции.</w:t>
            </w:r>
          </w:p>
          <w:p>
            <w:pPr>
              <w:spacing w:after="20"/>
              <w:ind w:left="20"/>
              <w:jc w:val="both"/>
            </w:pPr>
            <w:r>
              <w:rPr>
                <w:rFonts w:ascii="Times New Roman"/>
                <w:b w:val="false"/>
                <w:i w:val="false"/>
                <w:color w:val="000000"/>
                <w:sz w:val="20"/>
              </w:rPr>
              <w:t>
   Ретроспективная валидация - валидация серийного процесса производства реализуемого продукта, основанная на собранных данных о производстве и контроле серий продукции.</w:t>
            </w:r>
          </w:p>
          <w:p>
            <w:pPr>
              <w:spacing w:after="20"/>
              <w:ind w:left="20"/>
              <w:jc w:val="both"/>
            </w:pPr>
            <w:r>
              <w:rPr>
                <w:rFonts w:ascii="Times New Roman"/>
                <w:b w:val="false"/>
                <w:i w:val="false"/>
                <w:color w:val="000000"/>
                <w:sz w:val="20"/>
              </w:rPr>
              <w:t>
   Система - комплекс оборудования, имеющего общее назначение.</w:t>
            </w:r>
          </w:p>
          <w:p>
            <w:pPr>
              <w:spacing w:after="20"/>
              <w:ind w:left="20"/>
              <w:jc w:val="both"/>
            </w:pPr>
            <w:r>
              <w:rPr>
                <w:rFonts w:ascii="Times New Roman"/>
                <w:b w:val="false"/>
                <w:i w:val="false"/>
                <w:color w:val="000000"/>
                <w:sz w:val="20"/>
              </w:rPr>
              <w:t>
   Сопутствующая валидация - валидация, выполняемая во время текущего, серийного производства продукции, предназначенной для реализации.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9"/>
              <w:gridCol w:w="4511"/>
            </w:tblGrid>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Подтверждение уполномоченным лицом соответствия серии продукции с целью ее выпуска</w:t>
                  </w:r>
                </w:p>
              </w:tc>
            </w:tr>
          </w:tbl>
          <w:p/>
          <w:p>
            <w:pPr>
              <w:spacing w:after="20"/>
              <w:ind w:left="20"/>
              <w:jc w:val="both"/>
            </w:pPr>
            <w:r>
              <w:rPr>
                <w:rFonts w:ascii="Times New Roman"/>
                <w:b w:val="false"/>
                <w:i w:val="false"/>
                <w:color w:val="000000"/>
                <w:sz w:val="20"/>
              </w:rPr>
              <w:t>
   </w:t>
            </w:r>
            <w:r>
              <w:rPr>
                <w:rFonts w:ascii="Times New Roman"/>
                <w:b/>
                <w:i w:val="false"/>
                <w:color w:val="000000"/>
                <w:sz w:val="20"/>
              </w:rPr>
              <w:t>1. Область применения</w:t>
            </w:r>
          </w:p>
          <w:p>
            <w:pPr>
              <w:spacing w:after="20"/>
              <w:ind w:left="20"/>
              <w:jc w:val="both"/>
            </w:pPr>
            <w:r>
              <w:rPr>
                <w:rFonts w:ascii="Times New Roman"/>
                <w:b w:val="false"/>
                <w:i w:val="false"/>
                <w:color w:val="000000"/>
                <w:sz w:val="20"/>
              </w:rPr>
              <w:t>
   1.1. В данном Приложении к настоящему Стандарту установлены порядок подтверждения соответствия, выполняемого Уполномоченным лицом, и требования к выпуску серий, зарегистрированных или произведенных для экспорта лекарственных препаратов.</w:t>
            </w:r>
          </w:p>
          <w:p>
            <w:pPr>
              <w:spacing w:after="20"/>
              <w:ind w:left="20"/>
              <w:jc w:val="both"/>
            </w:pPr>
            <w:r>
              <w:rPr>
                <w:rFonts w:ascii="Times New Roman"/>
                <w:b w:val="false"/>
                <w:i w:val="false"/>
                <w:color w:val="000000"/>
                <w:sz w:val="20"/>
              </w:rPr>
              <w:t>
   1.2. В Приложении рассмотрены также случаи, когда производство серии продукции или проведение анализов разделено на несколько этапов, выполняемых в разных местах или разными производителями, а также когда серию промежуточной или нерасфасованной продукции разделяют на две и более серий готовой продукции. Данное Приложение также применено к лекарственным препаратам для клинических исследований, на которые распространяются другие законодательные положения и специализированные правила, приведенные в Приложении 13 к настоящему Стандарту.</w:t>
            </w:r>
          </w:p>
          <w:p>
            <w:pPr>
              <w:spacing w:after="20"/>
              <w:ind w:left="20"/>
              <w:jc w:val="both"/>
            </w:pPr>
            <w:r>
              <w:rPr>
                <w:rFonts w:ascii="Times New Roman"/>
                <w:b w:val="false"/>
                <w:i w:val="false"/>
                <w:color w:val="000000"/>
                <w:sz w:val="20"/>
              </w:rPr>
              <w:t>
   1.3. Настоящее Приложение не описывает все возможные меры, принятие которых допустимо с точки зрения законодательства. Оно не касается также разрешения на выпуск серии со стороны Уполномоченного органа, которое может иметь специфику для некоторых препаратов крови и иммунобиологических лекарственных препаратов.</w:t>
            </w:r>
          </w:p>
          <w:p>
            <w:pPr>
              <w:spacing w:after="20"/>
              <w:ind w:left="20"/>
              <w:jc w:val="both"/>
            </w:pPr>
            <w:r>
              <w:rPr>
                <w:rFonts w:ascii="Times New Roman"/>
                <w:b w:val="false"/>
                <w:i w:val="false"/>
                <w:color w:val="000000"/>
                <w:sz w:val="20"/>
              </w:rPr>
              <w:t>
   1.4. Основные требования к выпуску серии продукции приводятся в регистрационном досье. Положения настоящего Приложения применяются в области, не противоречащей этим основным требованиям.</w:t>
            </w:r>
          </w:p>
          <w:p>
            <w:pPr>
              <w:spacing w:after="20"/>
              <w:ind w:left="20"/>
              <w:jc w:val="both"/>
            </w:pPr>
            <w:r>
              <w:rPr>
                <w:rFonts w:ascii="Times New Roman"/>
                <w:b w:val="false"/>
                <w:i w:val="false"/>
                <w:color w:val="000000"/>
                <w:sz w:val="20"/>
              </w:rPr>
              <w:t>
   </w:t>
            </w:r>
            <w:r>
              <w:rPr>
                <w:rFonts w:ascii="Times New Roman"/>
                <w:b/>
                <w:i w:val="false"/>
                <w:color w:val="000000"/>
                <w:sz w:val="20"/>
              </w:rPr>
              <w:t>2. Принцип</w:t>
            </w:r>
          </w:p>
          <w:p>
            <w:pPr>
              <w:spacing w:after="20"/>
              <w:ind w:left="20"/>
              <w:jc w:val="both"/>
            </w:pPr>
            <w:r>
              <w:rPr>
                <w:rFonts w:ascii="Times New Roman"/>
                <w:b w:val="false"/>
                <w:i w:val="false"/>
                <w:color w:val="000000"/>
                <w:sz w:val="20"/>
              </w:rPr>
              <w:t>
   2.1. Каждая серия готовой продукции получает от Уполномоченного лица подтверждение ее соответствия установленным требованиям до ее выпуска на внутренний рынок или на экспорт.</w:t>
            </w:r>
          </w:p>
          <w:p>
            <w:pPr>
              <w:spacing w:after="20"/>
              <w:ind w:left="20"/>
              <w:jc w:val="both"/>
            </w:pPr>
            <w:r>
              <w:rPr>
                <w:rFonts w:ascii="Times New Roman"/>
                <w:b w:val="false"/>
                <w:i w:val="false"/>
                <w:color w:val="000000"/>
                <w:sz w:val="20"/>
              </w:rPr>
              <w:t>
   2.2. Целями регулирования процедуры выпуска серии продукции являются:</w:t>
            </w:r>
          </w:p>
          <w:p>
            <w:pPr>
              <w:spacing w:after="20"/>
              <w:ind w:left="20"/>
              <w:jc w:val="both"/>
            </w:pPr>
            <w:r>
              <w:rPr>
                <w:rFonts w:ascii="Times New Roman"/>
                <w:b w:val="false"/>
                <w:i w:val="false"/>
                <w:color w:val="000000"/>
                <w:sz w:val="20"/>
              </w:rPr>
              <w:t>
   гарантия того, что серия была произведена и проверена согласно требованиям лицензии на производство, регистрационного досье и настоящего Стандарта или аналогичных правил надлежащего производства другой страны, признанных эквивалентными настоящему Стандарту, а также любым другим соответствующим законодательным требованиям перед ее выпуском;</w:t>
            </w:r>
          </w:p>
          <w:p>
            <w:pPr>
              <w:spacing w:after="20"/>
              <w:ind w:left="20"/>
              <w:jc w:val="both"/>
            </w:pPr>
            <w:r>
              <w:rPr>
                <w:rFonts w:ascii="Times New Roman"/>
                <w:b w:val="false"/>
                <w:i w:val="false"/>
                <w:color w:val="000000"/>
                <w:sz w:val="20"/>
              </w:rPr>
              <w:t>
   гарантия того, что при необходимости исследования дефекта или отзыва серии могут быть легко идентифицированы Уполномоченное лицо, которое выдало разрешение на ее выпуск, и соответствующие записи.</w:t>
            </w:r>
          </w:p>
          <w:p>
            <w:pPr>
              <w:spacing w:after="20"/>
              <w:ind w:left="20"/>
              <w:jc w:val="both"/>
            </w:pPr>
            <w:r>
              <w:rPr>
                <w:rFonts w:ascii="Times New Roman"/>
                <w:b w:val="false"/>
                <w:i w:val="false"/>
                <w:color w:val="000000"/>
                <w:sz w:val="20"/>
              </w:rPr>
              <w:t>
   </w:t>
            </w:r>
            <w:r>
              <w:rPr>
                <w:rFonts w:ascii="Times New Roman"/>
                <w:b/>
                <w:i w:val="false"/>
                <w:color w:val="000000"/>
                <w:sz w:val="20"/>
              </w:rPr>
              <w:t>3. Введение</w:t>
            </w:r>
          </w:p>
          <w:p>
            <w:pPr>
              <w:spacing w:after="20"/>
              <w:ind w:left="20"/>
              <w:jc w:val="both"/>
            </w:pPr>
            <w:r>
              <w:rPr>
                <w:rFonts w:ascii="Times New Roman"/>
                <w:b w:val="false"/>
                <w:i w:val="false"/>
                <w:color w:val="000000"/>
                <w:sz w:val="20"/>
              </w:rPr>
              <w:t>
   3.1. Производство серии лекарственных препаратов, в том числе контроль качества, разделяется на стадии, которые могут выполняться на разных производственных площадках и разными производителями. Каждая стадия выполняется согласно соответствующему регистрационному досье, требованиям настоящего Стандарта и действующему законодательству. Этим руководствуется Уполномоченное лицо, осуществляющее процедуру подтверждения соответствия серии готовой продукции установленным требованиям перед ее выпуском.</w:t>
            </w:r>
          </w:p>
          <w:p>
            <w:pPr>
              <w:spacing w:after="20"/>
              <w:ind w:left="20"/>
              <w:jc w:val="both"/>
            </w:pPr>
            <w:r>
              <w:rPr>
                <w:rFonts w:ascii="Times New Roman"/>
                <w:b w:val="false"/>
                <w:i w:val="false"/>
                <w:color w:val="000000"/>
                <w:sz w:val="20"/>
              </w:rPr>
              <w:t>
   3.2. В условиях промышленного производства если одно Уполномоченное лицо не имеет возможности тщательно изучить каждую стадию производства, то Уполномоченное лицо, которое подтверждает соответствие серии готовой продукции, по отдельным вопросам опирается на заключения других Уполномоченных лиц. В таких случаях Уполномоченное лицо предварительно удостоверяется в обоснованности такого доверия либо исходя из личного опыта, либо на основании подтверждения другими Уполномоченными лицами в рамках признаваемой им системы качества.</w:t>
            </w:r>
          </w:p>
          <w:p>
            <w:pPr>
              <w:spacing w:after="20"/>
              <w:ind w:left="20"/>
              <w:jc w:val="both"/>
            </w:pPr>
            <w:r>
              <w:rPr>
                <w:rFonts w:ascii="Times New Roman"/>
                <w:b w:val="false"/>
                <w:i w:val="false"/>
                <w:color w:val="000000"/>
                <w:sz w:val="20"/>
              </w:rPr>
              <w:t>
   3.3. При выполнении отдельных стадий производства в третьей стране аналогичные требования к соответствию производства и проведению контроля качества предъявляются и к участнику производства в этой стране. В этом случае производство лекарственных препаратов также осуществляется в соответствии с требованиями регистрационного досье. Производитель имеет лицензию на осуществление деятельности в соответствии с требованиями законодательства и выполняет требования настоящего Стандарта или правил надлежащего производства, как минимум, эквивалентных настоящему Стандарту.</w:t>
            </w:r>
          </w:p>
          <w:p>
            <w:pPr>
              <w:spacing w:after="20"/>
              <w:ind w:left="20"/>
              <w:jc w:val="both"/>
            </w:pPr>
            <w:r>
              <w:rPr>
                <w:rFonts w:ascii="Times New Roman"/>
                <w:b w:val="false"/>
                <w:i w:val="false"/>
                <w:color w:val="000000"/>
                <w:sz w:val="20"/>
              </w:rPr>
              <w:t xml:space="preserve">
   3.4. Некоторым используемым в данном Приложении терминам присвоены конкретные значения, приведенные в разделе "Термины и определения" данного Приложения. </w:t>
            </w:r>
          </w:p>
          <w:p>
            <w:pPr>
              <w:spacing w:after="20"/>
              <w:ind w:left="20"/>
              <w:jc w:val="both"/>
            </w:pPr>
            <w:r>
              <w:rPr>
                <w:rFonts w:ascii="Times New Roman"/>
                <w:b w:val="false"/>
                <w:i w:val="false"/>
                <w:color w:val="000000"/>
                <w:sz w:val="20"/>
              </w:rPr>
              <w:t>
   </w:t>
            </w:r>
            <w:r>
              <w:rPr>
                <w:rFonts w:ascii="Times New Roman"/>
                <w:b/>
                <w:i w:val="false"/>
                <w:color w:val="000000"/>
                <w:sz w:val="20"/>
              </w:rPr>
              <w:t>4. Общие требования</w:t>
            </w:r>
          </w:p>
          <w:p>
            <w:pPr>
              <w:spacing w:after="20"/>
              <w:ind w:left="20"/>
              <w:jc w:val="both"/>
            </w:pPr>
            <w:r>
              <w:rPr>
                <w:rFonts w:ascii="Times New Roman"/>
                <w:b w:val="false"/>
                <w:i w:val="false"/>
                <w:color w:val="000000"/>
                <w:sz w:val="20"/>
              </w:rPr>
              <w:t>
   4.1. В случае, если различные стадии или этапы производства, ввоза, контроля и хранения одной и той же серии готовой продукции перед ее выпуском осуществляются на разных производственных площадках, имеющих одну или раздельные лицензии на производство и осуществляющих деятельность под контролем, по крайней мере, одного Уполномоченного лица, подтверждающего соответствие этой серии установленным требованиям до ее выпуска, то надлежащее производство конкретной серии продукции, независимо от числа задействованных участков, находится под общим надзором этого Уполномоченного лица.</w:t>
            </w:r>
          </w:p>
          <w:p>
            <w:pPr>
              <w:spacing w:after="20"/>
              <w:ind w:left="20"/>
              <w:jc w:val="both"/>
            </w:pPr>
            <w:r>
              <w:rPr>
                <w:rFonts w:ascii="Times New Roman"/>
                <w:b w:val="false"/>
                <w:i w:val="false"/>
                <w:color w:val="000000"/>
                <w:sz w:val="20"/>
              </w:rPr>
              <w:t>
   4.2. Держатель регистрационного удостоверения, а также каждая производственная площадка, имеющая право на выпуск серии продукции, имеет в своем распоряжении точное указание адреса площадки, на которой была выпущена конкретная серия продукции, и информацию об Уполномоченном лице, ответственном за подтверждение соответствия ее качества установленным требованиям.</w:t>
            </w:r>
          </w:p>
          <w:p>
            <w:pPr>
              <w:spacing w:after="20"/>
              <w:ind w:left="20"/>
              <w:jc w:val="both"/>
            </w:pPr>
            <w:r>
              <w:rPr>
                <w:rFonts w:ascii="Times New Roman"/>
                <w:b w:val="false"/>
                <w:i w:val="false"/>
                <w:color w:val="000000"/>
                <w:sz w:val="20"/>
              </w:rPr>
              <w:t>
   4.3. Уполномоченное лицо, подтверждающее соответствие серии готовой продукции установленным требованиям перед выдачей разрешения на выпуск, основывает свое решение на личном знании всех используемых в производстве помещений и процессов, опыте участвовавшего в производстве персонала и применяемой системы качества, в рамках которой осуществляется производство. Оно также опирается на заключение со стороны одного или более Уполномоченных лиц о соответствии промежуточных стадий производства принятой Уполномоченным лицом системе качества.</w:t>
            </w:r>
          </w:p>
          <w:p>
            <w:pPr>
              <w:spacing w:after="20"/>
              <w:ind w:left="20"/>
              <w:jc w:val="both"/>
            </w:pPr>
            <w:r>
              <w:rPr>
                <w:rFonts w:ascii="Times New Roman"/>
                <w:b w:val="false"/>
                <w:i w:val="false"/>
                <w:color w:val="000000"/>
                <w:sz w:val="20"/>
              </w:rPr>
              <w:t>
   Такое подтверждение, выдаваемое другими Уполномоченными лицами, оформляется документально и ясно определяет предмет подтверждения соответствия. Проводимые для выполнения этой задачи систематические мероприятия указываются в письменном договоре.</w:t>
            </w:r>
          </w:p>
          <w:p>
            <w:pPr>
              <w:spacing w:after="20"/>
              <w:ind w:left="20"/>
              <w:jc w:val="both"/>
            </w:pPr>
            <w:r>
              <w:rPr>
                <w:rFonts w:ascii="Times New Roman"/>
                <w:b w:val="false"/>
                <w:i w:val="false"/>
                <w:color w:val="000000"/>
                <w:sz w:val="20"/>
              </w:rPr>
              <w:t xml:space="preserve">
   4.4. Договор, указанный выше, требуется в тех случаях, когда Уполномоченное лицо опирается на заключение другого Уполномоченного лица. Этот договор в целом соответствует положениям главы 7 настоящего Стандарта. Уполномоченное лицо, подтверждающее соответствие серии готовой продукции установленным требованиям, гарантирует выполнение мероприятий, определенных в указанном договоре. Форма такого договора соответствует взаимоотношениям сторон и представляет собой стандартную операционную процедуру в рамках предприятия или официальный договор между различными предприятиями, даже если они входят в одну и ту же группу компаний. </w:t>
            </w:r>
          </w:p>
          <w:p>
            <w:pPr>
              <w:spacing w:after="20"/>
              <w:ind w:left="20"/>
              <w:jc w:val="both"/>
            </w:pPr>
            <w:r>
              <w:rPr>
                <w:rFonts w:ascii="Times New Roman"/>
                <w:b w:val="false"/>
                <w:i w:val="false"/>
                <w:color w:val="000000"/>
                <w:sz w:val="20"/>
              </w:rPr>
              <w:t>
   4.5. Указанный договор включает в себя обязательство со стороны поставщика нерасфасованного или промежуточного продукта ставить в известность получателя(ей) продукции обо всех отклонениях, результатах, выходящих за рамки спецификаций, несоответствиях требованиям настоящего Стандарта, расследованиях, претензиях или других событиях, которые принимает во внимание Уполномоченное лицо, ответственное за подтверждение соответствия серии готовой продукции всем установленным требованиям.</w:t>
            </w:r>
          </w:p>
          <w:p>
            <w:pPr>
              <w:spacing w:after="20"/>
              <w:ind w:left="20"/>
              <w:jc w:val="both"/>
            </w:pPr>
            <w:r>
              <w:rPr>
                <w:rFonts w:ascii="Times New Roman"/>
                <w:b w:val="false"/>
                <w:i w:val="false"/>
                <w:color w:val="000000"/>
                <w:sz w:val="20"/>
              </w:rPr>
              <w:t xml:space="preserve">
   4.6. Если для документального оформления подтверждения соответствия и выдачи разрешения на выпуск серии продукции используют компьютеризированную систему, следует обратить особое внимание на выполнение требований, приведенных в Приложении 11 к настоящему Стандарту. </w:t>
            </w:r>
          </w:p>
          <w:p>
            <w:pPr>
              <w:spacing w:after="20"/>
              <w:ind w:left="20"/>
              <w:jc w:val="both"/>
            </w:pPr>
            <w:r>
              <w:rPr>
                <w:rFonts w:ascii="Times New Roman"/>
                <w:b w:val="false"/>
                <w:i w:val="false"/>
                <w:color w:val="000000"/>
                <w:sz w:val="20"/>
              </w:rPr>
              <w:t>
   4.7. При наличии подтверждения соответствия серии готовой продукции, выданного Уполномоченным лицом, не требуется повторения этой процедуры в странах, имеющих соглашение о взаимном признании результатов подобной процедуры.</w:t>
            </w:r>
          </w:p>
          <w:p>
            <w:pPr>
              <w:spacing w:after="20"/>
              <w:ind w:left="20"/>
              <w:jc w:val="both"/>
            </w:pPr>
            <w:r>
              <w:rPr>
                <w:rFonts w:ascii="Times New Roman"/>
                <w:b w:val="false"/>
                <w:i w:val="false"/>
                <w:color w:val="000000"/>
                <w:sz w:val="20"/>
              </w:rPr>
              <w:t>
   4.8. Вне зависимости от конкретных мероприятий по подтверждению соответствия и выпуску серий существует процедура быстрого выявления и отзыва всей продукции, которая может представлять опасность для потребителей вследствие дефекта серии.</w:t>
            </w:r>
          </w:p>
          <w:p>
            <w:pPr>
              <w:spacing w:after="20"/>
              <w:ind w:left="20"/>
              <w:jc w:val="both"/>
            </w:pPr>
            <w:r>
              <w:rPr>
                <w:rFonts w:ascii="Times New Roman"/>
                <w:b w:val="false"/>
                <w:i w:val="false"/>
                <w:color w:val="000000"/>
                <w:sz w:val="20"/>
              </w:rPr>
              <w:t>
   </w:t>
            </w:r>
            <w:r>
              <w:rPr>
                <w:rFonts w:ascii="Times New Roman"/>
                <w:b/>
                <w:i w:val="false"/>
                <w:color w:val="000000"/>
                <w:sz w:val="20"/>
              </w:rPr>
              <w:t>5. Проведение испытаний и выпуск серии продукции</w:t>
            </w:r>
          </w:p>
          <w:p>
            <w:pPr>
              <w:spacing w:after="20"/>
              <w:ind w:left="20"/>
              <w:jc w:val="both"/>
            </w:pPr>
            <w:r>
              <w:rPr>
                <w:rFonts w:ascii="Times New Roman"/>
                <w:b w:val="false"/>
                <w:i w:val="false"/>
                <w:color w:val="000000"/>
                <w:sz w:val="20"/>
              </w:rPr>
              <w:t>
   5.1. Производство расположено на одной лицензированной производственной площадке.</w:t>
            </w:r>
          </w:p>
          <w:p>
            <w:pPr>
              <w:spacing w:after="20"/>
              <w:ind w:left="20"/>
              <w:jc w:val="both"/>
            </w:pPr>
            <w:r>
              <w:rPr>
                <w:rFonts w:ascii="Times New Roman"/>
                <w:b w:val="false"/>
                <w:i w:val="false"/>
                <w:color w:val="000000"/>
                <w:sz w:val="20"/>
              </w:rPr>
              <w:t>
   Если все стадии производства и контроля осуществляются на одной производственной площадке, выполнение отдельных проверок может быть передано другим лицам. Уполномоченное лицо этой производственной площадки, подтверждающее соответствие серии готовой продукции, обычно несет персональную ответственность за это в рамках установленной системы качества. Однако оно может принимать во внимание также подтверждение в отношении промежуточных стадий, выданное на участке другими Уполномоченными лицами, которые несут ответственность за эти стадии.</w:t>
            </w:r>
          </w:p>
          <w:p>
            <w:pPr>
              <w:spacing w:after="20"/>
              <w:ind w:left="20"/>
              <w:jc w:val="both"/>
            </w:pPr>
            <w:r>
              <w:rPr>
                <w:rFonts w:ascii="Times New Roman"/>
                <w:b w:val="false"/>
                <w:i w:val="false"/>
                <w:color w:val="000000"/>
                <w:sz w:val="20"/>
              </w:rPr>
              <w:t>
   5.2. Различные стадии производства выполняются в разных местах.</w:t>
            </w:r>
          </w:p>
          <w:p>
            <w:pPr>
              <w:spacing w:after="20"/>
              <w:ind w:left="20"/>
              <w:jc w:val="both"/>
            </w:pPr>
            <w:r>
              <w:rPr>
                <w:rFonts w:ascii="Times New Roman"/>
                <w:b w:val="false"/>
                <w:i w:val="false"/>
                <w:color w:val="000000"/>
                <w:sz w:val="20"/>
              </w:rPr>
              <w:t>
   Если различные стадии производства серии продукции осуществляются на разных производственных площадках в пределах одной организации независимо от того, распространяется ли на них одна и та же лицензия на производство или нет, то Уполномоченное лицо отвечает за каждую стадию производства. Подтверждение соответствия серии готовой продукции установленным требованиям выполняется Уполномоченным лицом производителя, которое либо несет персональную ответственность за все стадии производства, либо принимает во внимание заключения о предшествующих стадиях, сделанные Уполномоченными лицами, ответственными за эти стадии.</w:t>
            </w:r>
          </w:p>
          <w:p>
            <w:pPr>
              <w:spacing w:after="20"/>
              <w:ind w:left="20"/>
              <w:jc w:val="both"/>
            </w:pPr>
            <w:r>
              <w:rPr>
                <w:rFonts w:ascii="Times New Roman"/>
                <w:b w:val="false"/>
                <w:i w:val="false"/>
                <w:color w:val="000000"/>
                <w:sz w:val="20"/>
              </w:rPr>
              <w:t>
   5.3. Некоторые промежуточные стадии производства осуществляются по контракту другой организацией.</w:t>
            </w:r>
          </w:p>
          <w:p>
            <w:pPr>
              <w:spacing w:after="20"/>
              <w:ind w:left="20"/>
              <w:jc w:val="both"/>
            </w:pPr>
            <w:r>
              <w:rPr>
                <w:rFonts w:ascii="Times New Roman"/>
                <w:b w:val="false"/>
                <w:i w:val="false"/>
                <w:color w:val="000000"/>
                <w:sz w:val="20"/>
              </w:rPr>
              <w:t xml:space="preserve">
   Если одна или более промежуточных стадий производства и контроля качества выполняются в другой организации по контракту держателем лицензии на производство, то Уполномоченное лицо заказчика принимает во внимание заключение Уполномоченного лица исполнителя о соответствующей стадии, но оно несет ответственность за гарантию того, что эта работа выполняется в соответствии с условиями письменного договора. Подтверждение соответствия серии готовой продукции установленным требованиям выполняется Уполномоченным лицом производителя, ответственного за выпуск серии продукции. </w:t>
            </w:r>
          </w:p>
          <w:p>
            <w:pPr>
              <w:spacing w:after="20"/>
              <w:ind w:left="20"/>
              <w:jc w:val="both"/>
            </w:pPr>
            <w:r>
              <w:rPr>
                <w:rFonts w:ascii="Times New Roman"/>
                <w:b w:val="false"/>
                <w:i w:val="false"/>
                <w:color w:val="000000"/>
                <w:sz w:val="20"/>
              </w:rPr>
              <w:t xml:space="preserve">
   5.4. Из одной серии нерасфасованной продукции на разных производственных площадках допускается производить несколько серий готовой продукции, которые выпускаются на рынок на основании одного регистрационного удостоверения. </w:t>
            </w:r>
          </w:p>
          <w:p>
            <w:pPr>
              <w:spacing w:after="20"/>
              <w:ind w:left="20"/>
              <w:jc w:val="both"/>
            </w:pPr>
            <w:r>
              <w:rPr>
                <w:rFonts w:ascii="Times New Roman"/>
                <w:b w:val="false"/>
                <w:i w:val="false"/>
                <w:color w:val="000000"/>
                <w:sz w:val="20"/>
              </w:rPr>
              <w:t>
   5.4.1. Уполномоченное лицо держателя лицензии на производство лекарственных средств, выпускающее серию нерасфасованной продукции, подтверждает соответствие всех серий готовой продукции перед их выпуском. В этом случае Уполномоченное лицо либо берет на себя персональную ответственность за все стадии производства, либо принимает во внимание заключения о качестве серий продукции, полученные от Уполномоченных лиц с мест выпуска серий готовой продукции.</w:t>
            </w:r>
          </w:p>
          <w:p>
            <w:pPr>
              <w:spacing w:after="20"/>
              <w:ind w:left="20"/>
              <w:jc w:val="both"/>
            </w:pPr>
            <w:r>
              <w:rPr>
                <w:rFonts w:ascii="Times New Roman"/>
                <w:b w:val="false"/>
                <w:i w:val="false"/>
                <w:color w:val="000000"/>
                <w:sz w:val="20"/>
              </w:rPr>
              <w:t>
   5.4.2. Допускается также подтверждение соответствия каждой серии готовой продукции до момента ее выпуска Уполномоченным лицом производителя, который выполнил последнюю производственную операцию, предшествующую выпуску серии готовой продукции. В этом случае оно либо берет на себя персональную ответственность за все стадии производства, либо принимает во внимание заключение о качестве серии, полученное от Уполномоченного лица с места выпуска серии нерасфасованной продукции.</w:t>
            </w:r>
          </w:p>
          <w:p>
            <w:pPr>
              <w:spacing w:after="20"/>
              <w:ind w:left="20"/>
              <w:jc w:val="both"/>
            </w:pPr>
            <w:r>
              <w:rPr>
                <w:rFonts w:ascii="Times New Roman"/>
                <w:b w:val="false"/>
                <w:i w:val="false"/>
                <w:color w:val="000000"/>
                <w:sz w:val="20"/>
              </w:rPr>
              <w:t>
   5.4.3. Во всех случаях организации производства готовой продукции в разных местах на разных производственных площадках в рамках одного регистрационного удостоверения определяется одно лицо - Уполномоченное лицо производителя серии нерасфасованной продукции, которое несет полную ответственность за выпуск всех серий готовой продукции, полученных из одной серии нерасфасованной продукции. Это лицо знает о любых проблемах, связанных с качеством любой серии готовой продукции, и координирует осуществление всех необходимых мер, предпринимаемых в связи с наличием проблемы в отношении серии нерасфасованной продукции.</w:t>
            </w:r>
          </w:p>
          <w:p>
            <w:pPr>
              <w:spacing w:after="20"/>
              <w:ind w:left="20"/>
              <w:jc w:val="both"/>
            </w:pPr>
            <w:r>
              <w:rPr>
                <w:rFonts w:ascii="Times New Roman"/>
                <w:b w:val="false"/>
                <w:i w:val="false"/>
                <w:color w:val="000000"/>
                <w:sz w:val="20"/>
              </w:rPr>
              <w:t>
   Хотя номера серий нерасфасованной и готовой продукции необязательно совпадают, документально оформляется связь между номерами этих серий, чтобы можно было обеспечить прослеживание при аудите.</w:t>
            </w:r>
          </w:p>
          <w:p>
            <w:pPr>
              <w:spacing w:after="20"/>
              <w:ind w:left="20"/>
              <w:jc w:val="both"/>
            </w:pPr>
            <w:r>
              <w:rPr>
                <w:rFonts w:ascii="Times New Roman"/>
                <w:b w:val="false"/>
                <w:i w:val="false"/>
                <w:color w:val="000000"/>
                <w:sz w:val="20"/>
              </w:rPr>
              <w:t>
   5.5. Из одной серии нерасфасованной продукции в разных местах на разных производственных площадках допускается производить несколько серий готовой продукции, которые выпускаются на основании разных регистрационных удостоверений. Это происходит, например, когда транснациональная компания владеет регистрационными удостоверениями на лекарственный препарат в нескольких странах или производитель воспроизведенных лекарственных препаратов приобретает нерасфасованный лекарственный препарат и выпускает готовый лекарственный препарат по своему собственному регистрационному удостоверению.</w:t>
            </w:r>
          </w:p>
          <w:p>
            <w:pPr>
              <w:spacing w:after="20"/>
              <w:ind w:left="20"/>
              <w:jc w:val="both"/>
            </w:pPr>
            <w:r>
              <w:rPr>
                <w:rFonts w:ascii="Times New Roman"/>
                <w:b w:val="false"/>
                <w:i w:val="false"/>
                <w:color w:val="000000"/>
                <w:sz w:val="20"/>
              </w:rPr>
              <w:t>
   5.5.1. Уполномоченное лицо производителя готовой продукции, подтверждающее соответствие серии готовой продукции установленным требованиям, либо берет на себя персональную ответственность за все стадии производства, либо основывается на заключении, полученном от Уполномоченного лица производителя нерасфасованной продукции.</w:t>
            </w:r>
          </w:p>
          <w:p>
            <w:pPr>
              <w:spacing w:after="20"/>
              <w:ind w:left="20"/>
              <w:jc w:val="both"/>
            </w:pPr>
            <w:r>
              <w:rPr>
                <w:rFonts w:ascii="Times New Roman"/>
                <w:b w:val="false"/>
                <w:i w:val="false"/>
                <w:color w:val="000000"/>
                <w:sz w:val="20"/>
              </w:rPr>
              <w:t>
   5.5.2. Любая проблема, связанная с качеством любой серии готовой продукции, источником которой является исходная серия нерасфасованной продукции, сообщается Уполномоченному лицу, ответственному за подтверждение качества этой серии нерасфасованной продукции. После этого указанное Уполномоченное лицо предпринимает все необходимые действия в отношении всех серий готовой продукции, произведенных из данной серии нерасфасованной продукции. Порядок действий в этом случае устанавливается в письменном соглашении.</w:t>
            </w:r>
          </w:p>
          <w:p>
            <w:pPr>
              <w:spacing w:after="20"/>
              <w:ind w:left="20"/>
              <w:jc w:val="both"/>
            </w:pPr>
            <w:r>
              <w:rPr>
                <w:rFonts w:ascii="Times New Roman"/>
                <w:b w:val="false"/>
                <w:i w:val="false"/>
                <w:color w:val="000000"/>
                <w:sz w:val="20"/>
              </w:rPr>
              <w:t>
   5.6. Серию готовой продукции закупает и реализует держатель лицензии на производство лекарственных средств в соответствии с собственным регистрационным удостоверением. В случае, когда предприятие, поставляющее воспроизведенный лекарственный препарат, является держателем регистрационного удостоверения на лекарственный препарат, производимый другим предприятием, первое предприятие закупает готовую продукцию, соответствие которой еще не было подтверждено производителем, и выпускает ее на основании собственной лицензии на производство и собственного регистрационного удостоверения.</w:t>
            </w:r>
          </w:p>
          <w:p>
            <w:pPr>
              <w:spacing w:after="20"/>
              <w:ind w:left="20"/>
              <w:jc w:val="both"/>
            </w:pPr>
            <w:r>
              <w:rPr>
                <w:rFonts w:ascii="Times New Roman"/>
                <w:b w:val="false"/>
                <w:i w:val="false"/>
                <w:color w:val="000000"/>
                <w:sz w:val="20"/>
              </w:rPr>
              <w:t>
   В этой ситуации Уполномоченное лицо предприятия, закупающего продукцию и не имеющего документальных результатов подтверждения ее соответствия, само подтверждает соответствие установленным требованиям этой серии готовой продукции перед ее выпуском. При этом Уполномоченное лицо закупающего предприятия принимает на себя ответственность за все стадии производства или основывается на заключении о качестве серии продукции Уполномоченного лица предприятия-поставщика.</w:t>
            </w:r>
          </w:p>
          <w:p>
            <w:pPr>
              <w:spacing w:after="20"/>
              <w:ind w:left="20"/>
              <w:jc w:val="both"/>
            </w:pPr>
            <w:r>
              <w:rPr>
                <w:rFonts w:ascii="Times New Roman"/>
                <w:b w:val="false"/>
                <w:i w:val="false"/>
                <w:color w:val="000000"/>
                <w:sz w:val="20"/>
              </w:rPr>
              <w:t>
   5.7. В случае, когда лаборатория контроля качества лекарственных препаратов и производитель лекарственных препаратов являются разными организациями, Уполномоченное лицо, подтверждающее соответствие серии готовой продукции установленным требованиям, принимает на себя ответственность за лабораторные испытания, проведенные подобной лабораторией или учитывает подтверждение в отношении испытаний, выданное другим Уполномоченным лицом. При отсутствии такого подтверждения Уполномоченное лицо удостоверяет знание работы данной лаборатории и методик, применяемых в ней для подтверждения соответствия качества данной готовой продукции.</w:t>
            </w:r>
          </w:p>
          <w:p>
            <w:pPr>
              <w:spacing w:after="20"/>
              <w:ind w:left="20"/>
              <w:jc w:val="both"/>
            </w:pPr>
            <w:r>
              <w:rPr>
                <w:rFonts w:ascii="Times New Roman"/>
                <w:b w:val="false"/>
                <w:i w:val="false"/>
                <w:color w:val="000000"/>
                <w:sz w:val="20"/>
              </w:rPr>
              <w:t>
   </w:t>
            </w:r>
            <w:r>
              <w:rPr>
                <w:rFonts w:ascii="Times New Roman"/>
                <w:b/>
                <w:i w:val="false"/>
                <w:color w:val="000000"/>
                <w:sz w:val="20"/>
              </w:rPr>
              <w:t>6. Обязанности уполномоченного лица</w:t>
            </w:r>
          </w:p>
          <w:p>
            <w:pPr>
              <w:spacing w:after="20"/>
              <w:ind w:left="20"/>
              <w:jc w:val="both"/>
            </w:pPr>
            <w:r>
              <w:rPr>
                <w:rFonts w:ascii="Times New Roman"/>
                <w:b w:val="false"/>
                <w:i w:val="false"/>
                <w:color w:val="000000"/>
                <w:sz w:val="20"/>
              </w:rPr>
              <w:t>
   6.1. Перед осуществлением подтверждения соответствия серии готовой продукции до ее выпуска Уполномоченное лицо гарантирует выполнение следующих требований:</w:t>
            </w:r>
          </w:p>
          <w:p>
            <w:pPr>
              <w:spacing w:after="20"/>
              <w:ind w:left="20"/>
              <w:jc w:val="both"/>
            </w:pPr>
            <w:r>
              <w:rPr>
                <w:rFonts w:ascii="Times New Roman"/>
                <w:b w:val="false"/>
                <w:i w:val="false"/>
                <w:color w:val="000000"/>
                <w:sz w:val="20"/>
              </w:rPr>
              <w:t>
   1) серия готовой продукции и процесс ее производства соответствуют положениям регистрационного досье;</w:t>
            </w:r>
          </w:p>
          <w:p>
            <w:pPr>
              <w:spacing w:after="20"/>
              <w:ind w:left="20"/>
              <w:jc w:val="both"/>
            </w:pPr>
            <w:r>
              <w:rPr>
                <w:rFonts w:ascii="Times New Roman"/>
                <w:b w:val="false"/>
                <w:i w:val="false"/>
                <w:color w:val="000000"/>
                <w:sz w:val="20"/>
              </w:rPr>
              <w:t>
   2) серия готовой продукции произведена в соответствии с требованиями настоящего Стандарта, а для серии продукции, импортируемой из других стран, - в соответствии с правилами надлежащего производства, по крайней мере, эквивалентными требованиям настоящего Стандарта;</w:t>
            </w:r>
          </w:p>
          <w:p>
            <w:pPr>
              <w:spacing w:after="20"/>
              <w:ind w:left="20"/>
              <w:jc w:val="both"/>
            </w:pPr>
            <w:r>
              <w:rPr>
                <w:rFonts w:ascii="Times New Roman"/>
                <w:b w:val="false"/>
                <w:i w:val="false"/>
                <w:color w:val="000000"/>
                <w:sz w:val="20"/>
              </w:rPr>
              <w:t>
   3) основные процессы производства и методы контроля валидированы; учтены фактические условия производства в записях, относящиеся к серии - досье на серию продукции;</w:t>
            </w:r>
          </w:p>
          <w:p>
            <w:pPr>
              <w:spacing w:after="20"/>
              <w:ind w:left="20"/>
              <w:jc w:val="both"/>
            </w:pPr>
            <w:r>
              <w:rPr>
                <w:rFonts w:ascii="Times New Roman"/>
                <w:b w:val="false"/>
                <w:i w:val="false"/>
                <w:color w:val="000000"/>
                <w:sz w:val="20"/>
              </w:rPr>
              <w:t>
   4) любые отклонения или запланированные изменения в технологическом процессе или контроле качества были утверждены ответственными лицами в соответствии с определенной системой. О любых изменениях, требующих внесения изменения в регистрационное досье или лицензию на производство, осведомлен соответствующий уполномоченный орган и получено его разрешение на внесение такого изменения;</w:t>
            </w:r>
          </w:p>
          <w:p>
            <w:pPr>
              <w:spacing w:after="20"/>
              <w:ind w:left="20"/>
              <w:jc w:val="both"/>
            </w:pPr>
            <w:r>
              <w:rPr>
                <w:rFonts w:ascii="Times New Roman"/>
                <w:b w:val="false"/>
                <w:i w:val="false"/>
                <w:color w:val="000000"/>
                <w:sz w:val="20"/>
              </w:rPr>
              <w:t>
   5) проведены все необходимые проверки и испытания, в том числе дополнительный отбор проб, инспектирование, проверки и испытания, проведенные ввиду отклонений в технологическом процессе или ввиду плановых изменений;</w:t>
            </w:r>
          </w:p>
          <w:p>
            <w:pPr>
              <w:spacing w:after="20"/>
              <w:ind w:left="20"/>
              <w:jc w:val="both"/>
            </w:pPr>
            <w:r>
              <w:rPr>
                <w:rFonts w:ascii="Times New Roman"/>
                <w:b w:val="false"/>
                <w:i w:val="false"/>
                <w:color w:val="000000"/>
                <w:sz w:val="20"/>
              </w:rPr>
              <w:t>
   6) документация по производственному процессу и контролю качества составлена и утверждена уполномоченным персоналом;</w:t>
            </w:r>
          </w:p>
          <w:p>
            <w:pPr>
              <w:spacing w:after="20"/>
              <w:ind w:left="20"/>
              <w:jc w:val="both"/>
            </w:pPr>
            <w:r>
              <w:rPr>
                <w:rFonts w:ascii="Times New Roman"/>
                <w:b w:val="false"/>
                <w:i w:val="false"/>
                <w:color w:val="000000"/>
                <w:sz w:val="20"/>
              </w:rPr>
              <w:t>
   7) все аудиты проведены в соответствии с требованиями системы обеспечения качества;</w:t>
            </w:r>
          </w:p>
          <w:p>
            <w:pPr>
              <w:spacing w:after="20"/>
              <w:ind w:left="20"/>
              <w:jc w:val="both"/>
            </w:pPr>
            <w:r>
              <w:rPr>
                <w:rFonts w:ascii="Times New Roman"/>
                <w:b w:val="false"/>
                <w:i w:val="false"/>
                <w:color w:val="000000"/>
                <w:sz w:val="20"/>
              </w:rPr>
              <w:t xml:space="preserve">
   8) приняты во внимание все факторы, которые, по мнению Уполномоченного лица, являются существенными для качества данной серии продукции. </w:t>
            </w:r>
          </w:p>
          <w:p>
            <w:pPr>
              <w:spacing w:after="20"/>
              <w:ind w:left="20"/>
              <w:jc w:val="both"/>
            </w:pPr>
            <w:r>
              <w:rPr>
                <w:rFonts w:ascii="Times New Roman"/>
                <w:b w:val="false"/>
                <w:i w:val="false"/>
                <w:color w:val="000000"/>
                <w:sz w:val="20"/>
              </w:rPr>
              <w:t>
   Уполномоченный орган ведет реестр лиц, аттестованных в качестве Уполномоченных лиц производителей лекарственных средств.</w:t>
            </w:r>
          </w:p>
          <w:p>
            <w:pPr>
              <w:spacing w:after="20"/>
              <w:ind w:left="20"/>
              <w:jc w:val="both"/>
            </w:pPr>
            <w:r>
              <w:rPr>
                <w:rFonts w:ascii="Times New Roman"/>
                <w:b w:val="false"/>
                <w:i w:val="false"/>
                <w:color w:val="000000"/>
                <w:sz w:val="20"/>
              </w:rPr>
              <w:t>
   Дополнительные обязанности Уполномоченного лица регламентируются в соответствии с законодательством или должностными инструкциями.</w:t>
            </w:r>
          </w:p>
          <w:p>
            <w:pPr>
              <w:spacing w:after="20"/>
              <w:ind w:left="20"/>
              <w:jc w:val="both"/>
            </w:pPr>
            <w:r>
              <w:rPr>
                <w:rFonts w:ascii="Times New Roman"/>
                <w:b w:val="false"/>
                <w:i w:val="false"/>
                <w:color w:val="000000"/>
                <w:sz w:val="20"/>
              </w:rPr>
              <w:t>
   6.2. Уполномоченное лицо, подтверждающее соответствие промежуточной стадии производства согласно пункту 4.3 данного Приложения, имеет такие же вышеуказанные обязанности по отношению к этой стадии, если в договоре между Уполномоченными лицами не указано другое.</w:t>
            </w:r>
          </w:p>
          <w:p>
            <w:pPr>
              <w:spacing w:after="20"/>
              <w:ind w:left="20"/>
              <w:jc w:val="both"/>
            </w:pPr>
            <w:r>
              <w:rPr>
                <w:rFonts w:ascii="Times New Roman"/>
                <w:b w:val="false"/>
                <w:i w:val="false"/>
                <w:color w:val="000000"/>
                <w:sz w:val="20"/>
              </w:rPr>
              <w:t xml:space="preserve">
   6.3. Уполномоченное лицо поддерживает свою квалификацию на современном уровне в свете достижений научно-технического прогресса и учитывает изменения в системе управления качеством, имеющие отношение к продукции, соответствие которой установленным требованиям подтверждает Уполномоченное лицо. </w:t>
            </w:r>
          </w:p>
          <w:p>
            <w:pPr>
              <w:spacing w:after="20"/>
              <w:ind w:left="20"/>
              <w:jc w:val="both"/>
            </w:pPr>
            <w:r>
              <w:rPr>
                <w:rFonts w:ascii="Times New Roman"/>
                <w:b w:val="false"/>
                <w:i w:val="false"/>
                <w:color w:val="000000"/>
                <w:sz w:val="20"/>
              </w:rPr>
              <w:t xml:space="preserve">
   6.4. При привлечении Уполномоченного лица к подтверждению соответствия серии новой продукции, которую он знает недостаточно, Уполномоченное лицо получает соответствующие знания и опыт, необходимые для выполнения этих обязанностей. </w:t>
            </w:r>
          </w:p>
          <w:p>
            <w:pPr>
              <w:spacing w:after="20"/>
              <w:ind w:left="20"/>
              <w:jc w:val="both"/>
            </w:pPr>
            <w:r>
              <w:rPr>
                <w:rFonts w:ascii="Times New Roman"/>
                <w:b w:val="false"/>
                <w:i w:val="false"/>
                <w:color w:val="000000"/>
                <w:sz w:val="20"/>
              </w:rPr>
              <w:t>
   </w:t>
            </w:r>
            <w:r>
              <w:rPr>
                <w:rFonts w:ascii="Times New Roman"/>
                <w:b/>
                <w:i w:val="false"/>
                <w:color w:val="000000"/>
                <w:sz w:val="20"/>
              </w:rPr>
              <w:t>7. Термины и определения</w:t>
            </w:r>
          </w:p>
          <w:p>
            <w:pPr>
              <w:spacing w:after="20"/>
              <w:ind w:left="20"/>
              <w:jc w:val="both"/>
            </w:pPr>
            <w:r>
              <w:rPr>
                <w:rFonts w:ascii="Times New Roman"/>
                <w:b w:val="false"/>
                <w:i w:val="false"/>
                <w:color w:val="000000"/>
                <w:sz w:val="20"/>
              </w:rPr>
              <w:t>
   Определенные слова и словосочетания в данном Приложении используются в определенных значениях, указанных ниже. Также следует обращаться к общему разделу "Термины и определения" настоящего Стандарта.</w:t>
            </w:r>
          </w:p>
          <w:p>
            <w:pPr>
              <w:spacing w:after="20"/>
              <w:ind w:left="20"/>
              <w:jc w:val="both"/>
            </w:pPr>
            <w:r>
              <w:rPr>
                <w:rFonts w:ascii="Times New Roman"/>
                <w:b w:val="false"/>
                <w:i w:val="false"/>
                <w:color w:val="000000"/>
                <w:sz w:val="20"/>
              </w:rPr>
              <w:t>
   Оценка соответствия серии готовой продукции - документальное оформление соответствия серии готовой продукции установленным требованиям до выпуска серии.</w:t>
            </w:r>
          </w:p>
          <w:p>
            <w:pPr>
              <w:spacing w:after="20"/>
              <w:ind w:left="20"/>
              <w:jc w:val="both"/>
            </w:pPr>
            <w:r>
              <w:rPr>
                <w:rFonts w:ascii="Times New Roman"/>
                <w:b w:val="false"/>
                <w:i w:val="false"/>
                <w:color w:val="000000"/>
                <w:sz w:val="20"/>
              </w:rPr>
              <w:t>
   Подтверждение - подписанное свидетельство того, что процесс или испытания выполнены в соответствии с требованиями настоящего Стандарта и требованиями, установленными при государственной регистрации, согласованное в письменной форме с Уполномоченным лицом, отвечающим за оценку соответствия серии готовой продукции до ее выпуска.</w:t>
            </w:r>
          </w:p>
          <w:p>
            <w:pPr>
              <w:spacing w:after="20"/>
              <w:ind w:left="20"/>
              <w:jc w:val="both"/>
            </w:pPr>
            <w:r>
              <w:rPr>
                <w:rFonts w:ascii="Times New Roman"/>
                <w:b w:val="false"/>
                <w:i w:val="false"/>
                <w:color w:val="000000"/>
                <w:sz w:val="20"/>
              </w:rPr>
              <w:t>
   Серия готовой продукции - в контексте настоящего Приложения означает серию продукции в окончательной упаковке, готовую к выпуску.</w:t>
            </w:r>
          </w:p>
          <w:p>
            <w:pPr>
              <w:spacing w:after="20"/>
              <w:ind w:left="20"/>
              <w:jc w:val="both"/>
            </w:pPr>
            <w:r>
              <w:rPr>
                <w:rFonts w:ascii="Times New Roman"/>
                <w:b w:val="false"/>
                <w:i w:val="false"/>
                <w:color w:val="000000"/>
                <w:sz w:val="20"/>
              </w:rPr>
              <w:t xml:space="preserve">
   Серия нерасфасованной продукции - серия продукции с размером, установленным при регистрации лекарственного препарата, либо готовая к фасовке в окончательную упаковку, либо находящаяся в индивидуальных упаковках и готовая для комплектования окончательных упаковок. </w:t>
            </w:r>
          </w:p>
          <w:p>
            <w:pPr>
              <w:spacing w:after="20"/>
              <w:ind w:left="20"/>
              <w:jc w:val="both"/>
            </w:pPr>
            <w:r>
              <w:rPr>
                <w:rFonts w:ascii="Times New Roman"/>
                <w:b w:val="false"/>
                <w:i w:val="false"/>
                <w:color w:val="000000"/>
                <w:sz w:val="20"/>
              </w:rPr>
              <w:t>
   Соглашение о взаимном признании - Соглашение о взаимном признании инспекций со страной, в которой производятся и (или) из которой поставляются ввозимые лекарственные средства.</w:t>
            </w:r>
          </w:p>
          <w:p>
            <w:pPr>
              <w:spacing w:after="20"/>
              <w:ind w:left="20"/>
              <w:jc w:val="both"/>
            </w:pPr>
            <w:r>
              <w:rPr>
                <w:rFonts w:ascii="Times New Roman"/>
                <w:b w:val="false"/>
                <w:i w:val="false"/>
                <w:color w:val="000000"/>
                <w:sz w:val="20"/>
              </w:rPr>
              <w:t>
   Уполномоченное лицо - это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настоящего Стандарта. Обязанности Уполномоченного лица детально описаны в главе 2 части I и в данном Приложении к настоящему Стандарту.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12167"/>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Выпуск по параметрам</w:t>
            </w:r>
          </w:p>
          <w:p>
            <w:pPr>
              <w:spacing w:after="20"/>
              <w:ind w:left="20"/>
              <w:jc w:val="both"/>
            </w:pPr>
            <w:r>
              <w:rPr>
                <w:rFonts w:ascii="Times New Roman"/>
                <w:b w:val="false"/>
                <w:i w:val="false"/>
                <w:color w:val="000000"/>
                <w:sz w:val="20"/>
              </w:rPr>
              <w:t>
</w:t>
            </w:r>
            <w:r>
              <w:rPr>
                <w:rFonts w:ascii="Times New Roman"/>
                <w:b/>
                <w:i w:val="false"/>
                <w:color w:val="000000"/>
                <w:sz w:val="20"/>
              </w:rPr>
              <w:t>1. Принцип</w:t>
            </w:r>
          </w:p>
          <w:p>
            <w:pPr>
              <w:spacing w:after="20"/>
              <w:ind w:left="20"/>
              <w:jc w:val="both"/>
            </w:pPr>
            <w:r>
              <w:rPr>
                <w:rFonts w:ascii="Times New Roman"/>
                <w:b w:val="false"/>
                <w:i w:val="false"/>
                <w:color w:val="000000"/>
                <w:sz w:val="20"/>
              </w:rPr>
              <w:t>
   1.1. Определение "выпуск по параметрам", используемое в данном Приложении, основано на определении, предложенном Европейской организацией по качеству, и подразумевает систему выпуска продукции, дающую гарантию, что продукция обладает требуемым качеством, на основании информации, полученной во время производственного процесса, а также на основании соответствия определенным требованиям настоящего Стандарта, относящимся к выпуску по параметрам.</w:t>
            </w:r>
          </w:p>
          <w:p>
            <w:pPr>
              <w:spacing w:after="20"/>
              <w:ind w:left="20"/>
              <w:jc w:val="both"/>
            </w:pPr>
            <w:r>
              <w:rPr>
                <w:rFonts w:ascii="Times New Roman"/>
                <w:b w:val="false"/>
                <w:i w:val="false"/>
                <w:color w:val="000000"/>
                <w:sz w:val="20"/>
              </w:rPr>
              <w:t>
   1.2. Выпуск по параметрам удовлетворяет основным требованиям настоящего Стандарта, включая соответствующие Приложения к ним и изложенные ниже требования.</w:t>
            </w:r>
          </w:p>
          <w:p>
            <w:pPr>
              <w:spacing w:after="20"/>
              <w:ind w:left="20"/>
              <w:jc w:val="both"/>
            </w:pPr>
            <w:r>
              <w:rPr>
                <w:rFonts w:ascii="Times New Roman"/>
                <w:b w:val="false"/>
                <w:i w:val="false"/>
                <w:color w:val="000000"/>
                <w:sz w:val="20"/>
              </w:rPr>
              <w:t>
   </w:t>
            </w:r>
            <w:r>
              <w:rPr>
                <w:rFonts w:ascii="Times New Roman"/>
                <w:b/>
                <w:i w:val="false"/>
                <w:color w:val="000000"/>
                <w:sz w:val="20"/>
              </w:rPr>
              <w:t>2. Выпуск по параметрам</w:t>
            </w:r>
          </w:p>
          <w:p>
            <w:pPr>
              <w:spacing w:after="20"/>
              <w:ind w:left="20"/>
              <w:jc w:val="both"/>
            </w:pPr>
            <w:r>
              <w:rPr>
                <w:rFonts w:ascii="Times New Roman"/>
                <w:b w:val="false"/>
                <w:i w:val="false"/>
                <w:color w:val="000000"/>
                <w:sz w:val="20"/>
              </w:rPr>
              <w:t>
   2.1. Проведение всеобъемлющего комплекса проверок и контроля параметров в процессе производства может обеспечить более высокую гарантию соответствия готовой продукции спецификации, чем испытания готовой продукции.</w:t>
            </w:r>
          </w:p>
          <w:p>
            <w:pPr>
              <w:spacing w:after="20"/>
              <w:ind w:left="20"/>
              <w:jc w:val="both"/>
            </w:pPr>
            <w:r>
              <w:rPr>
                <w:rFonts w:ascii="Times New Roman"/>
                <w:b w:val="false"/>
                <w:i w:val="false"/>
                <w:color w:val="000000"/>
                <w:sz w:val="20"/>
              </w:rPr>
              <w:t>
   2.2. Выпуск по параметрам разрешается в отношении некоторых специальных параметров вместо обычного испытания готовой продукции. Разрешают выпуск по параметрам, отказывают в нем или аннулируют разрешение на выпуск по параметрам лица, отвечающие за оценку продукции, совместно с инспекторатом, ответственным за соблюдение настоящего Стандарта.</w:t>
            </w:r>
          </w:p>
          <w:p>
            <w:pPr>
              <w:spacing w:after="20"/>
              <w:ind w:left="20"/>
              <w:jc w:val="both"/>
            </w:pPr>
            <w:r>
              <w:rPr>
                <w:rFonts w:ascii="Times New Roman"/>
                <w:b w:val="false"/>
                <w:i w:val="false"/>
                <w:color w:val="000000"/>
                <w:sz w:val="20"/>
              </w:rPr>
              <w:t>
   </w:t>
            </w:r>
            <w:r>
              <w:rPr>
                <w:rFonts w:ascii="Times New Roman"/>
                <w:b/>
                <w:i w:val="false"/>
                <w:color w:val="000000"/>
                <w:sz w:val="20"/>
              </w:rPr>
              <w:t>3. Выпуск по параметрам для стерильной продукции</w:t>
            </w:r>
          </w:p>
          <w:p>
            <w:pPr>
              <w:spacing w:after="20"/>
              <w:ind w:left="20"/>
              <w:jc w:val="both"/>
            </w:pPr>
            <w:r>
              <w:rPr>
                <w:rFonts w:ascii="Times New Roman"/>
                <w:b w:val="false"/>
                <w:i w:val="false"/>
                <w:color w:val="000000"/>
                <w:sz w:val="20"/>
              </w:rPr>
              <w:t>
   3.1. В этом разделе установлены требования к выпуску по параметрам готовой продукции без проведения испытания на стерильность. Исключение испытания на стерильность является правомерным только при наличии успешного подтверждения того, что заранее установленные условия при валидации процесса стерилизации были достигнуты.</w:t>
            </w:r>
          </w:p>
          <w:p>
            <w:pPr>
              <w:spacing w:after="20"/>
              <w:ind w:left="20"/>
              <w:jc w:val="both"/>
            </w:pPr>
            <w:r>
              <w:rPr>
                <w:rFonts w:ascii="Times New Roman"/>
                <w:b w:val="false"/>
                <w:i w:val="false"/>
                <w:color w:val="000000"/>
                <w:sz w:val="20"/>
              </w:rPr>
              <w:t xml:space="preserve">
   3.2. Испытание на стерильность предоставляет возможность обнаружить только значительные нарушения в системе обеспечения стерильности, что обусловлено статистическими ограничениями метода. </w:t>
            </w:r>
          </w:p>
          <w:p>
            <w:pPr>
              <w:spacing w:after="20"/>
              <w:ind w:left="20"/>
              <w:jc w:val="both"/>
            </w:pPr>
            <w:r>
              <w:rPr>
                <w:rFonts w:ascii="Times New Roman"/>
                <w:b w:val="false"/>
                <w:i w:val="false"/>
                <w:color w:val="000000"/>
                <w:sz w:val="20"/>
              </w:rPr>
              <w:t>
   3.3. Выпуск по параметрам допускается только в том случае, если данные, доказывающие правильность процесса стерилизации серии, сами по себе дают достаточную гарантию того, что запланированный и валидированный процесс стерилизации обеспечивает стерильность продукции.</w:t>
            </w:r>
          </w:p>
          <w:p>
            <w:pPr>
              <w:spacing w:after="20"/>
              <w:ind w:left="20"/>
              <w:jc w:val="both"/>
            </w:pPr>
            <w:r>
              <w:rPr>
                <w:rFonts w:ascii="Times New Roman"/>
                <w:b w:val="false"/>
                <w:i w:val="false"/>
                <w:color w:val="000000"/>
                <w:sz w:val="20"/>
              </w:rPr>
              <w:t>
   3.4. В настоящее время выпуск по параметрам допускается только для лекарственных препаратов, подлежащих финишной стерилизации в первичной упаковке.</w:t>
            </w:r>
          </w:p>
          <w:p>
            <w:pPr>
              <w:spacing w:after="20"/>
              <w:ind w:left="20"/>
              <w:jc w:val="both"/>
            </w:pPr>
            <w:r>
              <w:rPr>
                <w:rFonts w:ascii="Times New Roman"/>
                <w:b w:val="false"/>
                <w:i w:val="false"/>
                <w:color w:val="000000"/>
                <w:sz w:val="20"/>
              </w:rPr>
              <w:t>
   3.5. Для выпуска по параметрам применяются методы стерилизации, предусматривающие в соответствии с действующими фармакопейными требованиями использование пара, сухожарового способа и ионизирующего излучения.</w:t>
            </w:r>
          </w:p>
          <w:p>
            <w:pPr>
              <w:spacing w:after="20"/>
              <w:ind w:left="20"/>
              <w:jc w:val="both"/>
            </w:pPr>
            <w:r>
              <w:rPr>
                <w:rFonts w:ascii="Times New Roman"/>
                <w:b w:val="false"/>
                <w:i w:val="false"/>
                <w:color w:val="000000"/>
                <w:sz w:val="20"/>
              </w:rPr>
              <w:t xml:space="preserve">
   3.6. Выпуск по параметрам не применяется при производстве совершенно новых лекарственных препаратов, так как удовлетворительные результаты испытаний на стерильность в течение определенного периода времени являются частью критериев приемлемости. В отдельных случаях данные испытания на стерильность, уже имеющиеся для других препаратов, можно считать достаточными для нового препарата, в который внесено только незначительное изменение с точки зрения обеспечения стерильности. </w:t>
            </w:r>
          </w:p>
          <w:p>
            <w:pPr>
              <w:spacing w:after="20"/>
              <w:ind w:left="20"/>
              <w:jc w:val="both"/>
            </w:pPr>
            <w:r>
              <w:rPr>
                <w:rFonts w:ascii="Times New Roman"/>
                <w:b w:val="false"/>
                <w:i w:val="false"/>
                <w:color w:val="000000"/>
                <w:sz w:val="20"/>
              </w:rPr>
              <w:t>
   3.7. Следует выполнить анализ рисков системы обеспечения стерильности, направленный на оценку случаев выпуска нестерильной продукции.</w:t>
            </w:r>
          </w:p>
          <w:p>
            <w:pPr>
              <w:spacing w:after="20"/>
              <w:ind w:left="20"/>
              <w:jc w:val="both"/>
            </w:pPr>
            <w:r>
              <w:rPr>
                <w:rFonts w:ascii="Times New Roman"/>
                <w:b w:val="false"/>
                <w:i w:val="false"/>
                <w:color w:val="000000"/>
                <w:sz w:val="20"/>
              </w:rPr>
              <w:t>
   3.8. Предыдущий опыт работы производителя лекарственных препаратов свидетельствует о соответствии его производства требованиям настоящего Стандарта.</w:t>
            </w:r>
          </w:p>
          <w:p>
            <w:pPr>
              <w:spacing w:after="20"/>
              <w:ind w:left="20"/>
              <w:jc w:val="both"/>
            </w:pPr>
            <w:r>
              <w:rPr>
                <w:rFonts w:ascii="Times New Roman"/>
                <w:b w:val="false"/>
                <w:i w:val="false"/>
                <w:color w:val="000000"/>
                <w:sz w:val="20"/>
              </w:rPr>
              <w:t>
   3.9. При оценке соответствия производства требованиям настоящего Стандарта следует учитывать выявленные случаи нарушения стерильности продукции, а также результаты испытаний на стерильность данного лекарственного препарата с точки зрения лекарственных препаратов, стерилизуемых таким же или аналогичным способом.</w:t>
            </w:r>
          </w:p>
          <w:p>
            <w:pPr>
              <w:spacing w:after="20"/>
              <w:ind w:left="20"/>
              <w:jc w:val="both"/>
            </w:pPr>
            <w:r>
              <w:rPr>
                <w:rFonts w:ascii="Times New Roman"/>
                <w:b w:val="false"/>
                <w:i w:val="false"/>
                <w:color w:val="000000"/>
                <w:sz w:val="20"/>
              </w:rPr>
              <w:t>
   3.10. На участке производства и стерилизации в наличии имеется квалифицированный инженер, имеющий опыт работы по обеспечению стерильности, и квалифицированный микробиолог.</w:t>
            </w:r>
          </w:p>
          <w:p>
            <w:pPr>
              <w:spacing w:after="20"/>
              <w:ind w:left="20"/>
              <w:jc w:val="both"/>
            </w:pPr>
            <w:r>
              <w:rPr>
                <w:rFonts w:ascii="Times New Roman"/>
                <w:b w:val="false"/>
                <w:i w:val="false"/>
                <w:color w:val="000000"/>
                <w:sz w:val="20"/>
              </w:rPr>
              <w:t>
   3.11. Разработка и первоначальная валидация гарантируют, что при соблюдении всех соответствующих условий будет выпускаться продукт одинакового качества.</w:t>
            </w:r>
          </w:p>
          <w:p>
            <w:pPr>
              <w:spacing w:after="20"/>
              <w:ind w:left="20"/>
              <w:jc w:val="both"/>
            </w:pPr>
            <w:r>
              <w:rPr>
                <w:rFonts w:ascii="Times New Roman"/>
                <w:b w:val="false"/>
                <w:i w:val="false"/>
                <w:color w:val="000000"/>
                <w:sz w:val="20"/>
              </w:rPr>
              <w:t xml:space="preserve">
   3.12. Система контроля изменений предусматривает их рассмотрение персоналом, обеспечивающим стерильность. </w:t>
            </w:r>
          </w:p>
          <w:p>
            <w:pPr>
              <w:spacing w:after="20"/>
              <w:ind w:left="20"/>
              <w:jc w:val="both"/>
            </w:pPr>
            <w:r>
              <w:rPr>
                <w:rFonts w:ascii="Times New Roman"/>
                <w:b w:val="false"/>
                <w:i w:val="false"/>
                <w:color w:val="000000"/>
                <w:sz w:val="20"/>
              </w:rPr>
              <w:t>
   3.13. Следует организовать систему контроля микробной контаминации лекарственного препарата перед стерилизацией.</w:t>
            </w:r>
          </w:p>
          <w:p>
            <w:pPr>
              <w:spacing w:after="20"/>
              <w:ind w:left="20"/>
              <w:jc w:val="both"/>
            </w:pPr>
            <w:r>
              <w:rPr>
                <w:rFonts w:ascii="Times New Roman"/>
                <w:b w:val="false"/>
                <w:i w:val="false"/>
                <w:color w:val="000000"/>
                <w:sz w:val="20"/>
              </w:rPr>
              <w:t>
   3.14. Исключается возможность перепутывания продукции, прошедшей и не прошедшей стерилизацию, что обеспечивается путем физического разделения продукции или использованием электронных систем, прошедших валидацию.</w:t>
            </w:r>
          </w:p>
          <w:p>
            <w:pPr>
              <w:spacing w:after="20"/>
              <w:ind w:left="20"/>
              <w:jc w:val="both"/>
            </w:pPr>
            <w:r>
              <w:rPr>
                <w:rFonts w:ascii="Times New Roman"/>
                <w:b w:val="false"/>
                <w:i w:val="false"/>
                <w:color w:val="000000"/>
                <w:sz w:val="20"/>
              </w:rPr>
              <w:t>
   3.15. Записи по стерилизации следует проверять на соответствие требованиям спецификации с привлечением не менее двух независимых систем контроля. Такой контроль может проводиться двумя сотрудниками или сотрудником и компьютерной системой, прошедшей валидацию.</w:t>
            </w:r>
          </w:p>
          <w:p>
            <w:pPr>
              <w:spacing w:after="20"/>
              <w:ind w:left="20"/>
              <w:jc w:val="both"/>
            </w:pPr>
            <w:r>
              <w:rPr>
                <w:rFonts w:ascii="Times New Roman"/>
                <w:b w:val="false"/>
                <w:i w:val="false"/>
                <w:color w:val="000000"/>
                <w:sz w:val="20"/>
              </w:rPr>
              <w:t>
   3.16. Перед выпуском каждой серии продукции следует дополнительно подтвердить следующее:</w:t>
            </w:r>
          </w:p>
          <w:p>
            <w:pPr>
              <w:spacing w:after="20"/>
              <w:ind w:left="20"/>
              <w:jc w:val="both"/>
            </w:pPr>
            <w:r>
              <w:rPr>
                <w:rFonts w:ascii="Times New Roman"/>
                <w:b w:val="false"/>
                <w:i w:val="false"/>
                <w:color w:val="000000"/>
                <w:sz w:val="20"/>
              </w:rPr>
              <w:t>
   все плановые работы по техническому обслуживанию и текущие проверки используемого стерилизатора выполнены;</w:t>
            </w:r>
          </w:p>
          <w:p>
            <w:pPr>
              <w:spacing w:after="20"/>
              <w:ind w:left="20"/>
              <w:jc w:val="both"/>
            </w:pPr>
            <w:r>
              <w:rPr>
                <w:rFonts w:ascii="Times New Roman"/>
                <w:b w:val="false"/>
                <w:i w:val="false"/>
                <w:color w:val="000000"/>
                <w:sz w:val="20"/>
              </w:rPr>
              <w:t>
   все ремонтные работы и модификации согласованы с инженером и микробиологом, которые несут ответственность за процесс стерилизации;</w:t>
            </w:r>
          </w:p>
          <w:p>
            <w:pPr>
              <w:spacing w:after="20"/>
              <w:ind w:left="20"/>
              <w:jc w:val="both"/>
            </w:pPr>
            <w:r>
              <w:rPr>
                <w:rFonts w:ascii="Times New Roman"/>
                <w:b w:val="false"/>
                <w:i w:val="false"/>
                <w:color w:val="000000"/>
                <w:sz w:val="20"/>
              </w:rPr>
              <w:t xml:space="preserve">
   используемые приборы прошли калибровку (поверку); </w:t>
            </w:r>
          </w:p>
          <w:p>
            <w:pPr>
              <w:spacing w:after="20"/>
              <w:ind w:left="20"/>
              <w:jc w:val="both"/>
            </w:pPr>
            <w:r>
              <w:rPr>
                <w:rFonts w:ascii="Times New Roman"/>
                <w:b w:val="false"/>
                <w:i w:val="false"/>
                <w:color w:val="000000"/>
                <w:sz w:val="20"/>
              </w:rPr>
              <w:t>
   стерилизатор на настоящий момент валидирован для стерилизации загрузки данного типа.</w:t>
            </w:r>
          </w:p>
          <w:p>
            <w:pPr>
              <w:spacing w:after="20"/>
              <w:ind w:left="20"/>
              <w:jc w:val="both"/>
            </w:pPr>
            <w:r>
              <w:rPr>
                <w:rFonts w:ascii="Times New Roman"/>
                <w:b w:val="false"/>
                <w:i w:val="false"/>
                <w:color w:val="000000"/>
                <w:sz w:val="20"/>
              </w:rPr>
              <w:t>
   3.17. Если выдано разрешение на выпуск серии продукции по параметрам, то решения о выпуске или отклонении серии продукции основываются на требованиях утвержденных спецификаций в части выпуска по параметрам. При невыполнении этих требований выпуск продукции по параметрам не допускается даже при условии успешного проведения испытания на стерильность.</w:t>
            </w:r>
          </w:p>
          <w:p>
            <w:pPr>
              <w:spacing w:after="20"/>
              <w:ind w:left="20"/>
              <w:jc w:val="both"/>
            </w:pPr>
            <w:r>
              <w:rPr>
                <w:rFonts w:ascii="Times New Roman"/>
                <w:b w:val="false"/>
                <w:i w:val="false"/>
                <w:color w:val="000000"/>
                <w:sz w:val="20"/>
              </w:rPr>
              <w:t>
   </w:t>
            </w:r>
            <w:r>
              <w:rPr>
                <w:rFonts w:ascii="Times New Roman"/>
                <w:b/>
                <w:i w:val="false"/>
                <w:color w:val="000000"/>
                <w:sz w:val="20"/>
              </w:rPr>
              <w:t>Термины и определения</w:t>
            </w:r>
          </w:p>
          <w:p>
            <w:pPr>
              <w:spacing w:after="20"/>
              <w:ind w:left="20"/>
              <w:jc w:val="both"/>
            </w:pPr>
            <w:r>
              <w:rPr>
                <w:rFonts w:ascii="Times New Roman"/>
                <w:b w:val="false"/>
                <w:i w:val="false"/>
                <w:color w:val="000000"/>
                <w:sz w:val="20"/>
              </w:rPr>
              <w:t>
   Выпуск по параметрам - система выпуска продукции, дающая гарантию, что продукция обладает требуемым качеством, на основании информации, полученной во время производственного процесса, а также на основании соответствия определенным требованиям настоящего Стандарта, относящимся к выпуску по параметрам.</w:t>
            </w:r>
          </w:p>
          <w:p>
            <w:pPr>
              <w:spacing w:after="20"/>
              <w:ind w:left="20"/>
              <w:jc w:val="both"/>
            </w:pPr>
            <w:r>
              <w:rPr>
                <w:rFonts w:ascii="Times New Roman"/>
                <w:b w:val="false"/>
                <w:i w:val="false"/>
                <w:color w:val="000000"/>
                <w:sz w:val="20"/>
              </w:rPr>
              <w:t>
   Система обеспечения стерильности - комплекс мер по обеспечению стерильности продукции. Для лекарственных препаратов, подлежащих финишной стерилизации, этот комплекс мер включает в себя следующее:</w:t>
            </w:r>
          </w:p>
          <w:p>
            <w:pPr>
              <w:spacing w:after="20"/>
              <w:ind w:left="20"/>
              <w:jc w:val="both"/>
            </w:pPr>
            <w:r>
              <w:rPr>
                <w:rFonts w:ascii="Times New Roman"/>
                <w:b w:val="false"/>
                <w:i w:val="false"/>
                <w:color w:val="000000"/>
                <w:sz w:val="20"/>
              </w:rPr>
              <w:t>
   1) разработку лекарственного препарата;</w:t>
            </w:r>
          </w:p>
          <w:p>
            <w:pPr>
              <w:spacing w:after="20"/>
              <w:ind w:left="20"/>
              <w:jc w:val="both"/>
            </w:pPr>
            <w:r>
              <w:rPr>
                <w:rFonts w:ascii="Times New Roman"/>
                <w:b w:val="false"/>
                <w:i w:val="false"/>
                <w:color w:val="000000"/>
                <w:sz w:val="20"/>
              </w:rPr>
              <w:t>
   2) знание и, по возможности, контроль микробиологических характеристик исходного сырья и технологических вспомогательных средств (например, газов и смазочных материалов),</w:t>
            </w:r>
          </w:p>
          <w:p>
            <w:pPr>
              <w:spacing w:after="20"/>
              <w:ind w:left="20"/>
              <w:jc w:val="both"/>
            </w:pPr>
            <w:r>
              <w:rPr>
                <w:rFonts w:ascii="Times New Roman"/>
                <w:b w:val="false"/>
                <w:i w:val="false"/>
                <w:color w:val="000000"/>
                <w:sz w:val="20"/>
              </w:rPr>
              <w:t>
   3) проведение контроля контаминации в ходе технологического процесса для предотвращения попадания микроорганизмов в продукцию и их размножения. Это обычно достигается путем очистки и санитарной обработки поверхностей, контактирующих с продукцией, предупреждения контаминации из воздуха посредством проведения работ в чистых помещениях, проведением технологического процесса с ограничениями во времени и, в соответствующих случаях, использованием стадий фильтрации;</w:t>
            </w:r>
          </w:p>
          <w:p>
            <w:pPr>
              <w:spacing w:after="20"/>
              <w:ind w:left="20"/>
              <w:jc w:val="both"/>
            </w:pPr>
            <w:r>
              <w:rPr>
                <w:rFonts w:ascii="Times New Roman"/>
                <w:b w:val="false"/>
                <w:i w:val="false"/>
                <w:color w:val="000000"/>
                <w:sz w:val="20"/>
              </w:rPr>
              <w:t>
   4) предотвращение перепутывания производственных потоков стерилизованной и нестерилизованной продукции;</w:t>
            </w:r>
          </w:p>
          <w:p>
            <w:pPr>
              <w:spacing w:after="20"/>
              <w:ind w:left="20"/>
              <w:jc w:val="both"/>
            </w:pPr>
            <w:r>
              <w:rPr>
                <w:rFonts w:ascii="Times New Roman"/>
                <w:b w:val="false"/>
                <w:i w:val="false"/>
                <w:color w:val="000000"/>
                <w:sz w:val="20"/>
              </w:rPr>
              <w:t>
   5) постоянное достижение качества продукции;</w:t>
            </w:r>
          </w:p>
          <w:p>
            <w:pPr>
              <w:spacing w:after="20"/>
              <w:ind w:left="20"/>
              <w:jc w:val="both"/>
            </w:pPr>
            <w:r>
              <w:rPr>
                <w:rFonts w:ascii="Times New Roman"/>
                <w:b w:val="false"/>
                <w:i w:val="false"/>
                <w:color w:val="000000"/>
                <w:sz w:val="20"/>
              </w:rPr>
              <w:t>
   6) процесс стерилизации;</w:t>
            </w:r>
          </w:p>
          <w:p>
            <w:pPr>
              <w:spacing w:after="20"/>
              <w:ind w:left="20"/>
              <w:jc w:val="both"/>
            </w:pPr>
            <w:r>
              <w:rPr>
                <w:rFonts w:ascii="Times New Roman"/>
                <w:b w:val="false"/>
                <w:i w:val="false"/>
                <w:color w:val="000000"/>
                <w:sz w:val="20"/>
              </w:rPr>
              <w:t>
   систему качества в целом, в том числе систему обеспечения стерильности, а именно: контроль изменений, обучение персонала, наличие письменных инструкций, контроль при выпуске продукции, плановое профилактическое техническое обслуживание, анализ сбоев в работе, предотвращение ошибок по вине персонала, валидацию, калибровку (поверку) и т.д.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Стандарту надлежащей</w:t>
            </w:r>
            <w:r>
              <w:br/>
            </w:r>
            <w:r>
              <w:rPr>
                <w:rFonts w:ascii="Times New Roman"/>
                <w:b w:val="false"/>
                <w:i w:val="false"/>
                <w:color w:val="000000"/>
                <w:sz w:val="20"/>
              </w:rPr>
              <w:t>производственной практики (GMP)</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9"/>
              <w:gridCol w:w="4511"/>
            </w:tblGrid>
            <w:tr>
              <w:trPr>
                <w:trHeight w:val="30" w:hRule="atLeast"/>
              </w:trPr>
              <w:tc>
                <w:tcPr>
                  <w:tcW w:w="76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Контрольные и архивные образцы</w:t>
                  </w:r>
                </w:p>
              </w:tc>
            </w:tr>
          </w:tbl>
          <w:p/>
          <w:p>
            <w:pPr>
              <w:spacing w:after="20"/>
              <w:ind w:left="20"/>
              <w:jc w:val="both"/>
            </w:pPr>
            <w:r>
              <w:rPr>
                <w:rFonts w:ascii="Times New Roman"/>
                <w:b w:val="false"/>
                <w:i w:val="false"/>
                <w:color w:val="000000"/>
                <w:sz w:val="20"/>
              </w:rPr>
              <w:t>
   </w:t>
            </w:r>
            <w:r>
              <w:rPr>
                <w:rFonts w:ascii="Times New Roman"/>
                <w:b/>
                <w:i w:val="false"/>
                <w:color w:val="000000"/>
                <w:sz w:val="20"/>
              </w:rPr>
              <w:t>1. Область применения</w:t>
            </w:r>
          </w:p>
          <w:p>
            <w:pPr>
              <w:spacing w:after="20"/>
              <w:ind w:left="20"/>
              <w:jc w:val="both"/>
            </w:pPr>
            <w:r>
              <w:rPr>
                <w:rFonts w:ascii="Times New Roman"/>
                <w:b w:val="false"/>
                <w:i w:val="false"/>
                <w:color w:val="000000"/>
                <w:sz w:val="20"/>
              </w:rPr>
              <w:t xml:space="preserve">
   1.1. Данное Приложение к настоящему Стандарту устанавливает требования к отбору и хранению контрольных образцов исходного сырья, упаковочных материалов или готовой продукции и архивных образцов готовой продукции. </w:t>
            </w:r>
          </w:p>
          <w:p>
            <w:pPr>
              <w:spacing w:after="20"/>
              <w:ind w:left="20"/>
              <w:jc w:val="both"/>
            </w:pPr>
            <w:r>
              <w:rPr>
                <w:rFonts w:ascii="Times New Roman"/>
                <w:b w:val="false"/>
                <w:i w:val="false"/>
                <w:color w:val="000000"/>
                <w:sz w:val="20"/>
              </w:rPr>
              <w:t>
   1.2. Специальные требования к лекарственным препаратам для клинических исследований приведены в Приложении 13 к настоящему Стандарту.</w:t>
            </w:r>
          </w:p>
          <w:p>
            <w:pPr>
              <w:spacing w:after="20"/>
              <w:ind w:left="20"/>
              <w:jc w:val="both"/>
            </w:pPr>
            <w:r>
              <w:rPr>
                <w:rFonts w:ascii="Times New Roman"/>
                <w:b w:val="false"/>
                <w:i w:val="false"/>
                <w:color w:val="000000"/>
                <w:sz w:val="20"/>
              </w:rPr>
              <w:t>
   1.3. Настоящее Приложение также содержит руководящие указания в отношении отбора архивных образцов для параллельно импортируемых или поставляемых лекарственных препаратов.</w:t>
            </w:r>
          </w:p>
          <w:p>
            <w:pPr>
              <w:spacing w:after="20"/>
              <w:ind w:left="20"/>
              <w:jc w:val="both"/>
            </w:pPr>
            <w:r>
              <w:rPr>
                <w:rFonts w:ascii="Times New Roman"/>
                <w:b w:val="false"/>
                <w:i w:val="false"/>
                <w:color w:val="000000"/>
                <w:sz w:val="20"/>
              </w:rPr>
              <w:t>
   </w:t>
            </w:r>
            <w:r>
              <w:rPr>
                <w:rFonts w:ascii="Times New Roman"/>
                <w:b/>
                <w:i w:val="false"/>
                <w:color w:val="000000"/>
                <w:sz w:val="20"/>
              </w:rPr>
              <w:t>2. Принцип</w:t>
            </w:r>
          </w:p>
          <w:p>
            <w:pPr>
              <w:spacing w:after="20"/>
              <w:ind w:left="20"/>
              <w:jc w:val="both"/>
            </w:pPr>
            <w:r>
              <w:rPr>
                <w:rFonts w:ascii="Times New Roman"/>
                <w:b w:val="false"/>
                <w:i w:val="false"/>
                <w:color w:val="000000"/>
                <w:sz w:val="20"/>
              </w:rPr>
              <w:t xml:space="preserve">
   2.1. Образцы хранят с двумя целями: во-первых, чтобы обеспечить наличие образца для аналитических исследований, и, во-вторых, чтобы обеспечить наличие образца полностью готовой продукции. Образцы, таким образом, могут быть поделены на две категории: </w:t>
            </w:r>
          </w:p>
          <w:p>
            <w:pPr>
              <w:spacing w:after="20"/>
              <w:ind w:left="20"/>
              <w:jc w:val="both"/>
            </w:pPr>
            <w:r>
              <w:rPr>
                <w:rFonts w:ascii="Times New Roman"/>
                <w:b w:val="false"/>
                <w:i w:val="false"/>
                <w:color w:val="000000"/>
                <w:sz w:val="20"/>
              </w:rPr>
              <w:t>
   Контрольный образец – образец, отобранный из серии исходного сырья, упаковочного материала или готовой продукции, который хранится для проведения анализа в течение срока годности серии в случае возникновения такой необходимости. Следует сохранять образцы, отобранные на критических промежуточных стадиях и промежуточных продуктов, которые поставляются за пределы зоны контроля производителя, если стабильность образцов это допускает.</w:t>
            </w:r>
          </w:p>
          <w:p>
            <w:pPr>
              <w:spacing w:after="20"/>
              <w:ind w:left="20"/>
              <w:jc w:val="both"/>
            </w:pPr>
            <w:r>
              <w:rPr>
                <w:rFonts w:ascii="Times New Roman"/>
                <w:b w:val="false"/>
                <w:i w:val="false"/>
                <w:color w:val="000000"/>
                <w:sz w:val="20"/>
              </w:rPr>
              <w:t>
   Архивный образец – образец в окончательной упаковке, отобранный из серии готовой продукции. Его хранят в целях подтверждения идентичности. Например, в течение срока хранения серии может потребоваться осмотр образца или упаковки, маркировки, инструкции по применению, получение информации о номере серии и сроке годности. Могут быть исключительные обстоятельства, когда это требование может быть соблюдено без хранения дубликатов образцов, например, если небольшие серии упаковывают для разных рынков или при производстве очень дорогих лекарственных препаратов.</w:t>
            </w:r>
          </w:p>
          <w:p>
            <w:pPr>
              <w:spacing w:after="20"/>
              <w:ind w:left="20"/>
              <w:jc w:val="both"/>
            </w:pPr>
            <w:r>
              <w:rPr>
                <w:rFonts w:ascii="Times New Roman"/>
                <w:b w:val="false"/>
                <w:i w:val="false"/>
                <w:color w:val="000000"/>
                <w:sz w:val="20"/>
              </w:rPr>
              <w:t xml:space="preserve">
   Во многих случаях контрольные и архивные образцы готовой продукции идентичны и являются единицами продукции в окончательной упаковке. В таких случаях контрольные и архивные образцы могут рассматриваться как взаимозаменяемые. </w:t>
            </w:r>
          </w:p>
          <w:p>
            <w:pPr>
              <w:spacing w:after="20"/>
              <w:ind w:left="20"/>
              <w:jc w:val="both"/>
            </w:pPr>
            <w:r>
              <w:rPr>
                <w:rFonts w:ascii="Times New Roman"/>
                <w:b w:val="false"/>
                <w:i w:val="false"/>
                <w:color w:val="000000"/>
                <w:sz w:val="20"/>
              </w:rPr>
              <w:t>
   2.2. У производителя, импортера или на предприятии, где выдается разрешение на выпуск серии, как указано в пунктах 7 и 8 данного Приложения, хранятся контрольные и (или) архивные образцы каждой серии готовой продукции, а у производителя – контрольные образцы каждой серии исходных материалов, кроме исключений – см. пункт 3.2 данного Приложения и (или) промежуточной продукции. На каждом предприятии, осуществляющем упаковку, хранятся контрольные образцы каждой серии первичных упаковочных материалов и печатных материалов. Допускается включать печатные материалы в состав контрольных и (или) архивных образцов готовой продукции.</w:t>
            </w:r>
          </w:p>
          <w:p>
            <w:pPr>
              <w:spacing w:after="20"/>
              <w:ind w:left="20"/>
              <w:jc w:val="both"/>
            </w:pPr>
            <w:r>
              <w:rPr>
                <w:rFonts w:ascii="Times New Roman"/>
                <w:b w:val="false"/>
                <w:i w:val="false"/>
                <w:color w:val="000000"/>
                <w:sz w:val="20"/>
              </w:rPr>
              <w:t>
   2.3. Контрольные и (или) архивные образцы выступают в качестве свидетельства о серии готовой продукции или исходных материалов и оцениваются в случае, например, предъявления претензий в отношении качества лекарственного препарата, запросов касательно соответствия регистрационному досье, запросов по поводу маркировки или упаковки или отчета по мониторингу безопасности лекарственного препарата.</w:t>
            </w:r>
          </w:p>
          <w:p>
            <w:pPr>
              <w:spacing w:after="20"/>
              <w:ind w:left="20"/>
              <w:jc w:val="both"/>
            </w:pPr>
            <w:r>
              <w:rPr>
                <w:rFonts w:ascii="Times New Roman"/>
                <w:b w:val="false"/>
                <w:i w:val="false"/>
                <w:color w:val="000000"/>
                <w:sz w:val="20"/>
              </w:rPr>
              <w:t>
   2.4. Ведутся записи для обеспечения прослеживаемости образцов, которые доступны уполномоченным органам. </w:t>
            </w:r>
          </w:p>
          <w:p>
            <w:pPr>
              <w:spacing w:after="20"/>
              <w:ind w:left="20"/>
              <w:jc w:val="both"/>
            </w:pPr>
            <w:r>
              <w:rPr>
                <w:rFonts w:ascii="Times New Roman"/>
                <w:b w:val="false"/>
                <w:i w:val="false"/>
                <w:color w:val="000000"/>
                <w:sz w:val="20"/>
              </w:rPr>
              <w:t>
   </w:t>
            </w:r>
            <w:r>
              <w:rPr>
                <w:rFonts w:ascii="Times New Roman"/>
                <w:b/>
                <w:i w:val="false"/>
                <w:color w:val="000000"/>
                <w:sz w:val="20"/>
              </w:rPr>
              <w:t>3. Длительность хранения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3.1. Контрольные и архивные образцы каждой серии готовой продукции следует хранить, как минимум, в течение срока годности серии и одного года после истечения срока годности. Контрольный образец упаковывается в его первичную упаковку или в упаковку, состоящую из того же материала, что и первичная упаковка, в которой выпускается лекарственный препарат.</w:t>
            </w:r>
          </w:p>
          <w:p>
            <w:pPr>
              <w:spacing w:after="20"/>
              <w:ind w:left="20"/>
              <w:jc w:val="both"/>
            </w:pPr>
            <w:r>
              <w:rPr>
                <w:rFonts w:ascii="Times New Roman"/>
                <w:b w:val="false"/>
                <w:i w:val="false"/>
                <w:color w:val="000000"/>
                <w:sz w:val="20"/>
              </w:rPr>
              <w:t>
   3.2. Образцы исходного сырья (кроме растворителей, газов или воды, предназначенных для технологических целей) хранятся в течение не менее двух лет после выпуска лекарственного препарата, если более длительный период не предусмотрен соответствующими нормативными правовыми актами. Это период может быть сокращен, если в спецификации указан более короткий период стабильности сырья. Упаковочные материалы хранятся в течение срока годности соответствующего готового продукта. </w:t>
            </w:r>
          </w:p>
          <w:p>
            <w:pPr>
              <w:spacing w:after="20"/>
              <w:ind w:left="20"/>
              <w:jc w:val="both"/>
            </w:pPr>
            <w:r>
              <w:rPr>
                <w:rFonts w:ascii="Times New Roman"/>
                <w:b w:val="false"/>
                <w:i w:val="false"/>
                <w:color w:val="000000"/>
                <w:sz w:val="20"/>
              </w:rPr>
              <w:t>
   </w:t>
            </w:r>
            <w:r>
              <w:rPr>
                <w:rFonts w:ascii="Times New Roman"/>
                <w:b/>
                <w:i w:val="false"/>
                <w:color w:val="000000"/>
                <w:sz w:val="20"/>
              </w:rPr>
              <w:t>4. Количество контрольных и архивных образцов</w:t>
            </w:r>
            <w:r>
              <w:rPr>
                <w:rFonts w:ascii="Times New Roman"/>
                <w:b w:val="false"/>
                <w:i w:val="false"/>
                <w:color w:val="000000"/>
                <w:sz w:val="20"/>
              </w:rPr>
              <w:t> </w:t>
            </w:r>
          </w:p>
          <w:p>
            <w:pPr>
              <w:spacing w:after="20"/>
              <w:ind w:left="20"/>
              <w:jc w:val="both"/>
            </w:pPr>
            <w:r>
              <w:rPr>
                <w:rFonts w:ascii="Times New Roman"/>
                <w:b w:val="false"/>
                <w:i w:val="false"/>
                <w:color w:val="000000"/>
                <w:sz w:val="20"/>
              </w:rPr>
              <w:t>
   4.1. Обеспечивается достаточность количества контрольных образцов для проведения не менее чем двукратного полного аналитического контроля серии продукции в соответствии с требованиями регистрационного досье, оцененного и утвержденного соответствующим уполномоченным органом или органами. В случае необходимости для каждого вида аналитического контроля используются невскрытые упаковки. Любые исключения из этого требования обосновываются и согласовываются с соответствующим уполномоченным органом.</w:t>
            </w:r>
          </w:p>
          <w:p>
            <w:pPr>
              <w:spacing w:after="20"/>
              <w:ind w:left="20"/>
              <w:jc w:val="both"/>
            </w:pPr>
            <w:r>
              <w:rPr>
                <w:rFonts w:ascii="Times New Roman"/>
                <w:b w:val="false"/>
                <w:i w:val="false"/>
                <w:color w:val="000000"/>
                <w:sz w:val="20"/>
              </w:rPr>
              <w:t xml:space="preserve">
   4.2. Действующие требования в отношении количества контрольных образцов и, при необходимости, архивных образцов соблюдаются. </w:t>
            </w:r>
          </w:p>
          <w:p>
            <w:pPr>
              <w:spacing w:after="20"/>
              <w:ind w:left="20"/>
              <w:jc w:val="both"/>
            </w:pPr>
            <w:r>
              <w:rPr>
                <w:rFonts w:ascii="Times New Roman"/>
                <w:b w:val="false"/>
                <w:i w:val="false"/>
                <w:color w:val="000000"/>
                <w:sz w:val="20"/>
              </w:rPr>
              <w:t>
   4.3. Контрольные образцы представляются для серии исходного сырья, промежуточной или готовой продукции, из которой они отобраны. Для контроля наиболее критических этапов процесса отбираются дополнительные образцы. Если процесс упаковки серии ведется в ходе двух и более отдельных операций по упаковке, то после каждой из этих операций отбирается не менее одного архивного образца. Любые исключения из этого требования обосновываются и согласовываются с соответствующим уполномоченным органом.</w:t>
            </w:r>
          </w:p>
          <w:p>
            <w:pPr>
              <w:spacing w:after="20"/>
              <w:ind w:left="20"/>
              <w:jc w:val="both"/>
            </w:pPr>
            <w:r>
              <w:rPr>
                <w:rFonts w:ascii="Times New Roman"/>
                <w:b w:val="false"/>
                <w:i w:val="false"/>
                <w:color w:val="000000"/>
                <w:sz w:val="20"/>
              </w:rPr>
              <w:t>
   4.4. Необходимо обеспечить, чтобы еще один год после истечения срока годности последней произведенной серии имелись в наличии или были легко доступны все необходимые аналитические материалы и оборудование с целью проведения всех приведенных в спецификации испытаний. </w:t>
            </w:r>
          </w:p>
          <w:p>
            <w:pPr>
              <w:spacing w:after="20"/>
              <w:ind w:left="20"/>
              <w:jc w:val="both"/>
            </w:pPr>
            <w:r>
              <w:rPr>
                <w:rFonts w:ascii="Times New Roman"/>
                <w:b w:val="false"/>
                <w:i w:val="false"/>
                <w:color w:val="000000"/>
                <w:sz w:val="20"/>
              </w:rPr>
              <w:t>
   </w:t>
            </w:r>
            <w:r>
              <w:rPr>
                <w:rFonts w:ascii="Times New Roman"/>
                <w:b/>
                <w:i w:val="false"/>
                <w:color w:val="000000"/>
                <w:sz w:val="20"/>
              </w:rPr>
              <w:t>5. Условия хранения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5.1. Контрольные образцы готовой продукции и активных фармацевтических субстанций хранятся согласно требованиям соответствующих нормативных правовых актов.</w:t>
            </w:r>
          </w:p>
          <w:p>
            <w:pPr>
              <w:spacing w:after="20"/>
              <w:ind w:left="20"/>
              <w:jc w:val="both"/>
            </w:pPr>
            <w:r>
              <w:rPr>
                <w:rFonts w:ascii="Times New Roman"/>
                <w:b w:val="false"/>
                <w:i w:val="false"/>
                <w:color w:val="000000"/>
                <w:sz w:val="20"/>
              </w:rPr>
              <w:t>
   5.2. Условия хранения соответствуют требованиям, установленным при регистрации лекарственного средства. </w:t>
            </w:r>
          </w:p>
          <w:p>
            <w:pPr>
              <w:spacing w:after="20"/>
              <w:ind w:left="20"/>
              <w:jc w:val="both"/>
            </w:pPr>
            <w:r>
              <w:rPr>
                <w:rFonts w:ascii="Times New Roman"/>
                <w:b w:val="false"/>
                <w:i w:val="false"/>
                <w:color w:val="000000"/>
                <w:sz w:val="20"/>
              </w:rPr>
              <w:t>
   </w:t>
            </w:r>
            <w:r>
              <w:rPr>
                <w:rFonts w:ascii="Times New Roman"/>
                <w:b/>
                <w:i w:val="false"/>
                <w:color w:val="000000"/>
                <w:sz w:val="20"/>
              </w:rPr>
              <w:t>6. Письменные соглашения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6.1. Если держатель регистрационного удостоверения не является одновременно юридическим лицом, ответственным за выпуск серии продукции, обязанность по отбору и хранению контрольных или архивных образцов определяется в письменном соглашении между двумя сторонами в соответствии с главой 7 части I настоящего Стандарта. Это также касается случаев, когда какая-либо деятельность по производству или выпуску серии продукции проводится не на том предприятии, которое несет ответственность за серию продукции. Порядок отбора и хранения контрольных и архивных образцов для каждого предприятия, вовлеченного в производство, определяется в письменном соглашении между ними.</w:t>
            </w:r>
          </w:p>
          <w:p>
            <w:pPr>
              <w:spacing w:after="20"/>
              <w:ind w:left="20"/>
              <w:jc w:val="both"/>
            </w:pPr>
            <w:r>
              <w:rPr>
                <w:rFonts w:ascii="Times New Roman"/>
                <w:b w:val="false"/>
                <w:i w:val="false"/>
                <w:color w:val="000000"/>
                <w:sz w:val="20"/>
              </w:rPr>
              <w:t>
   6.2. Уполномоченное лицо, которое выдает разрешение на выпуск серии лекарственного препарата, гарантирует, что все соответствующие контрольные и архивные образцы будут доступны в течение приемлемого времени. При необходимости все требования в отношении такого доступа устанавливаются в письменном соглашении.</w:t>
            </w:r>
          </w:p>
          <w:p>
            <w:pPr>
              <w:spacing w:after="20"/>
              <w:ind w:left="20"/>
              <w:jc w:val="both"/>
            </w:pPr>
            <w:r>
              <w:rPr>
                <w:rFonts w:ascii="Times New Roman"/>
                <w:b w:val="false"/>
                <w:i w:val="false"/>
                <w:color w:val="000000"/>
                <w:sz w:val="20"/>
              </w:rPr>
              <w:t>
   6.3. Если в производстве готовой продукции принимает участие более одной производственной площадки, то наличие письменных соглашений является ключевым условием для требований к отбору и месту хранения контрольных и архивных образцов. </w:t>
            </w:r>
          </w:p>
          <w:p>
            <w:pPr>
              <w:spacing w:after="20"/>
              <w:ind w:left="20"/>
              <w:jc w:val="both"/>
            </w:pPr>
            <w:r>
              <w:rPr>
                <w:rFonts w:ascii="Times New Roman"/>
                <w:b w:val="false"/>
                <w:i w:val="false"/>
                <w:color w:val="000000"/>
                <w:sz w:val="20"/>
              </w:rPr>
              <w:t>
   </w:t>
            </w:r>
            <w:r>
              <w:rPr>
                <w:rFonts w:ascii="Times New Roman"/>
                <w:b/>
                <w:i w:val="false"/>
                <w:color w:val="000000"/>
                <w:sz w:val="20"/>
              </w:rPr>
              <w:t>7. Контрольные образцы. Общие положения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7.1. Контрольные образцы предназначены для проведения анализа, обеспечивается их доступность для лаборатории, имеющей валидированные методики его проведения. Образцы исходного сырья, используемого в производстве лекарственных препаратов, и образцы готовой продукции хранятся на предприятии-производителе готовых лекарственных препаратов.</w:t>
            </w:r>
          </w:p>
          <w:p>
            <w:pPr>
              <w:spacing w:after="20"/>
              <w:ind w:left="20"/>
              <w:jc w:val="both"/>
            </w:pPr>
            <w:r>
              <w:rPr>
                <w:rFonts w:ascii="Times New Roman"/>
                <w:b w:val="false"/>
                <w:i w:val="false"/>
                <w:color w:val="000000"/>
                <w:sz w:val="20"/>
              </w:rPr>
              <w:t>
   7.2. Для готовой продукции, произведенной в других странах:</w:t>
            </w:r>
          </w:p>
          <w:p>
            <w:pPr>
              <w:spacing w:after="20"/>
              <w:ind w:left="20"/>
              <w:jc w:val="both"/>
            </w:pPr>
            <w:r>
              <w:rPr>
                <w:rFonts w:ascii="Times New Roman"/>
                <w:b w:val="false"/>
                <w:i w:val="false"/>
                <w:color w:val="000000"/>
                <w:sz w:val="20"/>
              </w:rPr>
              <w:t>
   7.2.1. Если страна имеет соглашение о взаимном признании с Республикой Казахстан, то контрольные образцы отбираются и хранятся на предприятии-производителе. Это оформляется письменным соглашением, как указано выше в разделе 6 данного Приложения между импортером и производителем, находящимся в другой стране.</w:t>
            </w:r>
          </w:p>
          <w:p>
            <w:pPr>
              <w:spacing w:after="20"/>
              <w:ind w:left="20"/>
              <w:jc w:val="both"/>
            </w:pPr>
            <w:r>
              <w:rPr>
                <w:rFonts w:ascii="Times New Roman"/>
                <w:b w:val="false"/>
                <w:i w:val="false"/>
                <w:color w:val="000000"/>
                <w:sz w:val="20"/>
              </w:rPr>
              <w:t>
   7.2.2. Отбор образцов выполняется в соответствии с письменным соглашением или соглашениями между всеми заинтересованными сторонами. Рекомендуется хранить образцы там, где проводился контроль продукции при ее ввозе.</w:t>
            </w:r>
          </w:p>
          <w:p>
            <w:pPr>
              <w:spacing w:after="20"/>
              <w:ind w:left="20"/>
              <w:jc w:val="both"/>
            </w:pPr>
            <w:r>
              <w:rPr>
                <w:rFonts w:ascii="Times New Roman"/>
                <w:b w:val="false"/>
                <w:i w:val="false"/>
                <w:color w:val="000000"/>
                <w:sz w:val="20"/>
              </w:rPr>
              <w:t>
   7.2.3. Контрольные образцы исходного сырья и упаковочных материалов хранятся там, где они использовались для производства готовых лекарственных препаратов.</w:t>
            </w:r>
          </w:p>
          <w:p>
            <w:pPr>
              <w:spacing w:after="20"/>
              <w:ind w:left="20"/>
              <w:jc w:val="both"/>
            </w:pPr>
            <w:r>
              <w:rPr>
                <w:rFonts w:ascii="Times New Roman"/>
                <w:b w:val="false"/>
                <w:i w:val="false"/>
                <w:color w:val="000000"/>
                <w:sz w:val="20"/>
              </w:rPr>
              <w:t>
   </w:t>
            </w:r>
            <w:r>
              <w:rPr>
                <w:rFonts w:ascii="Times New Roman"/>
                <w:b/>
                <w:i w:val="false"/>
                <w:color w:val="000000"/>
                <w:sz w:val="20"/>
              </w:rPr>
              <w:t>8. Архивные образцы. Общие положения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8.1. Архивные образцы представляют собой серию готовых лекарственных препаратов в том виде, в котором они реализуются и необходимы для контроля с целью подтверждения соответствия требованиям, установленным при государственной регистрации. Рекомендуется хранить архивные образцы в месте нахождения Уполномоченного лица, выдавшего разрешение на выпуск продукции.</w:t>
            </w:r>
          </w:p>
          <w:p>
            <w:pPr>
              <w:spacing w:after="20"/>
              <w:ind w:left="20"/>
              <w:jc w:val="both"/>
            </w:pPr>
            <w:r>
              <w:rPr>
                <w:rFonts w:ascii="Times New Roman"/>
                <w:b w:val="false"/>
                <w:i w:val="false"/>
                <w:color w:val="000000"/>
                <w:sz w:val="20"/>
              </w:rPr>
              <w:t>
   8.2. В соответствии с пунктом 8.1 данного Приложения, если имеется действующее соглашение о взаимном признании и контрольные образцы хранятся у производителя в другой стране, отдельные архивные образцы хранятся у производителя.</w:t>
            </w:r>
          </w:p>
          <w:p>
            <w:pPr>
              <w:spacing w:after="20"/>
              <w:ind w:left="20"/>
              <w:jc w:val="both"/>
            </w:pPr>
            <w:r>
              <w:rPr>
                <w:rFonts w:ascii="Times New Roman"/>
                <w:b w:val="false"/>
                <w:i w:val="false"/>
                <w:color w:val="000000"/>
                <w:sz w:val="20"/>
              </w:rPr>
              <w:t>
   8.3. Архивные образцы находятся на предприятии, имеющем лицензию на производство лекарственных средств, обеспечивается их доступность для представителей уполномоченных органов.</w:t>
            </w:r>
          </w:p>
          <w:p>
            <w:pPr>
              <w:spacing w:after="20"/>
              <w:ind w:left="20"/>
              <w:jc w:val="both"/>
            </w:pPr>
            <w:r>
              <w:rPr>
                <w:rFonts w:ascii="Times New Roman"/>
                <w:b w:val="false"/>
                <w:i w:val="false"/>
                <w:color w:val="000000"/>
                <w:sz w:val="20"/>
              </w:rPr>
              <w:t>
   8.4. Если в последовательности "ввоз - процесс упаковки - контроль - выпуск серии" участвует более одной стороны, то ответственность за отбор и хранение архивных образцов определяется письменным соглашением или соглашениями между участвующими сторонами. </w:t>
            </w:r>
          </w:p>
          <w:p>
            <w:pPr>
              <w:spacing w:after="20"/>
              <w:ind w:left="20"/>
              <w:jc w:val="both"/>
            </w:pPr>
            <w:r>
              <w:rPr>
                <w:rFonts w:ascii="Times New Roman"/>
                <w:b w:val="false"/>
                <w:i w:val="false"/>
                <w:color w:val="000000"/>
                <w:sz w:val="20"/>
              </w:rPr>
              <w:t>
   </w:t>
            </w:r>
            <w:r>
              <w:rPr>
                <w:rFonts w:ascii="Times New Roman"/>
                <w:b/>
                <w:i w:val="false"/>
                <w:color w:val="000000"/>
                <w:sz w:val="20"/>
              </w:rPr>
              <w:t>9. Контрольные и архивные образцы продукции, параллельно импортируемой или параллельно поставляемой дистрибьютором</w:t>
            </w:r>
            <w:r>
              <w:rPr>
                <w:rFonts w:ascii="Times New Roman"/>
                <w:b w:val="false"/>
                <w:i w:val="false"/>
                <w:color w:val="000000"/>
                <w:sz w:val="20"/>
              </w:rPr>
              <w:t> </w:t>
            </w:r>
          </w:p>
          <w:p>
            <w:pPr>
              <w:spacing w:after="20"/>
              <w:ind w:left="20"/>
              <w:jc w:val="both"/>
            </w:pPr>
            <w:r>
              <w:rPr>
                <w:rFonts w:ascii="Times New Roman"/>
                <w:b w:val="false"/>
                <w:i w:val="false"/>
                <w:color w:val="000000"/>
                <w:sz w:val="20"/>
              </w:rPr>
              <w:t>
   9.1. Если вторичную упаковку лекарственного препарата не вскрывают, то следует хранить только используемый упаковочный материал, поскольку риск перепутывания продукции незначителен или отсутствует.</w:t>
            </w:r>
          </w:p>
          <w:p>
            <w:pPr>
              <w:spacing w:after="20"/>
              <w:ind w:left="20"/>
              <w:jc w:val="both"/>
            </w:pPr>
            <w:r>
              <w:rPr>
                <w:rFonts w:ascii="Times New Roman"/>
                <w:b w:val="false"/>
                <w:i w:val="false"/>
                <w:color w:val="000000"/>
                <w:sz w:val="20"/>
              </w:rPr>
              <w:t>
   9.2. Если вторичную упаковку вскрывают, например, для замены картонной пачки или инструкции по применению, то отбирается один архивный образец для каждой операции процесса упаковки, так как существует риск перепутывания продукции в процессе упаковки. Предусматривается порядок, позволяющий быстро определить виновного в перепутывании, так как от этого зависит объем отзываемой продукции.</w:t>
            </w:r>
          </w:p>
          <w:p>
            <w:pPr>
              <w:spacing w:after="20"/>
              <w:ind w:left="20"/>
              <w:jc w:val="both"/>
            </w:pPr>
            <w:r>
              <w:rPr>
                <w:rFonts w:ascii="Times New Roman"/>
                <w:b w:val="false"/>
                <w:i w:val="false"/>
                <w:color w:val="000000"/>
                <w:sz w:val="20"/>
              </w:rPr>
              <w:t>
   </w:t>
            </w:r>
            <w:r>
              <w:rPr>
                <w:rFonts w:ascii="Times New Roman"/>
                <w:b/>
                <w:i w:val="false"/>
                <w:color w:val="000000"/>
                <w:sz w:val="20"/>
              </w:rPr>
              <w:t>10. Контрольные и архивные образцы в случае ликвидации предприятия-производителя</w:t>
            </w:r>
          </w:p>
          <w:p>
            <w:pPr>
              <w:spacing w:after="20"/>
              <w:ind w:left="20"/>
              <w:jc w:val="both"/>
            </w:pPr>
            <w:r>
              <w:rPr>
                <w:rFonts w:ascii="Times New Roman"/>
                <w:b w:val="false"/>
                <w:i w:val="false"/>
                <w:color w:val="000000"/>
                <w:sz w:val="20"/>
              </w:rPr>
              <w:t xml:space="preserve">
   10.1. В случае, если в продаже осталось большое количество серий лекарственных препаратов с не истекшим сроком годности, произведенных предприятием-производителем, который ликвидирован, либо лицензия на производство которого отозвана или аннулирована, либо срок действия лицензии на производство которого истек, производитель составляет детальные соглашения по передаче контрольных и архивных образцов, а также соответствующей документации, касающейся настоящего Стандарта на уполномоченный участок по хранению. Производитель согласовывает с уполномоченным органом достаточность принятых мер по хранению и возможность передачи образцов для проведения оценки и анализа при необходимости. </w:t>
            </w:r>
          </w:p>
          <w:p>
            <w:pPr>
              <w:spacing w:after="20"/>
              <w:ind w:left="20"/>
              <w:jc w:val="both"/>
            </w:pPr>
            <w:r>
              <w:rPr>
                <w:rFonts w:ascii="Times New Roman"/>
                <w:b w:val="false"/>
                <w:i w:val="false"/>
                <w:color w:val="000000"/>
                <w:sz w:val="20"/>
              </w:rPr>
              <w:t>
   10.2. Если производитель не предпринял указанные меры, то выполнение необходимых действий передается другому производителю. Держатель регистрационного удостоверения несет ответственность за такую передачу функций и за представление всей необходимой информации уполномоченному органу. Кроме того, он согласовывает с уполномоченным органом страны, где находится серия с не истекшим сроком годности, достаточность мер по хранению контрольных и архивных образцов.  </w:t>
            </w:r>
          </w:p>
          <w:p>
            <w:pPr>
              <w:spacing w:after="20"/>
              <w:ind w:left="20"/>
              <w:jc w:val="both"/>
            </w:pPr>
            <w:r>
              <w:rPr>
                <w:rFonts w:ascii="Times New Roman"/>
                <w:b w:val="false"/>
                <w:i w:val="false"/>
                <w:color w:val="000000"/>
                <w:sz w:val="20"/>
              </w:rPr>
              <w:t>
   </w:t>
            </w:r>
            <w:r>
              <w:rPr>
                <w:rFonts w:ascii="Times New Roman"/>
                <w:b/>
                <w:i w:val="false"/>
                <w:color w:val="000000"/>
                <w:sz w:val="20"/>
              </w:rPr>
              <w:t>Термины и определения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Приведенные в данном разделе определения применяют к терминам, которые используются в настоящем Стандарте. Эти термины могут иметь другие значения вне контекста настоящего Стандарта. </w:t>
            </w:r>
          </w:p>
          <w:p>
            <w:pPr>
              <w:spacing w:after="20"/>
              <w:ind w:left="20"/>
              <w:jc w:val="both"/>
            </w:pPr>
            <w:r>
              <w:rPr>
                <w:rFonts w:ascii="Times New Roman"/>
                <w:b w:val="false"/>
                <w:i w:val="false"/>
                <w:color w:val="000000"/>
                <w:sz w:val="20"/>
              </w:rPr>
              <w:t>
   Баланс - соотношение между количеством продукции или материалов, произведенных или использованных теоретически и фактически, принимая во внимание обычную вариабельность.</w:t>
            </w:r>
          </w:p>
          <w:p>
            <w:pPr>
              <w:spacing w:after="20"/>
              <w:ind w:left="20"/>
              <w:jc w:val="both"/>
            </w:pPr>
            <w:r>
              <w:rPr>
                <w:rFonts w:ascii="Times New Roman"/>
                <w:b w:val="false"/>
                <w:i w:val="false"/>
                <w:color w:val="000000"/>
                <w:sz w:val="20"/>
              </w:rPr>
              <w:t>
   Баллон - контейнер, предназначенный для хранения газа под высоким давлением.</w:t>
            </w:r>
          </w:p>
          <w:p>
            <w:pPr>
              <w:spacing w:after="20"/>
              <w:ind w:left="20"/>
              <w:jc w:val="both"/>
            </w:pPr>
            <w:r>
              <w:rPr>
                <w:rFonts w:ascii="Times New Roman"/>
                <w:b w:val="false"/>
                <w:i w:val="false"/>
                <w:color w:val="000000"/>
                <w:sz w:val="20"/>
              </w:rPr>
              <w:t>
   Банк клеток - система, посредством которой производят последовательные серии продукции с использованием клеточных культур, принадлежащих одному и тому же главному банку клеток. Для приготовления рабочего банка клеток используется некоторое число контейнеров из главного банка клеток. Систему банка клеток валидируют в отношении количества пересевов или количества удвоений популяции, до достижения которых они могут использоваться в текущем производстве.</w:t>
            </w:r>
          </w:p>
          <w:p>
            <w:pPr>
              <w:spacing w:after="20"/>
              <w:ind w:left="20"/>
              <w:jc w:val="both"/>
            </w:pPr>
            <w:r>
              <w:rPr>
                <w:rFonts w:ascii="Times New Roman"/>
                <w:b w:val="false"/>
                <w:i w:val="false"/>
                <w:color w:val="000000"/>
                <w:sz w:val="20"/>
              </w:rPr>
              <w:t>
   Главный банк клеток - полностью охарактеризованная культура клеток, распределенная в контейнеры за одну операцию, обрабатываемая вместе таким образом, чтобы обеспечить ее однородность, и сохраняемая таким способом, чтобы обеспечить стабильность. Обычно главный банк клеток хранят при температуре минус 70</w:t>
            </w:r>
            <w:r>
              <w:rPr>
                <w:rFonts w:ascii="Times New Roman"/>
                <w:b w:val="false"/>
                <w:i w:val="false"/>
                <w:color w:val="000000"/>
                <w:vertAlign w:val="superscript"/>
              </w:rPr>
              <w:t>0</w:t>
            </w:r>
            <w:r>
              <w:rPr>
                <w:rFonts w:ascii="Times New Roman"/>
                <w:b w:val="false"/>
                <w:i w:val="false"/>
                <w:color w:val="000000"/>
                <w:sz w:val="20"/>
              </w:rPr>
              <w:t xml:space="preserve">С или ниже. </w:t>
            </w:r>
          </w:p>
          <w:p>
            <w:pPr>
              <w:spacing w:after="20"/>
              <w:ind w:left="20"/>
              <w:jc w:val="both"/>
            </w:pPr>
            <w:r>
              <w:rPr>
                <w:rFonts w:ascii="Times New Roman"/>
                <w:b w:val="false"/>
                <w:i w:val="false"/>
                <w:color w:val="000000"/>
                <w:sz w:val="20"/>
              </w:rPr>
              <w:t xml:space="preserve">
   Рабочий банк клеток - культура клеток, отобранная из главного банка клеток и предназначенная для подготовки клеточных культур, используемых в технологическом процессе. Обычно рабочий банк клеток хранится при температуре минус 70 </w:t>
            </w:r>
            <w:r>
              <w:rPr>
                <w:rFonts w:ascii="Times New Roman"/>
                <w:b w:val="false"/>
                <w:i w:val="false"/>
                <w:color w:val="000000"/>
                <w:vertAlign w:val="superscript"/>
              </w:rPr>
              <w:t>0</w:t>
            </w:r>
            <w:r>
              <w:rPr>
                <w:rFonts w:ascii="Times New Roman"/>
                <w:b w:val="false"/>
                <w:i w:val="false"/>
                <w:color w:val="000000"/>
                <w:sz w:val="20"/>
              </w:rPr>
              <w:t xml:space="preserve">С или ниже. </w:t>
            </w:r>
          </w:p>
          <w:p>
            <w:pPr>
              <w:spacing w:after="20"/>
              <w:ind w:left="20"/>
              <w:jc w:val="both"/>
            </w:pPr>
            <w:r>
              <w:rPr>
                <w:rFonts w:ascii="Times New Roman"/>
                <w:b w:val="false"/>
                <w:i w:val="false"/>
                <w:color w:val="000000"/>
                <w:sz w:val="20"/>
              </w:rPr>
              <w:t xml:space="preserve">
   Биологические агенты - микроорганизмы, включая полученные методами генной инженерии, клеточные культуры и эндопаразиты, как патогенные, так и непатогенные. </w:t>
            </w:r>
          </w:p>
          <w:p>
            <w:pPr>
              <w:spacing w:after="20"/>
              <w:ind w:left="20"/>
              <w:jc w:val="both"/>
            </w:pPr>
            <w:r>
              <w:rPr>
                <w:rFonts w:ascii="Times New Roman"/>
                <w:b w:val="false"/>
                <w:i w:val="false"/>
                <w:color w:val="000000"/>
                <w:sz w:val="20"/>
              </w:rPr>
              <w:t xml:space="preserve">
   Биореактор - закрытая система, такая как ферментатор, в которую вводят биологические агенты наряду с другим сырьем таким образом, что это приводит к их размножению или к продуцированию ими других веществ путем взаимодействия с другим сырьем. Биореакторы обычно снабжены регулирующими и контролирующими приборами, а также приспособлениями для соединения, добавления и удаления веществ. </w:t>
            </w:r>
          </w:p>
          <w:p>
            <w:pPr>
              <w:spacing w:after="20"/>
              <w:ind w:left="20"/>
              <w:jc w:val="both"/>
            </w:pPr>
            <w:r>
              <w:rPr>
                <w:rFonts w:ascii="Times New Roman"/>
                <w:b w:val="false"/>
                <w:i w:val="false"/>
                <w:color w:val="000000"/>
                <w:sz w:val="20"/>
              </w:rPr>
              <w:t>
   Валидация - действия, которые в соответствии с настоящим Стандартом доказывают, что определенная методика, процесс, оборудование, сырье, деятельность или система действительно приводят к ожидаемым результатам.</w:t>
            </w:r>
          </w:p>
          <w:p>
            <w:pPr>
              <w:spacing w:after="20"/>
              <w:ind w:left="20"/>
              <w:jc w:val="both"/>
            </w:pPr>
            <w:r>
              <w:rPr>
                <w:rFonts w:ascii="Times New Roman"/>
                <w:b w:val="false"/>
                <w:i w:val="false"/>
                <w:color w:val="000000"/>
                <w:sz w:val="20"/>
              </w:rPr>
              <w:t>
   Возврат - отправка назад производителю или дистрибьютору лекарственного препарата независимо от наличия дефекта.</w:t>
            </w:r>
          </w:p>
          <w:p>
            <w:pPr>
              <w:spacing w:after="20"/>
              <w:ind w:left="20"/>
              <w:jc w:val="both"/>
            </w:pPr>
            <w:r>
              <w:rPr>
                <w:rFonts w:ascii="Times New Roman"/>
                <w:b w:val="false"/>
                <w:i w:val="false"/>
                <w:color w:val="000000"/>
                <w:sz w:val="20"/>
              </w:rPr>
              <w:t>
   Воздушный шлюз - ограниченное пространство с двумя или несколькими дверями, расположенное между двумя или несколькими помещениями, например, разных классов чистоты, служащее для контроля потока воздуха между этими помещениями, когда в них необходимо войти. Воздушные шлюзы предназначаются и используются как для перехода персонала, так и для перемещения материалов.</w:t>
            </w:r>
          </w:p>
          <w:p>
            <w:pPr>
              <w:spacing w:after="20"/>
              <w:ind w:left="20"/>
              <w:jc w:val="both"/>
            </w:pPr>
            <w:r>
              <w:rPr>
                <w:rFonts w:ascii="Times New Roman"/>
                <w:b w:val="false"/>
                <w:i w:val="false"/>
                <w:color w:val="000000"/>
                <w:sz w:val="20"/>
              </w:rPr>
              <w:t>
   Вспомогательное вещество - вещество, за исключением активных фармацевтических субстанций, входящее в состав лекарственного препарата для придания ему необходимых свойств.</w:t>
            </w:r>
          </w:p>
          <w:p>
            <w:pPr>
              <w:spacing w:after="20"/>
              <w:ind w:left="20"/>
              <w:jc w:val="both"/>
            </w:pPr>
            <w:r>
              <w:rPr>
                <w:rFonts w:ascii="Times New Roman"/>
                <w:b w:val="false"/>
                <w:i w:val="false"/>
                <w:color w:val="000000"/>
                <w:sz w:val="20"/>
              </w:rPr>
              <w:t>
   Готовая продукция или готовый продукт - лекарственный препарат, который прошел все стадии технологического процесса, включая укладку в окончательную упаковку.</w:t>
            </w:r>
          </w:p>
          <w:p>
            <w:pPr>
              <w:spacing w:after="20"/>
              <w:ind w:left="20"/>
              <w:jc w:val="both"/>
            </w:pPr>
            <w:r>
              <w:rPr>
                <w:rFonts w:ascii="Times New Roman"/>
                <w:b w:val="false"/>
                <w:i w:val="false"/>
                <w:color w:val="000000"/>
                <w:sz w:val="20"/>
              </w:rPr>
              <w:t>
   Запись – описание приведено в главе 4 части I настоящего Стандарта.</w:t>
            </w:r>
          </w:p>
          <w:p>
            <w:pPr>
              <w:spacing w:after="20"/>
              <w:ind w:left="20"/>
              <w:jc w:val="both"/>
            </w:pPr>
            <w:r>
              <w:rPr>
                <w:rFonts w:ascii="Times New Roman"/>
                <w:b w:val="false"/>
                <w:i w:val="false"/>
                <w:color w:val="000000"/>
                <w:sz w:val="20"/>
              </w:rPr>
              <w:t xml:space="preserve">
   Изолированная зона - зона, построенная, эксплуатируемая и оборудованная соответствующими системами обработки и фильтрации воздуха таким образом, чтобы предотвратить контаминацию производственной среды биологическими агентами изнутри зоны. </w:t>
            </w:r>
          </w:p>
          <w:p>
            <w:pPr>
              <w:spacing w:after="20"/>
              <w:ind w:left="20"/>
              <w:jc w:val="both"/>
            </w:pPr>
            <w:r>
              <w:rPr>
                <w:rFonts w:ascii="Times New Roman"/>
                <w:b w:val="false"/>
                <w:i w:val="false"/>
                <w:color w:val="000000"/>
                <w:sz w:val="20"/>
              </w:rPr>
              <w:t>
   Изоляция - действия по ограничению распространения биологических агентов или других контаминантов за пределы определенного пространства.</w:t>
            </w:r>
          </w:p>
          <w:p>
            <w:pPr>
              <w:spacing w:after="20"/>
              <w:ind w:left="20"/>
              <w:jc w:val="both"/>
            </w:pPr>
            <w:r>
              <w:rPr>
                <w:rFonts w:ascii="Times New Roman"/>
                <w:b w:val="false"/>
                <w:i w:val="false"/>
                <w:color w:val="000000"/>
                <w:sz w:val="20"/>
              </w:rPr>
              <w:t xml:space="preserve">
   Первичная изоляция - система изоляции, которая предотвращает проникновение биологического агента в близлежащую производственную зону. Это достигается использованием закрытых контейнеров или боксов для безопасного ведения биологических работ наряду с процедурами безопасного ведения процесса. </w:t>
            </w:r>
          </w:p>
          <w:p>
            <w:pPr>
              <w:spacing w:after="20"/>
              <w:ind w:left="20"/>
              <w:jc w:val="both"/>
            </w:pPr>
            <w:r>
              <w:rPr>
                <w:rFonts w:ascii="Times New Roman"/>
                <w:b w:val="false"/>
                <w:i w:val="false"/>
                <w:color w:val="000000"/>
                <w:sz w:val="20"/>
              </w:rPr>
              <w:t xml:space="preserve">
   Вторичная изоляция - система изоляции, предотвращающая проникновение биологического агента во внешнюю окружающую среду или в другие рабочие зоны. Это достигается использованием помещений со специальными системами подготовки воздуха, наличием воздушных шлюзов и (или) стерилизаторов для передачи материалов наружу наряду с процедурами безопасного ведения процесса. Во многих случаях используется для повышения эффективности первичной изоляции. </w:t>
            </w:r>
          </w:p>
          <w:p>
            <w:pPr>
              <w:spacing w:after="20"/>
              <w:ind w:left="20"/>
              <w:jc w:val="both"/>
            </w:pPr>
            <w:r>
              <w:rPr>
                <w:rFonts w:ascii="Times New Roman"/>
                <w:b w:val="false"/>
                <w:i w:val="false"/>
                <w:color w:val="000000"/>
                <w:sz w:val="20"/>
              </w:rPr>
              <w:t xml:space="preserve">
   Инфицированный - зараженный посторонними биологическими агентами и, следовательно, способный к распространению инфекции. </w:t>
            </w:r>
          </w:p>
          <w:p>
            <w:pPr>
              <w:spacing w:after="20"/>
              <w:ind w:left="20"/>
              <w:jc w:val="both"/>
            </w:pPr>
            <w:r>
              <w:rPr>
                <w:rFonts w:ascii="Times New Roman"/>
                <w:b w:val="false"/>
                <w:i w:val="false"/>
                <w:color w:val="000000"/>
                <w:sz w:val="20"/>
              </w:rPr>
              <w:t xml:space="preserve">
   Исходные материалы - любое вещество, используемое при производстве лекарственного препарата, за исключением упаковочных материалов. </w:t>
            </w:r>
          </w:p>
          <w:p>
            <w:pPr>
              <w:spacing w:after="20"/>
              <w:ind w:left="20"/>
              <w:jc w:val="both"/>
            </w:pPr>
            <w:r>
              <w:rPr>
                <w:rFonts w:ascii="Times New Roman"/>
                <w:b w:val="false"/>
                <w:i w:val="false"/>
                <w:color w:val="000000"/>
                <w:sz w:val="20"/>
              </w:rPr>
              <w:t>
   Калибровка - ряд операций, проводимых при определенных условиях, посредством которых устанавливают соотношение между значениями, регистрируемыми контрольно-измерительными приборами либо системами, или измеренными значениями характеристик материалов и значениями соответствующих известных величин для стандартных образцов.</w:t>
            </w:r>
          </w:p>
          <w:p>
            <w:pPr>
              <w:spacing w:after="20"/>
              <w:ind w:left="20"/>
              <w:jc w:val="both"/>
            </w:pPr>
            <w:r>
              <w:rPr>
                <w:rFonts w:ascii="Times New Roman"/>
                <w:b w:val="false"/>
                <w:i w:val="false"/>
                <w:color w:val="000000"/>
                <w:sz w:val="20"/>
              </w:rPr>
              <w:t>
   Карантин - статус исходного сырья, упаковочных материалов, промежуточной, нерасфасованной или готовой продукции, изолированных физически или другими эффективными способами, до вынесения решения об их выпуске или отклонении.</w:t>
            </w:r>
          </w:p>
          <w:p>
            <w:pPr>
              <w:spacing w:after="20"/>
              <w:ind w:left="20"/>
              <w:jc w:val="both"/>
            </w:pPr>
            <w:r>
              <w:rPr>
                <w:rFonts w:ascii="Times New Roman"/>
                <w:b w:val="false"/>
                <w:i w:val="false"/>
                <w:color w:val="000000"/>
                <w:sz w:val="20"/>
              </w:rPr>
              <w:t>
   Квалификация - действия, удостоверяющие, что конкретное оборудование работает правильно и действительно ведет к ожидаемым результатам. Понятие "валидация" является более широким и иногда включает в себя понятие "квалификация".</w:t>
            </w:r>
          </w:p>
          <w:p>
            <w:pPr>
              <w:spacing w:after="20"/>
              <w:ind w:left="20"/>
              <w:jc w:val="both"/>
            </w:pPr>
            <w:r>
              <w:rPr>
                <w:rFonts w:ascii="Times New Roman"/>
                <w:b w:val="false"/>
                <w:i w:val="false"/>
                <w:color w:val="000000"/>
                <w:sz w:val="20"/>
              </w:rPr>
              <w:t>
   Клеточная культура - клеточная масса, полученная в результате выращивания in vitro клеток, изолированных от многоклеточных организмов.</w:t>
            </w:r>
          </w:p>
          <w:p>
            <w:pPr>
              <w:spacing w:after="20"/>
              <w:ind w:left="20"/>
              <w:jc w:val="both"/>
            </w:pPr>
            <w:r>
              <w:rPr>
                <w:rFonts w:ascii="Times New Roman"/>
                <w:b w:val="false"/>
                <w:i w:val="false"/>
                <w:color w:val="000000"/>
                <w:sz w:val="20"/>
              </w:rPr>
              <w:t>
   Коллектор - устройство или оборудование, позволяющее одновременно наполнять газом несколько баллонов или контейнеров из одного источника.</w:t>
            </w:r>
          </w:p>
          <w:p>
            <w:pPr>
              <w:spacing w:after="20"/>
              <w:ind w:left="20"/>
              <w:jc w:val="both"/>
            </w:pPr>
            <w:r>
              <w:rPr>
                <w:rFonts w:ascii="Times New Roman"/>
                <w:b w:val="false"/>
                <w:i w:val="false"/>
                <w:color w:val="000000"/>
                <w:sz w:val="20"/>
              </w:rPr>
              <w:t>
   Компьютеризированная система - система, включающая ввод данных, их электронную обработку и выдачу информации, используемая либо для документального оформления, либо для автоматического управления.</w:t>
            </w:r>
          </w:p>
          <w:p>
            <w:pPr>
              <w:spacing w:after="20"/>
              <w:ind w:left="20"/>
              <w:jc w:val="both"/>
            </w:pPr>
            <w:r>
              <w:rPr>
                <w:rFonts w:ascii="Times New Roman"/>
                <w:b w:val="false"/>
                <w:i w:val="false"/>
                <w:color w:val="000000"/>
                <w:sz w:val="20"/>
              </w:rPr>
              <w:t xml:space="preserve">
   Контролируемая зона - зона, построенная и эксплуатируемая таким образом, чтобы контролировать возможную контаминацию и случайное распространение живых организмов. Для этого может использоваться система воздухоподготовки, приблизительно соответствующая классу D. Степень осуществляемого контроля зависит от природы организма, используемого в процессе. Как минимум, контролируемая зона эксплуатируется при отрицательном давлении по отношению к смежным помещениям, что позволяет эффективно устранять незначительные количества находящихся в воздухе источников контаминации. </w:t>
            </w:r>
          </w:p>
          <w:p>
            <w:pPr>
              <w:spacing w:after="20"/>
              <w:ind w:left="20"/>
              <w:jc w:val="both"/>
            </w:pPr>
            <w:r>
              <w:rPr>
                <w:rFonts w:ascii="Times New Roman"/>
                <w:b w:val="false"/>
                <w:i w:val="false"/>
                <w:color w:val="000000"/>
                <w:sz w:val="20"/>
              </w:rPr>
              <w:t xml:space="preserve">
   Контроль в процессе производства - проверки, осуществляемые во время технологического процесса в целях его контроля и при необходимости регулирования для обеспечения соответствия продукции спецификациям. Контроль производственной среды или оборудования также может рассматриваться как часть контроля в процессе производства. </w:t>
            </w:r>
          </w:p>
          <w:p>
            <w:pPr>
              <w:spacing w:after="20"/>
              <w:ind w:left="20"/>
              <w:jc w:val="both"/>
            </w:pPr>
            <w:r>
              <w:rPr>
                <w:rFonts w:ascii="Times New Roman"/>
                <w:b w:val="false"/>
                <w:i w:val="false"/>
                <w:color w:val="000000"/>
                <w:sz w:val="20"/>
              </w:rPr>
              <w:t>
   Контроль качества - описано в пункте 1.4 главы 1 части I настоящего Стандарта.</w:t>
            </w:r>
          </w:p>
          <w:p>
            <w:pPr>
              <w:spacing w:after="20"/>
              <w:ind w:left="20"/>
              <w:jc w:val="both"/>
            </w:pPr>
            <w:r>
              <w:rPr>
                <w:rFonts w:ascii="Times New Roman"/>
                <w:b w:val="false"/>
                <w:i w:val="false"/>
                <w:color w:val="000000"/>
                <w:sz w:val="20"/>
              </w:rPr>
              <w:t xml:space="preserve">
   Криогенный сосуд - контейнер, предназначенный для хранения сжиженного газа при сверхнизких температурах. </w:t>
            </w:r>
          </w:p>
          <w:p>
            <w:pPr>
              <w:spacing w:after="20"/>
              <w:ind w:left="20"/>
              <w:jc w:val="both"/>
            </w:pPr>
            <w:r>
              <w:rPr>
                <w:rFonts w:ascii="Times New Roman"/>
                <w:b w:val="false"/>
                <w:i w:val="false"/>
                <w:color w:val="000000"/>
                <w:sz w:val="20"/>
              </w:rPr>
              <w:t>
   Лекарственное растительное сырье - свежие или высушенные растения, грибы или лишайники либо их части, цельные или измельченные, используемые для производства лекарственных средств.</w:t>
            </w:r>
          </w:p>
          <w:p>
            <w:pPr>
              <w:spacing w:after="20"/>
              <w:ind w:left="20"/>
              <w:jc w:val="both"/>
            </w:pPr>
            <w:r>
              <w:rPr>
                <w:rFonts w:ascii="Times New Roman"/>
                <w:b w:val="false"/>
                <w:i w:val="false"/>
                <w:color w:val="000000"/>
                <w:sz w:val="20"/>
              </w:rPr>
              <w:t>
   Лекарственное средство - средство, представляющее собой или содержащее вещество или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состояний человека.</w:t>
            </w:r>
          </w:p>
          <w:p>
            <w:pPr>
              <w:spacing w:after="20"/>
              <w:ind w:left="20"/>
              <w:jc w:val="both"/>
            </w:pPr>
            <w:r>
              <w:rPr>
                <w:rFonts w:ascii="Times New Roman"/>
                <w:b w:val="false"/>
                <w:i w:val="false"/>
                <w:color w:val="000000"/>
                <w:sz w:val="20"/>
              </w:rPr>
              <w:t>
   Лекарственный растительный препарат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p>
            <w:pPr>
              <w:spacing w:after="20"/>
              <w:ind w:left="20"/>
              <w:jc w:val="both"/>
            </w:pPr>
            <w:r>
              <w:rPr>
                <w:rFonts w:ascii="Times New Roman"/>
                <w:b w:val="false"/>
                <w:i w:val="false"/>
                <w:color w:val="000000"/>
                <w:sz w:val="20"/>
              </w:rPr>
              <w:t>
   Мониторинг производственной среды – наблюдение за состоянием объектов производственной среды: помещений, оборудования, воздуха рабочей зоны, технологической среды, персонала для определения и (или) предсказания момента перехода в предельное состояние на основе сравнения измеренных параметров с заданными значениями.</w:t>
            </w:r>
          </w:p>
          <w:p>
            <w:pPr>
              <w:spacing w:after="20"/>
              <w:ind w:left="20"/>
              <w:jc w:val="both"/>
            </w:pPr>
            <w:r>
              <w:rPr>
                <w:rFonts w:ascii="Times New Roman"/>
                <w:b w:val="false"/>
                <w:i w:val="false"/>
                <w:color w:val="000000"/>
                <w:sz w:val="20"/>
              </w:rPr>
              <w:t>
   Нерасфасованная продукция - любая продукция, прошедшая все стадии технологического процесса за исключением окончательной упаковки.</w:t>
            </w:r>
          </w:p>
          <w:p>
            <w:pPr>
              <w:spacing w:after="20"/>
              <w:ind w:left="20"/>
              <w:jc w:val="both"/>
            </w:pPr>
            <w:r>
              <w:rPr>
                <w:rFonts w:ascii="Times New Roman"/>
                <w:b w:val="false"/>
                <w:i w:val="false"/>
                <w:color w:val="000000"/>
                <w:sz w:val="20"/>
              </w:rPr>
              <w:t>
   Номер серии; номер партии - отличительная комбинация цифр, букв и (или) символов, которая идентифицирует серию или партию и на основании которых прослеживается история ее производства и реализации.</w:t>
            </w:r>
          </w:p>
          <w:p>
            <w:pPr>
              <w:spacing w:after="20"/>
              <w:ind w:left="20"/>
              <w:jc w:val="both"/>
            </w:pPr>
            <w:r>
              <w:rPr>
                <w:rFonts w:ascii="Times New Roman"/>
                <w:b w:val="false"/>
                <w:i w:val="false"/>
                <w:color w:val="000000"/>
                <w:sz w:val="20"/>
              </w:rPr>
              <w:t xml:space="preserve">
   Перекрестная контаминация - загрязнение исходного сырья или продукции другим исходным сырьем или другой продукцией. </w:t>
            </w:r>
          </w:p>
          <w:p>
            <w:pPr>
              <w:spacing w:after="20"/>
              <w:ind w:left="20"/>
              <w:jc w:val="both"/>
            </w:pPr>
            <w:r>
              <w:rPr>
                <w:rFonts w:ascii="Times New Roman"/>
                <w:b w:val="false"/>
                <w:i w:val="false"/>
                <w:color w:val="000000"/>
                <w:sz w:val="20"/>
              </w:rPr>
              <w:t>
   Переработка - переработка всей или части серии продукции неприемлемого качества на определенной стадии технологического процесса так, чтобы ее качество могло стать приемлемым, посредством одной или нескольких дополнительных операций.</w:t>
            </w:r>
          </w:p>
          <w:p>
            <w:pPr>
              <w:spacing w:after="20"/>
              <w:ind w:left="20"/>
              <w:jc w:val="both"/>
            </w:pPr>
            <w:r>
              <w:rPr>
                <w:rFonts w:ascii="Times New Roman"/>
                <w:b w:val="false"/>
                <w:i w:val="false"/>
                <w:color w:val="000000"/>
                <w:sz w:val="20"/>
              </w:rPr>
              <w:t>
   Повторное использование - введение произведенной ранее серии продукции требуемого качества или ее части в другую серию продукции на определенной стадии производства.</w:t>
            </w:r>
          </w:p>
          <w:p>
            <w:pPr>
              <w:spacing w:after="20"/>
              <w:ind w:left="20"/>
              <w:jc w:val="both"/>
            </w:pPr>
            <w:r>
              <w:rPr>
                <w:rFonts w:ascii="Times New Roman"/>
                <w:b w:val="false"/>
                <w:i w:val="false"/>
                <w:color w:val="000000"/>
                <w:sz w:val="20"/>
              </w:rPr>
              <w:t xml:space="preserve">
   Система посевной культуры - система, в соответствии с которой последовательные серии продукции производят из одной и той же главной посевной культуры при определенном количестве пересевов или пассажей. Для обычного производства рабочую посевную культуру готовят из главной посевной культуры. Исходя из требований безопасности и эффективности, при производстве готовой продукции, которую получают из рабочей посевной культуры, не используется большее количество пассажей из главной посевной культуры, чем для вакцины, прошедшей клинические исследования. Происхождение и количество пассажей главной посевной культуры и рабочей посевной культуры оформляются документально. </w:t>
            </w:r>
          </w:p>
          <w:p>
            <w:pPr>
              <w:spacing w:after="20"/>
              <w:ind w:left="20"/>
              <w:jc w:val="both"/>
            </w:pPr>
            <w:r>
              <w:rPr>
                <w:rFonts w:ascii="Times New Roman"/>
                <w:b w:val="false"/>
                <w:i w:val="false"/>
                <w:color w:val="000000"/>
                <w:sz w:val="20"/>
              </w:rPr>
              <w:t xml:space="preserve">
   Главная посевная культура - культура микроорганизмов, распределенная из одного объема посевной культуры в емкости в процессе одной операции таким образом, чтобы обеспечить однородность, предотвратить контаминацию и гарантировать стабильность. Главную посевную культуру в жидком виде обычно хранят при температуре минус 70ҮC или ниже, в лиофилизированном виде - при известной температуре, обеспечивающей стабильность. </w:t>
            </w:r>
          </w:p>
          <w:p>
            <w:pPr>
              <w:spacing w:after="20"/>
              <w:ind w:left="20"/>
              <w:jc w:val="both"/>
            </w:pPr>
            <w:r>
              <w:rPr>
                <w:rFonts w:ascii="Times New Roman"/>
                <w:b w:val="false"/>
                <w:i w:val="false"/>
                <w:color w:val="000000"/>
                <w:sz w:val="20"/>
              </w:rPr>
              <w:t>
   Рабочая посевная культура - культура микроорганизмов, полученная из главной посевной культуры и предназначенная для использования в производстве. Рабочую посевную культуру распределяют в емкости и хранят, как описано выше для главных посевных культур.</w:t>
            </w:r>
          </w:p>
          <w:p>
            <w:pPr>
              <w:spacing w:after="20"/>
              <w:ind w:left="20"/>
              <w:jc w:val="both"/>
            </w:pPr>
            <w:r>
              <w:rPr>
                <w:rFonts w:ascii="Times New Roman"/>
                <w:b w:val="false"/>
                <w:i w:val="false"/>
                <w:color w:val="000000"/>
                <w:sz w:val="20"/>
              </w:rPr>
              <w:t>
   Производитель - организация, осуществляющая деятельность по производству лекарственных средств.</w:t>
            </w:r>
          </w:p>
          <w:p>
            <w:pPr>
              <w:spacing w:after="20"/>
              <w:ind w:left="20"/>
              <w:jc w:val="both"/>
            </w:pPr>
            <w:r>
              <w:rPr>
                <w:rFonts w:ascii="Times New Roman"/>
                <w:b w:val="false"/>
                <w:i w:val="false"/>
                <w:color w:val="000000"/>
                <w:sz w:val="20"/>
              </w:rPr>
              <w:t>
   Производство - все операции по закупке исходного сырья, материалов и продукции, технологическому процессу, контролю качества, выдаче разрешения на выпуск, хранению, реализации лекарственных средств и по соответствующему контролю.</w:t>
            </w:r>
          </w:p>
          <w:p>
            <w:pPr>
              <w:spacing w:after="20"/>
              <w:ind w:left="20"/>
              <w:jc w:val="both"/>
            </w:pPr>
            <w:r>
              <w:rPr>
                <w:rFonts w:ascii="Times New Roman"/>
                <w:b w:val="false"/>
                <w:i w:val="false"/>
                <w:color w:val="000000"/>
                <w:sz w:val="20"/>
              </w:rPr>
              <w:t xml:space="preserve">
   Производственная площадка - территориально обособленный комплекс производителя лекарственных средств, предназначенный для выполнения всего процесса производства лекарственных средств или его определенной стадии. </w:t>
            </w:r>
          </w:p>
          <w:p>
            <w:pPr>
              <w:spacing w:after="20"/>
              <w:ind w:left="20"/>
              <w:jc w:val="both"/>
            </w:pPr>
            <w:r>
              <w:rPr>
                <w:rFonts w:ascii="Times New Roman"/>
                <w:b w:val="false"/>
                <w:i w:val="false"/>
                <w:color w:val="000000"/>
                <w:sz w:val="20"/>
              </w:rPr>
              <w:t>
   Промежуточная продукция - частично обработанное исходное сырье, которое должно пройти последующие стадии производства прежде, чем оно станет нерасфасованной продукцией.</w:t>
            </w:r>
          </w:p>
          <w:p>
            <w:pPr>
              <w:spacing w:after="20"/>
              <w:ind w:left="20"/>
              <w:jc w:val="both"/>
            </w:pPr>
            <w:r>
              <w:rPr>
                <w:rFonts w:ascii="Times New Roman"/>
                <w:b w:val="false"/>
                <w:i w:val="false"/>
                <w:color w:val="000000"/>
                <w:sz w:val="20"/>
              </w:rPr>
              <w:t>
   Процедура - описание обязательных для выполнения операций и мер предосторожности, а также всех необходимых мероприятий, осуществление которых прямо или косвенно связано с производством лекарственного средства.</w:t>
            </w:r>
          </w:p>
          <w:p>
            <w:pPr>
              <w:spacing w:after="20"/>
              <w:ind w:left="20"/>
              <w:jc w:val="both"/>
            </w:pPr>
            <w:r>
              <w:rPr>
                <w:rFonts w:ascii="Times New Roman"/>
                <w:b w:val="false"/>
                <w:i w:val="false"/>
                <w:color w:val="000000"/>
                <w:sz w:val="20"/>
              </w:rPr>
              <w:t>
   Радиофармацевтическое лекарственное средство - любое лекарственное средство, которое в готовом для применения виде содержит один или несколько радионуклидов или радиоактивных изотопов, введенных в него в медицинских целях.</w:t>
            </w:r>
          </w:p>
          <w:p>
            <w:pPr>
              <w:spacing w:after="20"/>
              <w:ind w:left="20"/>
              <w:jc w:val="both"/>
            </w:pPr>
            <w:r>
              <w:rPr>
                <w:rFonts w:ascii="Times New Roman"/>
                <w:b w:val="false"/>
                <w:i w:val="false"/>
                <w:color w:val="000000"/>
                <w:sz w:val="20"/>
              </w:rPr>
              <w:t xml:space="preserve">
   Серия, партия - определенное количество исходного сырья, упаковочных материалов или продукции, подвергаемое обработке в одном или в ряде последовательных технологических процессов таким образом, чтобы рассчитывать на однородность продукции или обеспечивать ее. </w:t>
            </w:r>
          </w:p>
          <w:p>
            <w:pPr>
              <w:spacing w:after="20"/>
              <w:ind w:left="20"/>
              <w:jc w:val="both"/>
            </w:pPr>
            <w:r>
              <w:rPr>
                <w:rFonts w:ascii="Times New Roman"/>
                <w:b w:val="false"/>
                <w:i w:val="false"/>
                <w:color w:val="000000"/>
                <w:sz w:val="20"/>
              </w:rPr>
              <w:t xml:space="preserve">
   Применимо также следующее определение серии в отношении контроля готовой продукции: При контроле готовой продукции считается, что к серии лекарственного препарата относятся все единицы данной лекарственной формы, которые произведены из одного исходного количества материала и прошли одну и ту же серию производственных операций или операцию по стерилизации, или при непрерывном технологическом процессе все единицы, произведенные в данный период времени. </w:t>
            </w:r>
          </w:p>
          <w:p>
            <w:pPr>
              <w:spacing w:after="20"/>
              <w:ind w:left="20"/>
              <w:jc w:val="both"/>
            </w:pPr>
            <w:r>
              <w:rPr>
                <w:rFonts w:ascii="Times New Roman"/>
                <w:b w:val="false"/>
                <w:i w:val="false"/>
                <w:color w:val="000000"/>
                <w:sz w:val="20"/>
              </w:rPr>
              <w:t>
   Сжиженные газы - газы, которые при стандартных температуре и давлении наполнения находятся в баллоне в сжиженном виде.</w:t>
            </w:r>
          </w:p>
          <w:p>
            <w:pPr>
              <w:spacing w:after="20"/>
              <w:ind w:left="20"/>
              <w:jc w:val="both"/>
            </w:pPr>
            <w:r>
              <w:rPr>
                <w:rFonts w:ascii="Times New Roman"/>
                <w:b w:val="false"/>
                <w:i w:val="false"/>
                <w:color w:val="000000"/>
                <w:sz w:val="20"/>
              </w:rPr>
              <w:t xml:space="preserve">
   Система - регулируемая модель взаимосвязанных действий и технических средств, объединенных для создания организованного целого. </w:t>
            </w:r>
          </w:p>
          <w:p>
            <w:pPr>
              <w:spacing w:after="20"/>
              <w:ind w:left="20"/>
              <w:jc w:val="both"/>
            </w:pPr>
            <w:r>
              <w:rPr>
                <w:rFonts w:ascii="Times New Roman"/>
                <w:b w:val="false"/>
                <w:i w:val="false"/>
                <w:color w:val="000000"/>
                <w:sz w:val="20"/>
              </w:rPr>
              <w:t>
   Спецификация – описано в главе 4 части I настоящего Стандарта.</w:t>
            </w:r>
          </w:p>
          <w:p>
            <w:pPr>
              <w:spacing w:after="20"/>
              <w:ind w:left="20"/>
              <w:jc w:val="both"/>
            </w:pPr>
            <w:r>
              <w:rPr>
                <w:rFonts w:ascii="Times New Roman"/>
                <w:b w:val="false"/>
                <w:i w:val="false"/>
                <w:color w:val="000000"/>
                <w:sz w:val="20"/>
              </w:rPr>
              <w:t>
   Стерильность - отсутствие живых организмов. Требования к проведению контроля стерильности приведены в соответствующей Фармакопее.</w:t>
            </w:r>
          </w:p>
          <w:p>
            <w:pPr>
              <w:spacing w:after="20"/>
              <w:ind w:left="20"/>
              <w:jc w:val="both"/>
            </w:pPr>
            <w:r>
              <w:rPr>
                <w:rFonts w:ascii="Times New Roman"/>
                <w:b w:val="false"/>
                <w:i w:val="false"/>
                <w:color w:val="000000"/>
                <w:sz w:val="20"/>
              </w:rPr>
              <w:t>
   Тара – элемент упаковки, предназначенный для размещения продукции.</w:t>
            </w:r>
          </w:p>
          <w:p>
            <w:pPr>
              <w:spacing w:after="20"/>
              <w:ind w:left="20"/>
              <w:jc w:val="both"/>
            </w:pPr>
            <w:r>
              <w:rPr>
                <w:rFonts w:ascii="Times New Roman"/>
                <w:b w:val="false"/>
                <w:i w:val="false"/>
                <w:color w:val="000000"/>
                <w:sz w:val="20"/>
              </w:rPr>
              <w:t>
   Технологический процесс - все операции, связанные с производством лекарственного средства, начинающиеся с приемки исходного сырья, продолжающиеся обработкой и упаковкой и завершающиеся получением готовой продукции.</w:t>
            </w:r>
          </w:p>
          <w:p>
            <w:pPr>
              <w:spacing w:after="20"/>
              <w:ind w:left="20"/>
              <w:jc w:val="both"/>
            </w:pPr>
            <w:r>
              <w:rPr>
                <w:rFonts w:ascii="Times New Roman"/>
                <w:b w:val="false"/>
                <w:i w:val="false"/>
                <w:color w:val="000000"/>
                <w:sz w:val="20"/>
              </w:rPr>
              <w:t xml:space="preserve">
   Упаковка - все операции, включая фасовку и маркировку, которые необходимо пройти нерасфасованной продукции, чтобы стать готовой продукцией. </w:t>
            </w:r>
          </w:p>
          <w:p>
            <w:pPr>
              <w:spacing w:after="20"/>
              <w:ind w:left="20"/>
              <w:jc w:val="both"/>
            </w:pPr>
            <w:r>
              <w:rPr>
                <w:rFonts w:ascii="Times New Roman"/>
                <w:b w:val="false"/>
                <w:i w:val="false"/>
                <w:color w:val="000000"/>
                <w:sz w:val="20"/>
              </w:rPr>
              <w:t xml:space="preserve">
   Наполнение стерильной продукции не следует рассматривать как часть процесса упаковки, поскольку в первичные упаковки продукция дозируется, но окончательно не упаковывается. </w:t>
            </w:r>
          </w:p>
          <w:p>
            <w:pPr>
              <w:spacing w:after="20"/>
              <w:ind w:left="20"/>
              <w:jc w:val="both"/>
            </w:pPr>
            <w:r>
              <w:rPr>
                <w:rFonts w:ascii="Times New Roman"/>
                <w:b w:val="false"/>
                <w:i w:val="false"/>
                <w:color w:val="000000"/>
                <w:sz w:val="20"/>
              </w:rPr>
              <w:t>
   Упаковочный материал - любой материал, используемый при упаковке лекарственного средства, кроме любой транспортной тары для транспортирования или отгрузки. Упаковочные материалы относятся к первичным или вторичным в зависимости от того, предназначены они для непосредственного контакта с лекарственным средством или нет.</w:t>
            </w:r>
          </w:p>
          <w:p>
            <w:pPr>
              <w:spacing w:after="20"/>
              <w:ind w:left="20"/>
              <w:jc w:val="both"/>
            </w:pPr>
            <w:r>
              <w:rPr>
                <w:rFonts w:ascii="Times New Roman"/>
                <w:b w:val="false"/>
                <w:i w:val="false"/>
                <w:color w:val="000000"/>
                <w:sz w:val="20"/>
              </w:rPr>
              <w:t xml:space="preserve">
   Чистая зона - зона, в которой контролируется производственная среда на наличие контаминирующих частиц и микроорганизмов, построенная и эксплуатируемая таким образом, чтобы уменьшить проникновение, образование и сохранение контаминантов внутри зоны. </w:t>
            </w:r>
          </w:p>
          <w:p>
            <w:pPr>
              <w:spacing w:after="20"/>
              <w:ind w:left="20"/>
              <w:jc w:val="both"/>
            </w:pPr>
            <w:r>
              <w:rPr>
                <w:rFonts w:ascii="Times New Roman"/>
                <w:b w:val="false"/>
                <w:i w:val="false"/>
                <w:color w:val="000000"/>
                <w:sz w:val="20"/>
              </w:rPr>
              <w:t>
   Различные уровни контроля производственной среды приведены в Приложении 1 к настоящему Стандарту.</w:t>
            </w:r>
          </w:p>
          <w:p>
            <w:pPr>
              <w:spacing w:after="20"/>
              <w:ind w:left="20"/>
              <w:jc w:val="both"/>
            </w:pPr>
            <w:r>
              <w:rPr>
                <w:rFonts w:ascii="Times New Roman"/>
                <w:b w:val="false"/>
                <w:i w:val="false"/>
                <w:color w:val="000000"/>
                <w:sz w:val="20"/>
              </w:rPr>
              <w:t>
   Чистая или изолированная зона - зона, построенная и эксплуатируемая таким образом, что она одновременно является чистой и изолированной зоной.</w:t>
            </w:r>
          </w:p>
          <w:p>
            <w:pPr>
              <w:spacing w:after="20"/>
              <w:ind w:left="20"/>
              <w:jc w:val="both"/>
            </w:pPr>
            <w:r>
              <w:rPr>
                <w:rFonts w:ascii="Times New Roman"/>
                <w:b w:val="false"/>
                <w:i w:val="false"/>
                <w:color w:val="000000"/>
                <w:sz w:val="20"/>
              </w:rPr>
              <w:t>
   Экзотический организм - биологический агент, вызывающий заболевание, отсутствующее в данной стране или географической зоне, либо являющийся объектом профилактических мер или программы по его устранению в данной стране или географической зоне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социальной защиты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392</w:t>
            </w:r>
          </w:p>
        </w:tc>
      </w:tr>
    </w:tbl>
    <w:bookmarkStart w:name="z60" w:id="28"/>
    <w:p>
      <w:pPr>
        <w:spacing w:after="0"/>
        <w:ind w:left="0"/>
        <w:jc w:val="left"/>
      </w:pPr>
      <w:r>
        <w:rPr>
          <w:rFonts w:ascii="Times New Roman"/>
          <w:b/>
          <w:i w:val="false"/>
          <w:color w:val="000000"/>
        </w:rPr>
        <w:t xml:space="preserve"> Стандарт надлежащей дистрибьюторской практики (GDP)</w:t>
      </w:r>
    </w:p>
    <w:bookmarkEnd w:id="28"/>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РК от 08.05.2019 </w:t>
      </w:r>
      <w:r>
        <w:rPr>
          <w:rFonts w:ascii="Times New Roman"/>
          <w:b w:val="false"/>
          <w:i w:val="false"/>
          <w:color w:val="ff0000"/>
          <w:sz w:val="28"/>
        </w:rPr>
        <w:t>№ ҚР ДСМ-71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1773"/>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Общие положения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9"/>
          <w:p>
            <w:pPr>
              <w:spacing w:after="20"/>
              <w:ind w:left="20"/>
              <w:jc w:val="both"/>
            </w:pPr>
            <w:r>
              <w:rPr>
                <w:rFonts w:ascii="Times New Roman"/>
                <w:b w:val="false"/>
                <w:i w:val="false"/>
                <w:color w:val="000000"/>
                <w:sz w:val="20"/>
              </w:rPr>
              <w:t>
1. Настоящий Стандарт надлежащей дистрибьюторской практики (GDP) (далее – Стандарт) является частью системы обеспечения качества и устанавливает правила в отношении дистрибьюции лекарственных средств.</w:t>
            </w:r>
            <w:r>
              <w:br/>
            </w:r>
            <w:r>
              <w:rPr>
                <w:rFonts w:ascii="Times New Roman"/>
                <w:b w:val="false"/>
                <w:i w:val="false"/>
                <w:color w:val="000000"/>
                <w:sz w:val="20"/>
              </w:rPr>
              <w:t>
</w:t>
            </w:r>
            <w:r>
              <w:rPr>
                <w:rFonts w:ascii="Times New Roman"/>
                <w:b w:val="false"/>
                <w:i w:val="false"/>
                <w:color w:val="000000"/>
                <w:sz w:val="20"/>
              </w:rPr>
              <w:t>2. Требования настоящего Стандарта применяются в отношении всех лиц, участвующих в дистрибьюции лекарственных средств в соответствии с выполняемыми ими функциями, включая дистрибьюторов и производителей лекарственных средств, осуществляющих дистрибьюцию, независимо от ведомственной принадлежности и формы собственности.</w:t>
            </w:r>
            <w:r>
              <w:br/>
            </w:r>
            <w:r>
              <w:rPr>
                <w:rFonts w:ascii="Times New Roman"/>
                <w:b w:val="false"/>
                <w:i w:val="false"/>
                <w:color w:val="000000"/>
                <w:sz w:val="20"/>
              </w:rPr>
              <w:t>
</w:t>
            </w:r>
            <w:r>
              <w:rPr>
                <w:rFonts w:ascii="Times New Roman"/>
                <w:b w:val="false"/>
                <w:i w:val="false"/>
                <w:color w:val="000000"/>
                <w:sz w:val="20"/>
              </w:rPr>
              <w:t>Целью надлежащей дистрибьюторской практики является соблюдение надлежащих условий хранения, транспортировки и распространения, необходимых для обеспечения качества, безопасности и эффективности лекарственных средств по всей цепи поставки, а также предотвращения риска проникновения фальсифицированных лекарственных средств в цепь поставки.</w:t>
            </w:r>
            <w:r>
              <w:br/>
            </w:r>
            <w:r>
              <w:rPr>
                <w:rFonts w:ascii="Times New Roman"/>
                <w:b w:val="false"/>
                <w:i w:val="false"/>
                <w:color w:val="000000"/>
                <w:sz w:val="20"/>
              </w:rPr>
              <w:t>
3. Соблюдение требований настоящего Стандарта обеспечит контроль цепи поставки и позволит сохранить качество и целостность лекарственных средств.</w:t>
            </w:r>
          </w:p>
          <w:bookmarkEnd w:id="2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Определения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0"/>
          <w:p>
            <w:pPr>
              <w:spacing w:after="20"/>
              <w:ind w:left="20"/>
              <w:jc w:val="both"/>
            </w:pPr>
            <w:r>
              <w:rPr>
                <w:rFonts w:ascii="Times New Roman"/>
                <w:b w:val="false"/>
                <w:i w:val="false"/>
                <w:color w:val="000000"/>
                <w:sz w:val="20"/>
              </w:rPr>
              <w:t>
4. Для целей настоящего Стандарта используются понятия, которые означают следующее:</w:t>
            </w:r>
            <w:r>
              <w:br/>
            </w:r>
            <w:r>
              <w:rPr>
                <w:rFonts w:ascii="Times New Roman"/>
                <w:b w:val="false"/>
                <w:i w:val="false"/>
                <w:color w:val="000000"/>
                <w:sz w:val="20"/>
              </w:rPr>
              <w:t>
</w:t>
            </w:r>
            <w:r>
              <w:rPr>
                <w:rFonts w:ascii="Times New Roman"/>
                <w:b w:val="false"/>
                <w:i w:val="false"/>
                <w:color w:val="000000"/>
                <w:sz w:val="20"/>
              </w:rPr>
              <w:t>"валидация" – документально оформленные действия, доказывающие, что процедура, процесс, оборудование, материал, операция или система соответствуют заданным требованиям и их использование будет постоянно приводить к результатам, соответствующим заранее установленным критериям приемлемости;</w:t>
            </w:r>
            <w:r>
              <w:br/>
            </w:r>
            <w:r>
              <w:rPr>
                <w:rFonts w:ascii="Times New Roman"/>
                <w:b w:val="false"/>
                <w:i w:val="false"/>
                <w:color w:val="000000"/>
                <w:sz w:val="20"/>
              </w:rPr>
              <w:t>
</w:t>
            </w:r>
            <w:r>
              <w:rPr>
                <w:rFonts w:ascii="Times New Roman"/>
                <w:b w:val="false"/>
                <w:i w:val="false"/>
                <w:color w:val="000000"/>
                <w:sz w:val="20"/>
              </w:rPr>
              <w:t>"возврат" – отправка лекарственных средств в адрес производителя или дистрибьютора независимо от того, имеет ли эта продукция дефект качества;</w:t>
            </w:r>
            <w:r>
              <w:br/>
            </w:r>
            <w:r>
              <w:rPr>
                <w:rFonts w:ascii="Times New Roman"/>
                <w:b w:val="false"/>
                <w:i w:val="false"/>
                <w:color w:val="000000"/>
                <w:sz w:val="20"/>
              </w:rPr>
              <w:t>
</w:t>
            </w:r>
            <w:r>
              <w:rPr>
                <w:rFonts w:ascii="Times New Roman"/>
                <w:b w:val="false"/>
                <w:i w:val="false"/>
                <w:color w:val="000000"/>
                <w:sz w:val="20"/>
              </w:rPr>
              <w:t>"дистрибьюция" – деятельность, связанная с закупкой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w:t>
            </w:r>
            <w:r>
              <w:br/>
            </w:r>
            <w:r>
              <w:rPr>
                <w:rFonts w:ascii="Times New Roman"/>
                <w:b w:val="false"/>
                <w:i w:val="false"/>
                <w:color w:val="000000"/>
                <w:sz w:val="20"/>
              </w:rPr>
              <w:t>
</w:t>
            </w:r>
            <w:r>
              <w:rPr>
                <w:rFonts w:ascii="Times New Roman"/>
                <w:b w:val="false"/>
                <w:i w:val="false"/>
                <w:color w:val="000000"/>
                <w:sz w:val="20"/>
              </w:rPr>
              <w:t>"дистрибьютор" – организация оптовой реализации, имеющая соответствующую лицензию, выданную уполномоченным органом на осуществление дистрибьюции, в том числе на хранение и транспортировку лекарственных средств, и осуществляющая деятельность по их дистрибьюции;</w:t>
            </w:r>
            <w:r>
              <w:br/>
            </w:r>
            <w:r>
              <w:rPr>
                <w:rFonts w:ascii="Times New Roman"/>
                <w:b w:val="false"/>
                <w:i w:val="false"/>
                <w:color w:val="000000"/>
                <w:sz w:val="20"/>
              </w:rPr>
              <w:t>
</w:t>
            </w:r>
            <w:r>
              <w:rPr>
                <w:rFonts w:ascii="Times New Roman"/>
                <w:b w:val="false"/>
                <w:i w:val="false"/>
                <w:color w:val="000000"/>
                <w:sz w:val="20"/>
              </w:rPr>
              <w:t>"зона" – помещение или часть помещений, специально предназначенных для выполнения различных функций;</w:t>
            </w:r>
            <w:r>
              <w:br/>
            </w:r>
            <w:r>
              <w:rPr>
                <w:rFonts w:ascii="Times New Roman"/>
                <w:b w:val="false"/>
                <w:i w:val="false"/>
                <w:color w:val="000000"/>
                <w:sz w:val="20"/>
              </w:rPr>
              <w:t>
</w:t>
            </w:r>
            <w:r>
              <w:rPr>
                <w:rFonts w:ascii="Times New Roman"/>
                <w:b w:val="false"/>
                <w:i w:val="false"/>
                <w:color w:val="000000"/>
                <w:sz w:val="20"/>
              </w:rPr>
              <w:t>"качество" – совокупность свойств и характеристик лекарственного средства, влияющих на его способность действовать по назначению;</w:t>
            </w:r>
            <w:r>
              <w:br/>
            </w:r>
            <w:r>
              <w:rPr>
                <w:rFonts w:ascii="Times New Roman"/>
                <w:b w:val="false"/>
                <w:i w:val="false"/>
                <w:color w:val="000000"/>
                <w:sz w:val="20"/>
              </w:rPr>
              <w:t>
</w:t>
            </w:r>
            <w:r>
              <w:rPr>
                <w:rFonts w:ascii="Times New Roman"/>
                <w:b w:val="false"/>
                <w:i w:val="false"/>
                <w:color w:val="000000"/>
                <w:sz w:val="20"/>
              </w:rPr>
              <w:t>"квалификация" – документально оформленные действия, удостоверяющие и подтверждающие, что оборудование или вспомогательные системы смонтированы должным образом, правильно функционируют и действительно приводят к ожидаемым результатам;</w:t>
            </w:r>
            <w:r>
              <w:br/>
            </w:r>
            <w:r>
              <w:rPr>
                <w:rFonts w:ascii="Times New Roman"/>
                <w:b w:val="false"/>
                <w:i w:val="false"/>
                <w:color w:val="000000"/>
                <w:sz w:val="20"/>
              </w:rPr>
              <w:t>
</w:t>
            </w:r>
            <w:r>
              <w:rPr>
                <w:rFonts w:ascii="Times New Roman"/>
                <w:b w:val="false"/>
                <w:i w:val="false"/>
                <w:color w:val="000000"/>
                <w:sz w:val="20"/>
              </w:rPr>
              <w:t>"надлежащая дистрибьюторская практика" (GDP) – часть системы обеспечения качества, гарантирующая качество лекарственных средств на протяжении всех этапов цепи поставки, включая хранение и транспортировку от производителя до субъектов, осуществляющих оптовую реализацию, розничную реализацию и организации, осуществляющие медицинскую деятельность;</w:t>
            </w:r>
            <w:r>
              <w:br/>
            </w:r>
            <w:r>
              <w:rPr>
                <w:rFonts w:ascii="Times New Roman"/>
                <w:b w:val="false"/>
                <w:i w:val="false"/>
                <w:color w:val="000000"/>
                <w:sz w:val="20"/>
              </w:rPr>
              <w:t>
</w:t>
            </w:r>
            <w:r>
              <w:rPr>
                <w:rFonts w:ascii="Times New Roman"/>
                <w:b w:val="false"/>
                <w:i w:val="false"/>
                <w:color w:val="000000"/>
                <w:sz w:val="20"/>
              </w:rPr>
              <w:t>"обеспечение качества лекарственных средств" – совокупность всех организационных мероприятий, проведенных в целях удовлетворения требованиям качества лекарственных средств в соответствии с их назначением;</w:t>
            </w:r>
            <w:r>
              <w:br/>
            </w:r>
            <w:r>
              <w:rPr>
                <w:rFonts w:ascii="Times New Roman"/>
                <w:b w:val="false"/>
                <w:i w:val="false"/>
                <w:color w:val="000000"/>
                <w:sz w:val="20"/>
              </w:rPr>
              <w:t>
</w:t>
            </w:r>
            <w:r>
              <w:rPr>
                <w:rFonts w:ascii="Times New Roman"/>
                <w:b w:val="false"/>
                <w:i w:val="false"/>
                <w:color w:val="000000"/>
                <w:sz w:val="20"/>
              </w:rPr>
              <w:t>"обзор риска" – обзор или мониторинг результатов процесса управления риском с учетом (при необходимости) новых знаний и опыта относительно риска;</w:t>
            </w:r>
            <w:r>
              <w:br/>
            </w:r>
            <w:r>
              <w:rPr>
                <w:rFonts w:ascii="Times New Roman"/>
                <w:b w:val="false"/>
                <w:i w:val="false"/>
                <w:color w:val="000000"/>
                <w:sz w:val="20"/>
              </w:rPr>
              <w:t>
</w:t>
            </w:r>
            <w:r>
              <w:rPr>
                <w:rFonts w:ascii="Times New Roman"/>
                <w:b w:val="false"/>
                <w:i w:val="false"/>
                <w:color w:val="000000"/>
                <w:sz w:val="20"/>
              </w:rPr>
              <w:t>"отзыв" – действие, направленное на изъятие из цепи поставки лекарственных средств в случае выявления их ненадлежащего качества или выявления серьезных нежелательных реакций и которое инициируется производителем, импортером, дистрибьютором, поставщиком или уполномоченным органом;</w:t>
            </w:r>
            <w:r>
              <w:br/>
            </w:r>
            <w:r>
              <w:rPr>
                <w:rFonts w:ascii="Times New Roman"/>
                <w:b w:val="false"/>
                <w:i w:val="false"/>
                <w:color w:val="000000"/>
                <w:sz w:val="20"/>
              </w:rPr>
              <w:t>
</w:t>
            </w:r>
            <w:r>
              <w:rPr>
                <w:rFonts w:ascii="Times New Roman"/>
                <w:b w:val="false"/>
                <w:i w:val="false"/>
                <w:color w:val="000000"/>
                <w:sz w:val="20"/>
              </w:rPr>
              <w:t>"оценка риска" – сравнение предполагаемого риска с данными критериями риска с использованием количественной и качественной определенности значимости риска;</w:t>
            </w:r>
            <w:r>
              <w:br/>
            </w:r>
            <w:r>
              <w:rPr>
                <w:rFonts w:ascii="Times New Roman"/>
                <w:b w:val="false"/>
                <w:i w:val="false"/>
                <w:color w:val="000000"/>
                <w:sz w:val="20"/>
              </w:rPr>
              <w:t>
</w:t>
            </w:r>
            <w:r>
              <w:rPr>
                <w:rFonts w:ascii="Times New Roman"/>
                <w:b w:val="false"/>
                <w:i w:val="false"/>
                <w:color w:val="000000"/>
                <w:sz w:val="20"/>
              </w:rPr>
              <w:t>"перепутывание" – смешение нескольких видов, разных серий и (или) партий лекарственных средств или подмена одного вида продукции другими при хранении, транспортировании и реализации;</w:t>
            </w:r>
            <w:r>
              <w:br/>
            </w:r>
            <w:r>
              <w:rPr>
                <w:rFonts w:ascii="Times New Roman"/>
                <w:b w:val="false"/>
                <w:i w:val="false"/>
                <w:color w:val="000000"/>
                <w:sz w:val="20"/>
              </w:rPr>
              <w:t>
</w:t>
            </w:r>
            <w:r>
              <w:rPr>
                <w:rFonts w:ascii="Times New Roman"/>
                <w:b w:val="false"/>
                <w:i w:val="false"/>
                <w:color w:val="000000"/>
                <w:sz w:val="20"/>
              </w:rPr>
              <w:t>"руководство по качеству" – документ, описывающий систему качества организации и охватывающий всю деятельность организации;</w:t>
            </w:r>
            <w:r>
              <w:br/>
            </w:r>
            <w:r>
              <w:rPr>
                <w:rFonts w:ascii="Times New Roman"/>
                <w:b w:val="false"/>
                <w:i w:val="false"/>
                <w:color w:val="000000"/>
                <w:sz w:val="20"/>
              </w:rPr>
              <w:t>
</w:t>
            </w:r>
            <w:r>
              <w:rPr>
                <w:rFonts w:ascii="Times New Roman"/>
                <w:b w:val="false"/>
                <w:i w:val="false"/>
                <w:color w:val="000000"/>
                <w:sz w:val="20"/>
              </w:rPr>
              <w:t>"система качества" – совокупность всех элементов системы, направленной на внедрение политики в области качества и обеспечения достижения целей в области качества;</w:t>
            </w:r>
            <w:r>
              <w:br/>
            </w:r>
            <w:r>
              <w:rPr>
                <w:rFonts w:ascii="Times New Roman"/>
                <w:b w:val="false"/>
                <w:i w:val="false"/>
                <w:color w:val="000000"/>
                <w:sz w:val="20"/>
              </w:rPr>
              <w:t>
</w:t>
            </w:r>
            <w:r>
              <w:rPr>
                <w:rFonts w:ascii="Times New Roman"/>
                <w:b w:val="false"/>
                <w:i w:val="false"/>
                <w:color w:val="000000"/>
                <w:sz w:val="20"/>
              </w:rPr>
              <w:t>"склад" – комплекс специализированных помещений, оборудования, технических средств, предназначенных для приемки, хранения и реализации лекарственных средств;</w:t>
            </w:r>
            <w:r>
              <w:br/>
            </w:r>
            <w:r>
              <w:rPr>
                <w:rFonts w:ascii="Times New Roman"/>
                <w:b w:val="false"/>
                <w:i w:val="false"/>
                <w:color w:val="000000"/>
                <w:sz w:val="20"/>
              </w:rPr>
              <w:t>
</w:t>
            </w:r>
            <w:r>
              <w:rPr>
                <w:rFonts w:ascii="Times New Roman"/>
                <w:b w:val="false"/>
                <w:i w:val="false"/>
                <w:color w:val="000000"/>
                <w:sz w:val="20"/>
              </w:rPr>
              <w:t>"управление качеством" – методы и виды деятельности, используемые для выполнения требований по качеству и направленные на управление процессом, устранение причин неудовлетворительного функционирования на всех этапах жизненного цикла продукции;</w:t>
            </w:r>
            <w:r>
              <w:br/>
            </w:r>
            <w:r>
              <w:rPr>
                <w:rFonts w:ascii="Times New Roman"/>
                <w:b w:val="false"/>
                <w:i w:val="false"/>
                <w:color w:val="000000"/>
                <w:sz w:val="20"/>
              </w:rPr>
              <w:t>
</w:t>
            </w:r>
            <w:r>
              <w:rPr>
                <w:rFonts w:ascii="Times New Roman"/>
                <w:b w:val="false"/>
                <w:i w:val="false"/>
                <w:color w:val="000000"/>
                <w:sz w:val="20"/>
              </w:rPr>
              <w:t>"управление рисками для качества" – систематический процесс оценки, контроля, обмена информацией и обзора рисков для качества лекарственных средств на протяжении их жизненного цикла;</w:t>
            </w:r>
            <w:r>
              <w:br/>
            </w:r>
            <w:r>
              <w:rPr>
                <w:rFonts w:ascii="Times New Roman"/>
                <w:b w:val="false"/>
                <w:i w:val="false"/>
                <w:color w:val="000000"/>
                <w:sz w:val="20"/>
              </w:rPr>
              <w:t>
</w:t>
            </w:r>
            <w:r>
              <w:rPr>
                <w:rFonts w:ascii="Times New Roman"/>
                <w:b w:val="false"/>
                <w:i w:val="false"/>
                <w:color w:val="000000"/>
                <w:sz w:val="20"/>
              </w:rPr>
              <w:t>"фальсифицированные лекарственные средства" – лекарственные средства, противоправно и преднамеренно снабженные недостоверной информацией об их составе и (или) производителе, а также о поставках, включая записи и документы, затрагивающие использованные каналы дистрибьюции.</w:t>
            </w:r>
            <w:r>
              <w:br/>
            </w:r>
            <w:r>
              <w:rPr>
                <w:rFonts w:ascii="Times New Roman"/>
                <w:b w:val="false"/>
                <w:i w:val="false"/>
                <w:color w:val="000000"/>
                <w:sz w:val="20"/>
              </w:rPr>
              <w:t>
</w:t>
            </w:r>
            <w:r>
              <w:rPr>
                <w:rFonts w:ascii="Times New Roman"/>
                <w:b w:val="false"/>
                <w:i w:val="false"/>
                <w:color w:val="000000"/>
                <w:sz w:val="20"/>
              </w:rPr>
              <w:t>Для целей настоящего Стандарта:</w:t>
            </w:r>
            <w:r>
              <w:br/>
            </w:r>
            <w:r>
              <w:rPr>
                <w:rFonts w:ascii="Times New Roman"/>
                <w:b w:val="false"/>
                <w:i w:val="false"/>
                <w:color w:val="000000"/>
                <w:sz w:val="20"/>
              </w:rPr>
              <w:t>
</w:t>
            </w:r>
            <w:r>
              <w:rPr>
                <w:rFonts w:ascii="Times New Roman"/>
                <w:b w:val="false"/>
                <w:i w:val="false"/>
                <w:color w:val="000000"/>
                <w:sz w:val="20"/>
              </w:rPr>
              <w:t>понятия "ключевой этап" и "значимое изменение" применяются в отношении любого процесса, который способен повлиять на показатели качества лекарственного средства либо изменить стабильность их сохранения с учетом вида номенклатурных позиций (лекарственной дефектуры), с которыми работает конкретный дистрибьютор;</w:t>
            </w:r>
            <w:r>
              <w:br/>
            </w:r>
            <w:r>
              <w:rPr>
                <w:rFonts w:ascii="Times New Roman"/>
                <w:b w:val="false"/>
                <w:i w:val="false"/>
                <w:color w:val="000000"/>
                <w:sz w:val="20"/>
              </w:rPr>
              <w:t>
</w:t>
            </w:r>
            <w:r>
              <w:rPr>
                <w:rFonts w:ascii="Times New Roman"/>
                <w:b w:val="false"/>
                <w:i w:val="false"/>
                <w:color w:val="000000"/>
                <w:sz w:val="20"/>
              </w:rPr>
              <w:t>понятия "значимый", "надлежащий" и "достаточный" применительно к любому процессу или элементу системы дистрибьюции лекарственных средств означают, что данный процесс или элемент способен обеспечить выполнение требований настоящего Стандарта и гарантировать работу системы обеспечения качества таким образом, чтобы своевременно установить любое отклонение от показателей качества лекарственного средства либо изменения стабильности их сохранения с учетом вида номенклатурных позиций (лекарственной дефектуры), с которыми работает конкретный дистрибьютор;</w:t>
            </w:r>
            <w:r>
              <w:br/>
            </w:r>
            <w:r>
              <w:rPr>
                <w:rFonts w:ascii="Times New Roman"/>
                <w:b w:val="false"/>
                <w:i w:val="false"/>
                <w:color w:val="000000"/>
                <w:sz w:val="20"/>
              </w:rPr>
              <w:t>
</w:t>
            </w:r>
            <w:r>
              <w:rPr>
                <w:rFonts w:ascii="Times New Roman"/>
                <w:b w:val="false"/>
                <w:i w:val="false"/>
                <w:color w:val="000000"/>
                <w:sz w:val="20"/>
              </w:rPr>
              <w:t>под клиентами понимаются поставщики, аутсорсинговые организации, получатели (покупатели) лекарственных средств, а также все субъекты сферы обращения лекарственных средств, с которыми дистрибьютор находится в договорных отношениях;</w:t>
            </w:r>
            <w:r>
              <w:br/>
            </w:r>
            <w:r>
              <w:rPr>
                <w:rFonts w:ascii="Times New Roman"/>
                <w:b w:val="false"/>
                <w:i w:val="false"/>
                <w:color w:val="000000"/>
                <w:sz w:val="20"/>
              </w:rPr>
              <w:t>
понятие "расследование" означает установление причинно-следственной связи между возникшим отклонением в дистрибьюторской цепи и возможными факторами, лежащими в его основе, выполненное дистрибьютором или аутсорсинговой организацией.</w:t>
            </w:r>
          </w:p>
          <w:bookmarkEnd w:id="30"/>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Основная часть</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1"/>
          <w:p>
            <w:pPr>
              <w:spacing w:after="20"/>
              <w:ind w:left="20"/>
              <w:jc w:val="both"/>
            </w:pPr>
            <w:r>
              <w:rPr>
                <w:rFonts w:ascii="Times New Roman"/>
                <w:b w:val="false"/>
                <w:i w:val="false"/>
                <w:color w:val="000000"/>
                <w:sz w:val="20"/>
              </w:rPr>
              <w:t>
1.1. Принцип</w:t>
            </w:r>
            <w:r>
              <w:br/>
            </w:r>
            <w:r>
              <w:rPr>
                <w:rFonts w:ascii="Times New Roman"/>
                <w:b w:val="false"/>
                <w:i w:val="false"/>
                <w:color w:val="000000"/>
                <w:sz w:val="20"/>
              </w:rPr>
              <w:t>
</w:t>
            </w:r>
            <w:r>
              <w:rPr>
                <w:rFonts w:ascii="Times New Roman"/>
                <w:b w:val="false"/>
                <w:i w:val="false"/>
                <w:color w:val="000000"/>
                <w:sz w:val="20"/>
              </w:rPr>
              <w:t>5. Дистрибьюторы создают и поддерживают систему качества, определяющую обязанности, процессы и принципы управления рисками в отношении осуществляемой ими деятельности. Все действия, связанные с дистрибьюцией, однозначно определяются и анализируются. Ключевые этапы процесса оптовой реализации (включая наиболее значимые изменения) обосновываются и валидируются.</w:t>
            </w:r>
            <w:r>
              <w:br/>
            </w:r>
            <w:r>
              <w:rPr>
                <w:rFonts w:ascii="Times New Roman"/>
                <w:b w:val="false"/>
                <w:i w:val="false"/>
                <w:color w:val="000000"/>
                <w:sz w:val="20"/>
              </w:rPr>
              <w:t>
Ответственность за функционирование системы качества несет руководитель организации. Персонал организации надлежащим образом исполняет обязанности, связанные с функционированием системы качества.</w:t>
            </w:r>
          </w:p>
          <w:bookmarkEnd w:id="31"/>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2"/>
          <w:p>
            <w:pPr>
              <w:spacing w:after="20"/>
              <w:ind w:left="20"/>
              <w:jc w:val="both"/>
            </w:pPr>
            <w:r>
              <w:rPr>
                <w:rFonts w:ascii="Times New Roman"/>
                <w:b w:val="false"/>
                <w:i w:val="false"/>
                <w:color w:val="000000"/>
                <w:sz w:val="20"/>
              </w:rPr>
              <w:t>
1.2. Система качества</w:t>
            </w:r>
            <w:r>
              <w:br/>
            </w:r>
            <w:r>
              <w:rPr>
                <w:rFonts w:ascii="Times New Roman"/>
                <w:b w:val="false"/>
                <w:i w:val="false"/>
                <w:color w:val="000000"/>
                <w:sz w:val="20"/>
              </w:rPr>
              <w:t>
</w:t>
            </w:r>
            <w:r>
              <w:rPr>
                <w:rFonts w:ascii="Times New Roman"/>
                <w:b w:val="false"/>
                <w:i w:val="false"/>
                <w:color w:val="000000"/>
                <w:sz w:val="20"/>
              </w:rPr>
              <w:t>6. Система управления качеством включает в себя организационную структуру, процедуры, процессы и ресурсы, а также действия, необходимые для обеспечения сохранения качества и целостности поставляемых лекарственных средств и невозможности их фальсификации в процессе хранения и (или) транспортировки.</w:t>
            </w:r>
            <w:r>
              <w:br/>
            </w:r>
            <w:r>
              <w:rPr>
                <w:rFonts w:ascii="Times New Roman"/>
                <w:b w:val="false"/>
                <w:i w:val="false"/>
                <w:color w:val="000000"/>
                <w:sz w:val="20"/>
              </w:rPr>
              <w:t>
</w:t>
            </w:r>
            <w:r>
              <w:rPr>
                <w:rFonts w:ascii="Times New Roman"/>
                <w:b w:val="false"/>
                <w:i w:val="false"/>
                <w:color w:val="000000"/>
                <w:sz w:val="20"/>
              </w:rPr>
              <w:t>7. Система качества полностью документируется, ее эффективность подвергается мониторингу и анализу. Действия персонала, относящиеся к системе качества, описываются в соответствующих письменных процедурах. Внедряется и поддерживается в актуальном состоянии руководство по качеству.</w:t>
            </w:r>
            <w:r>
              <w:br/>
            </w:r>
            <w:r>
              <w:rPr>
                <w:rFonts w:ascii="Times New Roman"/>
                <w:b w:val="false"/>
                <w:i w:val="false"/>
                <w:color w:val="000000"/>
                <w:sz w:val="20"/>
              </w:rPr>
              <w:t>
</w:t>
            </w:r>
            <w:r>
              <w:rPr>
                <w:rFonts w:ascii="Times New Roman"/>
                <w:b w:val="false"/>
                <w:i w:val="false"/>
                <w:color w:val="000000"/>
                <w:sz w:val="20"/>
              </w:rPr>
              <w:t>8. Руководством организации назначается ответственное лицо, наделенное полномочиями и обязанностями для обеспечения внедрения и поддержания в актуальном состоянии системы качества.</w:t>
            </w:r>
            <w:r>
              <w:br/>
            </w:r>
            <w:r>
              <w:rPr>
                <w:rFonts w:ascii="Times New Roman"/>
                <w:b w:val="false"/>
                <w:i w:val="false"/>
                <w:color w:val="000000"/>
                <w:sz w:val="20"/>
              </w:rPr>
              <w:t>
</w:t>
            </w:r>
            <w:r>
              <w:rPr>
                <w:rFonts w:ascii="Times New Roman"/>
                <w:b w:val="false"/>
                <w:i w:val="false"/>
                <w:color w:val="000000"/>
                <w:sz w:val="20"/>
              </w:rPr>
              <w:t>Все части системы качества надлежащим образом обеспечиваются компетентным персоналом, достаточным количеством помещений, оборудования и технических средств.</w:t>
            </w:r>
            <w:r>
              <w:br/>
            </w:r>
            <w:r>
              <w:rPr>
                <w:rFonts w:ascii="Times New Roman"/>
                <w:b w:val="false"/>
                <w:i w:val="false"/>
                <w:color w:val="000000"/>
                <w:sz w:val="20"/>
              </w:rPr>
              <w:t>
</w:t>
            </w:r>
            <w:r>
              <w:rPr>
                <w:rFonts w:ascii="Times New Roman"/>
                <w:b w:val="false"/>
                <w:i w:val="false"/>
                <w:color w:val="000000"/>
                <w:sz w:val="20"/>
              </w:rPr>
              <w:t>9. При создании, поддержании или изменении системы качества учитывается организационная структура, объем выполняемых работ и услуг и многоплановость деятельности дистрибьютора.</w:t>
            </w:r>
            <w:r>
              <w:br/>
            </w:r>
            <w:r>
              <w:rPr>
                <w:rFonts w:ascii="Times New Roman"/>
                <w:b w:val="false"/>
                <w:i w:val="false"/>
                <w:color w:val="000000"/>
                <w:sz w:val="20"/>
              </w:rPr>
              <w:t>
</w:t>
            </w:r>
            <w:r>
              <w:rPr>
                <w:rFonts w:ascii="Times New Roman"/>
                <w:b w:val="false"/>
                <w:i w:val="false"/>
                <w:color w:val="000000"/>
                <w:sz w:val="20"/>
              </w:rPr>
              <w:t>10. У дистрибьютора внедряется система управления изменениями, которая является пропорциональной и эффективной, а также основанной на принципах управления рисками для качества.</w:t>
            </w:r>
            <w:r>
              <w:br/>
            </w:r>
            <w:r>
              <w:rPr>
                <w:rFonts w:ascii="Times New Roman"/>
                <w:b w:val="false"/>
                <w:i w:val="false"/>
                <w:color w:val="000000"/>
                <w:sz w:val="20"/>
              </w:rPr>
              <w:t>
</w:t>
            </w:r>
            <w:r>
              <w:rPr>
                <w:rFonts w:ascii="Times New Roman"/>
                <w:b w:val="false"/>
                <w:i w:val="false"/>
                <w:color w:val="000000"/>
                <w:sz w:val="20"/>
              </w:rPr>
              <w:t>11. Система качества гарантирует следующее:</w:t>
            </w:r>
            <w:r>
              <w:br/>
            </w:r>
            <w:r>
              <w:rPr>
                <w:rFonts w:ascii="Times New Roman"/>
                <w:b w:val="false"/>
                <w:i w:val="false"/>
                <w:color w:val="000000"/>
                <w:sz w:val="20"/>
              </w:rPr>
              <w:t>
</w:t>
            </w:r>
            <w:r>
              <w:rPr>
                <w:rFonts w:ascii="Times New Roman"/>
                <w:b w:val="false"/>
                <w:i w:val="false"/>
                <w:color w:val="000000"/>
                <w:sz w:val="20"/>
              </w:rPr>
              <w:t>а) лекарственные средства приобретаются, хранятся, транспортируются, поставляются или экспортируются с соблюдением требований настоящего Стандарта;</w:t>
            </w:r>
            <w:r>
              <w:br/>
            </w:r>
            <w:r>
              <w:rPr>
                <w:rFonts w:ascii="Times New Roman"/>
                <w:b w:val="false"/>
                <w:i w:val="false"/>
                <w:color w:val="000000"/>
                <w:sz w:val="20"/>
              </w:rPr>
              <w:t>
</w:t>
            </w:r>
            <w:r>
              <w:rPr>
                <w:rFonts w:ascii="Times New Roman"/>
                <w:b w:val="false"/>
                <w:i w:val="false"/>
                <w:color w:val="000000"/>
                <w:sz w:val="20"/>
              </w:rPr>
              <w:t>б) обязанности руководства организации четко определены;</w:t>
            </w:r>
            <w:r>
              <w:br/>
            </w:r>
            <w:r>
              <w:rPr>
                <w:rFonts w:ascii="Times New Roman"/>
                <w:b w:val="false"/>
                <w:i w:val="false"/>
                <w:color w:val="000000"/>
                <w:sz w:val="20"/>
              </w:rPr>
              <w:t>
</w:t>
            </w:r>
            <w:r>
              <w:rPr>
                <w:rFonts w:ascii="Times New Roman"/>
                <w:b w:val="false"/>
                <w:i w:val="false"/>
                <w:color w:val="000000"/>
                <w:sz w:val="20"/>
              </w:rPr>
              <w:t>в) лекарственные средства доставляются надлежащим получателям в согласованный период времени;</w:t>
            </w:r>
            <w:r>
              <w:br/>
            </w:r>
            <w:r>
              <w:rPr>
                <w:rFonts w:ascii="Times New Roman"/>
                <w:b w:val="false"/>
                <w:i w:val="false"/>
                <w:color w:val="000000"/>
                <w:sz w:val="20"/>
              </w:rPr>
              <w:t>
</w:t>
            </w:r>
            <w:r>
              <w:rPr>
                <w:rFonts w:ascii="Times New Roman"/>
                <w:b w:val="false"/>
                <w:i w:val="false"/>
                <w:color w:val="000000"/>
                <w:sz w:val="20"/>
              </w:rPr>
              <w:t>г) документальное оформление действий осуществляется в ходе выполнения или непосредственно после завершения соответствующих действий;</w:t>
            </w:r>
            <w:r>
              <w:br/>
            </w:r>
            <w:r>
              <w:rPr>
                <w:rFonts w:ascii="Times New Roman"/>
                <w:b w:val="false"/>
                <w:i w:val="false"/>
                <w:color w:val="000000"/>
                <w:sz w:val="20"/>
              </w:rPr>
              <w:t>
</w:t>
            </w:r>
            <w:r>
              <w:rPr>
                <w:rFonts w:ascii="Times New Roman"/>
                <w:b w:val="false"/>
                <w:i w:val="false"/>
                <w:color w:val="000000"/>
                <w:sz w:val="20"/>
              </w:rPr>
              <w:t>д) отклонения от установленных процедур документально оформляются и в их отношении проводятся расследования;</w:t>
            </w:r>
            <w:r>
              <w:br/>
            </w:r>
            <w:r>
              <w:rPr>
                <w:rFonts w:ascii="Times New Roman"/>
                <w:b w:val="false"/>
                <w:i w:val="false"/>
                <w:color w:val="000000"/>
                <w:sz w:val="20"/>
              </w:rPr>
              <w:t>
е) необходимые корректирующие и предупреждающие действия предпринимаются для устранения отклонений и предупреждения их появления в соответствии с принципами управления рисками для качества.</w:t>
            </w:r>
          </w:p>
          <w:bookmarkEnd w:id="32"/>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3"/>
          <w:p>
            <w:pPr>
              <w:spacing w:after="20"/>
              <w:ind w:left="20"/>
              <w:jc w:val="both"/>
            </w:pPr>
            <w:r>
              <w:rPr>
                <w:rFonts w:ascii="Times New Roman"/>
                <w:b w:val="false"/>
                <w:i w:val="false"/>
                <w:color w:val="000000"/>
                <w:sz w:val="20"/>
              </w:rPr>
              <w:t>
1.3. Управление деятельностью, передаваемой для выполнения другому лицу (аутсорсинг)</w:t>
            </w:r>
            <w:r>
              <w:br/>
            </w:r>
            <w:r>
              <w:rPr>
                <w:rFonts w:ascii="Times New Roman"/>
                <w:b w:val="false"/>
                <w:i w:val="false"/>
                <w:color w:val="000000"/>
                <w:sz w:val="20"/>
              </w:rPr>
              <w:t>
</w:t>
            </w:r>
            <w:r>
              <w:rPr>
                <w:rFonts w:ascii="Times New Roman"/>
                <w:b w:val="false"/>
                <w:i w:val="false"/>
                <w:color w:val="000000"/>
                <w:sz w:val="20"/>
              </w:rPr>
              <w:t>12. Система качества включает в себя контроль и анализ деятельности, переданной на аутсорсинг, хранению, транспортировке, поставке или экспорту. Деятельность по аутсорсингу учитывает возможные риски для качества и содержит:</w:t>
            </w:r>
            <w:r>
              <w:br/>
            </w:r>
            <w:r>
              <w:rPr>
                <w:rFonts w:ascii="Times New Roman"/>
                <w:b w:val="false"/>
                <w:i w:val="false"/>
                <w:color w:val="000000"/>
                <w:sz w:val="20"/>
              </w:rPr>
              <w:t>
</w:t>
            </w:r>
            <w:r>
              <w:rPr>
                <w:rFonts w:ascii="Times New Roman"/>
                <w:b w:val="false"/>
                <w:i w:val="false"/>
                <w:color w:val="000000"/>
                <w:sz w:val="20"/>
              </w:rPr>
              <w:t>а) оценку пригодности и компетентности исполнителя выполнить обязательства по договору должным образом, а также проверку наличия у исполнителя необходимых разрешительных документов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б) определение ответственности, порядка взаимодействия сторон и обмена информацией о действиях в рамках мероприятий, относящихся к качеству;</w:t>
            </w:r>
            <w:r>
              <w:br/>
            </w:r>
            <w:r>
              <w:rPr>
                <w:rFonts w:ascii="Times New Roman"/>
                <w:b w:val="false"/>
                <w:i w:val="false"/>
                <w:color w:val="000000"/>
                <w:sz w:val="20"/>
              </w:rPr>
              <w:t>
в) мониторинг и анализ деятельности исполнителя, а также определение и внедрение на регулярной основе мер, необходимых для улучшения.</w:t>
            </w:r>
          </w:p>
          <w:bookmarkEnd w:id="33"/>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4"/>
          <w:p>
            <w:pPr>
              <w:spacing w:after="20"/>
              <w:ind w:left="20"/>
              <w:jc w:val="both"/>
            </w:pPr>
            <w:r>
              <w:rPr>
                <w:rFonts w:ascii="Times New Roman"/>
                <w:b w:val="false"/>
                <w:i w:val="false"/>
                <w:color w:val="000000"/>
                <w:sz w:val="20"/>
              </w:rPr>
              <w:t>
1.4. Мониторинг и анализ со стороны руководства</w:t>
            </w:r>
            <w:r>
              <w:br/>
            </w:r>
            <w:r>
              <w:rPr>
                <w:rFonts w:ascii="Times New Roman"/>
                <w:b w:val="false"/>
                <w:i w:val="false"/>
                <w:color w:val="000000"/>
                <w:sz w:val="20"/>
              </w:rPr>
              <w:t>
</w:t>
            </w:r>
            <w:r>
              <w:rPr>
                <w:rFonts w:ascii="Times New Roman"/>
                <w:b w:val="false"/>
                <w:i w:val="false"/>
                <w:color w:val="000000"/>
                <w:sz w:val="20"/>
              </w:rPr>
              <w:t>13. Руководство организации устанавливает формализованный процесс периодического обзора системы качества. Обзор включает в себя:</w:t>
            </w:r>
            <w:r>
              <w:br/>
            </w:r>
            <w:r>
              <w:rPr>
                <w:rFonts w:ascii="Times New Roman"/>
                <w:b w:val="false"/>
                <w:i w:val="false"/>
                <w:color w:val="000000"/>
                <w:sz w:val="20"/>
              </w:rPr>
              <w:t>
</w:t>
            </w:r>
            <w:r>
              <w:rPr>
                <w:rFonts w:ascii="Times New Roman"/>
                <w:b w:val="false"/>
                <w:i w:val="false"/>
                <w:color w:val="000000"/>
                <w:sz w:val="20"/>
              </w:rPr>
              <w:t>а) оценку степени достижения целей системы качества;</w:t>
            </w:r>
            <w:r>
              <w:br/>
            </w:r>
            <w:r>
              <w:rPr>
                <w:rFonts w:ascii="Times New Roman"/>
                <w:b w:val="false"/>
                <w:i w:val="false"/>
                <w:color w:val="000000"/>
                <w:sz w:val="20"/>
              </w:rPr>
              <w:t>
</w:t>
            </w:r>
            <w:r>
              <w:rPr>
                <w:rFonts w:ascii="Times New Roman"/>
                <w:b w:val="false"/>
                <w:i w:val="false"/>
                <w:color w:val="000000"/>
                <w:sz w:val="20"/>
              </w:rPr>
              <w:t>б) оценку показателей эффективности, которые использованы для мониторинга эффективности таких процессов системы качества, как количество претензий, отклонений от установленных норм, эффективность корректирующих и предупреждающих действий, изменения в процессах, отзывы о деятельности по аутсорсингу, процессы самопроверки (включая анализ рисков и аудиты), результаты внешнего контроля (включая инспекции и аудиты), выявленные несоответствия, аудиты клиентов;</w:t>
            </w:r>
            <w:r>
              <w:br/>
            </w:r>
            <w:r>
              <w:rPr>
                <w:rFonts w:ascii="Times New Roman"/>
                <w:b w:val="false"/>
                <w:i w:val="false"/>
                <w:color w:val="000000"/>
                <w:sz w:val="20"/>
              </w:rPr>
              <w:t>
</w:t>
            </w:r>
            <w:r>
              <w:rPr>
                <w:rFonts w:ascii="Times New Roman"/>
                <w:b w:val="false"/>
                <w:i w:val="false"/>
                <w:color w:val="000000"/>
                <w:sz w:val="20"/>
              </w:rPr>
              <w:t>в) изменения, внесенные в нормативные правовые акты, руководства, а также возникновение новых обстоятельств, связанных с качеством, которые оказывают влияние на систему управления качеством;</w:t>
            </w:r>
            <w:r>
              <w:br/>
            </w:r>
            <w:r>
              <w:rPr>
                <w:rFonts w:ascii="Times New Roman"/>
                <w:b w:val="false"/>
                <w:i w:val="false"/>
                <w:color w:val="000000"/>
                <w:sz w:val="20"/>
              </w:rPr>
              <w:t>
</w:t>
            </w:r>
            <w:r>
              <w:rPr>
                <w:rFonts w:ascii="Times New Roman"/>
                <w:b w:val="false"/>
                <w:i w:val="false"/>
                <w:color w:val="000000"/>
                <w:sz w:val="20"/>
              </w:rPr>
              <w:t>г) инновации, которые повышают эффективность системы качества;</w:t>
            </w:r>
            <w:r>
              <w:br/>
            </w:r>
            <w:r>
              <w:rPr>
                <w:rFonts w:ascii="Times New Roman"/>
                <w:b w:val="false"/>
                <w:i w:val="false"/>
                <w:color w:val="000000"/>
                <w:sz w:val="20"/>
              </w:rPr>
              <w:t>
</w:t>
            </w:r>
            <w:r>
              <w:rPr>
                <w:rFonts w:ascii="Times New Roman"/>
                <w:b w:val="false"/>
                <w:i w:val="false"/>
                <w:color w:val="000000"/>
                <w:sz w:val="20"/>
              </w:rPr>
              <w:t>д) изменения в деловой среде и поставленных целях.</w:t>
            </w:r>
            <w:r>
              <w:br/>
            </w:r>
            <w:r>
              <w:rPr>
                <w:rFonts w:ascii="Times New Roman"/>
                <w:b w:val="false"/>
                <w:i w:val="false"/>
                <w:color w:val="000000"/>
                <w:sz w:val="20"/>
              </w:rPr>
              <w:t>
14. Результаты обзора системы качества со стороны руководства своевременно документально оформляются и доводятся до сведения персонала.</w:t>
            </w:r>
          </w:p>
          <w:bookmarkEnd w:id="34"/>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5"/>
          <w:p>
            <w:pPr>
              <w:spacing w:after="20"/>
              <w:ind w:left="20"/>
              <w:jc w:val="both"/>
            </w:pPr>
            <w:r>
              <w:rPr>
                <w:rFonts w:ascii="Times New Roman"/>
                <w:b w:val="false"/>
                <w:i w:val="false"/>
                <w:color w:val="000000"/>
                <w:sz w:val="20"/>
              </w:rPr>
              <w:t>
1.5. Управление рисками для качества</w:t>
            </w:r>
            <w:r>
              <w:br/>
            </w:r>
            <w:r>
              <w:rPr>
                <w:rFonts w:ascii="Times New Roman"/>
                <w:b w:val="false"/>
                <w:i w:val="false"/>
                <w:color w:val="000000"/>
                <w:sz w:val="20"/>
              </w:rPr>
              <w:t>
</w:t>
            </w:r>
            <w:r>
              <w:rPr>
                <w:rFonts w:ascii="Times New Roman"/>
                <w:b w:val="false"/>
                <w:i w:val="false"/>
                <w:color w:val="000000"/>
                <w:sz w:val="20"/>
              </w:rPr>
              <w:t>15. Управление рисками для качества является систематическим процессом оценки, контроля, обмена информацией и обзора рисков для качества лекарственных средств. Этот процесс проводится как перспективно, так и ретроспективно.</w:t>
            </w:r>
            <w:r>
              <w:br/>
            </w:r>
            <w:r>
              <w:rPr>
                <w:rFonts w:ascii="Times New Roman"/>
                <w:b w:val="false"/>
                <w:i w:val="false"/>
                <w:color w:val="000000"/>
                <w:sz w:val="20"/>
              </w:rPr>
              <w:t>
Управление рисками для качества предполагает, что оценка рисков для качества основывается на научных знаниях, практическом опыте работы и направлена на защиту здоровья пациента. Объем работ по управлению рисками для качества и документальное оформление результатов оценки рисков являются соизмеримыми с уровнем риска.</w:t>
            </w:r>
          </w:p>
          <w:bookmarkEnd w:id="35"/>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6"/>
          <w:p>
            <w:pPr>
              <w:spacing w:after="20"/>
              <w:ind w:left="20"/>
              <w:jc w:val="both"/>
            </w:pPr>
            <w:r>
              <w:rPr>
                <w:rFonts w:ascii="Times New Roman"/>
                <w:b w:val="false"/>
                <w:i w:val="false"/>
                <w:color w:val="000000"/>
                <w:sz w:val="20"/>
              </w:rPr>
              <w:t>
2.1. Принцип</w:t>
            </w:r>
            <w:r>
              <w:br/>
            </w:r>
            <w:r>
              <w:rPr>
                <w:rFonts w:ascii="Times New Roman"/>
                <w:b w:val="false"/>
                <w:i w:val="false"/>
                <w:color w:val="000000"/>
                <w:sz w:val="20"/>
              </w:rPr>
              <w:t>
16. Выполнение требований надлежащей дистрибьюторской практики зависит от человеческого фактора. Дистрибьютор имеет достаточное количество квалифицированного персонала для решения всех задач, за которые отвечает организация. Каждый работник знает и понимает требования надлежащей дистрибьюторской практики в части, касающейся его деятельности. Каждый работник понимает индивидуальную ответственность, которая документируется.</w:t>
            </w:r>
          </w:p>
          <w:bookmarkEnd w:id="36"/>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7"/>
          <w:p>
            <w:pPr>
              <w:spacing w:after="20"/>
              <w:ind w:left="20"/>
              <w:jc w:val="both"/>
            </w:pPr>
            <w:r>
              <w:rPr>
                <w:rFonts w:ascii="Times New Roman"/>
                <w:b w:val="false"/>
                <w:i w:val="false"/>
                <w:color w:val="000000"/>
                <w:sz w:val="20"/>
              </w:rPr>
              <w:t>
2.2. Ответственное лицо</w:t>
            </w:r>
            <w:r>
              <w:br/>
            </w:r>
            <w:r>
              <w:rPr>
                <w:rFonts w:ascii="Times New Roman"/>
                <w:b w:val="false"/>
                <w:i w:val="false"/>
                <w:color w:val="000000"/>
                <w:sz w:val="20"/>
              </w:rPr>
              <w:t>
</w:t>
            </w:r>
            <w:r>
              <w:rPr>
                <w:rFonts w:ascii="Times New Roman"/>
                <w:b w:val="false"/>
                <w:i w:val="false"/>
                <w:color w:val="000000"/>
                <w:sz w:val="20"/>
              </w:rPr>
              <w:t>17. Руководством дистрибьютора назначается ответственное лицо. Ответственное лицо соответствует квалификационным требованиям, установленным законодательством Республики Казахстан, и обладает необходимой квалификацией (предпочтительно фармацевтическим образованием), опытом и знаниями в области надлежащей дистрибьюции. В отдельных случаях ответственное лицо имеет нефармацевтическое образование, в том числе при дистрибьюции радиофармацевтических препаратов – образование в области радиобиологии, ядерной физики или радиофизики, при дистрибьюции медицинских газов – образование физико-технического профиля. Профиль образования ответственного лица устанавливается руководством по качеству дистрибьютора, исходя из его номенклатуры товарных позиций лекарственных средств.</w:t>
            </w:r>
            <w:r>
              <w:br/>
            </w:r>
            <w:r>
              <w:rPr>
                <w:rFonts w:ascii="Times New Roman"/>
                <w:b w:val="false"/>
                <w:i w:val="false"/>
                <w:color w:val="000000"/>
                <w:sz w:val="20"/>
              </w:rPr>
              <w:t>
</w:t>
            </w:r>
            <w:r>
              <w:rPr>
                <w:rFonts w:ascii="Times New Roman"/>
                <w:b w:val="false"/>
                <w:i w:val="false"/>
                <w:color w:val="000000"/>
                <w:sz w:val="20"/>
              </w:rPr>
              <w:t>18. Ответственное лицо выполняет свои обязанности лично. Доступ к контактам с ответственным лицом обеспечивается в постоянном режиме. Ответственное лицо делегирует часть своих обязанностей, но не ответственность.</w:t>
            </w:r>
            <w:r>
              <w:br/>
            </w:r>
            <w:r>
              <w:rPr>
                <w:rFonts w:ascii="Times New Roman"/>
                <w:b w:val="false"/>
                <w:i w:val="false"/>
                <w:color w:val="000000"/>
                <w:sz w:val="20"/>
              </w:rPr>
              <w:t>
</w:t>
            </w:r>
            <w:r>
              <w:rPr>
                <w:rFonts w:ascii="Times New Roman"/>
                <w:b w:val="false"/>
                <w:i w:val="false"/>
                <w:color w:val="000000"/>
                <w:sz w:val="20"/>
              </w:rPr>
              <w:t>19. Полномочия ответственного лица по принятию решений в рамках своих должностных обязанностей, а также необходимые ресурсы для их выполнения определены должностной инструкцией. Ответственное лицо наделено четко определенными полномочиями, ресурсами и зонами ответственности, необходимыми для выполнения возложенных на него обязанностей.</w:t>
            </w:r>
            <w:r>
              <w:br/>
            </w:r>
            <w:r>
              <w:rPr>
                <w:rFonts w:ascii="Times New Roman"/>
                <w:b w:val="false"/>
                <w:i w:val="false"/>
                <w:color w:val="000000"/>
                <w:sz w:val="20"/>
              </w:rPr>
              <w:t>
</w:t>
            </w:r>
            <w:r>
              <w:rPr>
                <w:rFonts w:ascii="Times New Roman"/>
                <w:b w:val="false"/>
                <w:i w:val="false"/>
                <w:color w:val="000000"/>
                <w:sz w:val="20"/>
              </w:rPr>
              <w:t>20. Ответственное лицо выполняет свои обязанности таким образом, чтобы дистрибьютор подтвердил соблюдение надлежащей дистрибьюторской практики.</w:t>
            </w:r>
            <w:r>
              <w:br/>
            </w:r>
            <w:r>
              <w:rPr>
                <w:rFonts w:ascii="Times New Roman"/>
                <w:b w:val="false"/>
                <w:i w:val="false"/>
                <w:color w:val="000000"/>
                <w:sz w:val="20"/>
              </w:rPr>
              <w:t>
</w:t>
            </w:r>
            <w:r>
              <w:rPr>
                <w:rFonts w:ascii="Times New Roman"/>
                <w:b w:val="false"/>
                <w:i w:val="false"/>
                <w:color w:val="000000"/>
                <w:sz w:val="20"/>
              </w:rPr>
              <w:t>21. К обязанностям ответственного лица относятся:</w:t>
            </w:r>
            <w:r>
              <w:br/>
            </w:r>
            <w:r>
              <w:rPr>
                <w:rFonts w:ascii="Times New Roman"/>
                <w:b w:val="false"/>
                <w:i w:val="false"/>
                <w:color w:val="000000"/>
                <w:sz w:val="20"/>
              </w:rPr>
              <w:t>
</w:t>
            </w:r>
            <w:r>
              <w:rPr>
                <w:rFonts w:ascii="Times New Roman"/>
                <w:b w:val="false"/>
                <w:i w:val="false"/>
                <w:color w:val="000000"/>
                <w:sz w:val="20"/>
              </w:rPr>
              <w:t>а) обеспечение внедрения и поддержания системы управления качеством;</w:t>
            </w:r>
            <w:r>
              <w:br/>
            </w:r>
            <w:r>
              <w:rPr>
                <w:rFonts w:ascii="Times New Roman"/>
                <w:b w:val="false"/>
                <w:i w:val="false"/>
                <w:color w:val="000000"/>
                <w:sz w:val="20"/>
              </w:rPr>
              <w:t>
</w:t>
            </w:r>
            <w:r>
              <w:rPr>
                <w:rFonts w:ascii="Times New Roman"/>
                <w:b w:val="false"/>
                <w:i w:val="false"/>
                <w:color w:val="000000"/>
                <w:sz w:val="20"/>
              </w:rPr>
              <w:t>б) концентрация на управлении установленной деятельностью и на обеспечении точности и качества записей;</w:t>
            </w:r>
            <w:r>
              <w:br/>
            </w:r>
            <w:r>
              <w:rPr>
                <w:rFonts w:ascii="Times New Roman"/>
                <w:b w:val="false"/>
                <w:i w:val="false"/>
                <w:color w:val="000000"/>
                <w:sz w:val="20"/>
              </w:rPr>
              <w:t>
</w:t>
            </w:r>
            <w:r>
              <w:rPr>
                <w:rFonts w:ascii="Times New Roman"/>
                <w:b w:val="false"/>
                <w:i w:val="false"/>
                <w:color w:val="000000"/>
                <w:sz w:val="20"/>
              </w:rPr>
              <w:t>в) обеспечение внедрения и поддержания программ первичного и последующего обучения для всего персонала, вовлеченного в процесс дистрибьюции;</w:t>
            </w:r>
            <w:r>
              <w:br/>
            </w:r>
            <w:r>
              <w:rPr>
                <w:rFonts w:ascii="Times New Roman"/>
                <w:b w:val="false"/>
                <w:i w:val="false"/>
                <w:color w:val="000000"/>
                <w:sz w:val="20"/>
              </w:rPr>
              <w:t>
</w:t>
            </w:r>
            <w:r>
              <w:rPr>
                <w:rFonts w:ascii="Times New Roman"/>
                <w:b w:val="false"/>
                <w:i w:val="false"/>
                <w:color w:val="000000"/>
                <w:sz w:val="20"/>
              </w:rPr>
              <w:t>г) координирование и своевременная организация отзыва лекарственных средств из обращения;</w:t>
            </w:r>
            <w:r>
              <w:br/>
            </w:r>
            <w:r>
              <w:rPr>
                <w:rFonts w:ascii="Times New Roman"/>
                <w:b w:val="false"/>
                <w:i w:val="false"/>
                <w:color w:val="000000"/>
                <w:sz w:val="20"/>
              </w:rPr>
              <w:t>
</w:t>
            </w:r>
            <w:r>
              <w:rPr>
                <w:rFonts w:ascii="Times New Roman"/>
                <w:b w:val="false"/>
                <w:i w:val="false"/>
                <w:color w:val="000000"/>
                <w:sz w:val="20"/>
              </w:rPr>
              <w:t>д) обеспечение эффективной работы с претензиями покупателей (получателей);</w:t>
            </w:r>
            <w:r>
              <w:br/>
            </w:r>
            <w:r>
              <w:rPr>
                <w:rFonts w:ascii="Times New Roman"/>
                <w:b w:val="false"/>
                <w:i w:val="false"/>
                <w:color w:val="000000"/>
                <w:sz w:val="20"/>
              </w:rPr>
              <w:t>
</w:t>
            </w:r>
            <w:r>
              <w:rPr>
                <w:rFonts w:ascii="Times New Roman"/>
                <w:b w:val="false"/>
                <w:i w:val="false"/>
                <w:color w:val="000000"/>
                <w:sz w:val="20"/>
              </w:rPr>
              <w:t>е) утверждение поставщиков и получателей;</w:t>
            </w:r>
            <w:r>
              <w:br/>
            </w:r>
            <w:r>
              <w:rPr>
                <w:rFonts w:ascii="Times New Roman"/>
                <w:b w:val="false"/>
                <w:i w:val="false"/>
                <w:color w:val="000000"/>
                <w:sz w:val="20"/>
              </w:rPr>
              <w:t>
</w:t>
            </w:r>
            <w:r>
              <w:rPr>
                <w:rFonts w:ascii="Times New Roman"/>
                <w:b w:val="false"/>
                <w:i w:val="false"/>
                <w:color w:val="000000"/>
                <w:sz w:val="20"/>
              </w:rPr>
              <w:t>ж) утверждение передачи на аутсорсинг деятельности, потенциально влияющей на соблюдение надлежащей дистрибьюторской практики;</w:t>
            </w:r>
            <w:r>
              <w:br/>
            </w:r>
            <w:r>
              <w:rPr>
                <w:rFonts w:ascii="Times New Roman"/>
                <w:b w:val="false"/>
                <w:i w:val="false"/>
                <w:color w:val="000000"/>
                <w:sz w:val="20"/>
              </w:rPr>
              <w:t>
</w:t>
            </w:r>
            <w:r>
              <w:rPr>
                <w:rFonts w:ascii="Times New Roman"/>
                <w:b w:val="false"/>
                <w:i w:val="false"/>
                <w:color w:val="000000"/>
                <w:sz w:val="20"/>
              </w:rPr>
              <w:t>з) обеспечение проведения самоинспекций в соответствии с установленной периодичностью и подготовленной программой, а также принятия необходимых корректирующих мер;</w:t>
            </w:r>
            <w:r>
              <w:br/>
            </w:r>
            <w:r>
              <w:rPr>
                <w:rFonts w:ascii="Times New Roman"/>
                <w:b w:val="false"/>
                <w:i w:val="false"/>
                <w:color w:val="000000"/>
                <w:sz w:val="20"/>
              </w:rPr>
              <w:t>
</w:t>
            </w:r>
            <w:r>
              <w:rPr>
                <w:rFonts w:ascii="Times New Roman"/>
                <w:b w:val="false"/>
                <w:i w:val="false"/>
                <w:color w:val="000000"/>
                <w:sz w:val="20"/>
              </w:rPr>
              <w:t>и) хранение необходимых записей, относящихся к делегированным обязанностям;</w:t>
            </w:r>
            <w:r>
              <w:br/>
            </w:r>
            <w:r>
              <w:rPr>
                <w:rFonts w:ascii="Times New Roman"/>
                <w:b w:val="false"/>
                <w:i w:val="false"/>
                <w:color w:val="000000"/>
                <w:sz w:val="20"/>
              </w:rPr>
              <w:t>
</w:t>
            </w:r>
            <w:r>
              <w:rPr>
                <w:rFonts w:ascii="Times New Roman"/>
                <w:b w:val="false"/>
                <w:i w:val="false"/>
                <w:color w:val="000000"/>
                <w:sz w:val="20"/>
              </w:rPr>
              <w:t>к) принятие решений относительно возвращенных, отозванных, отклоненных, признанных недоброкачественными, фальсифицированных лекарственных средств;</w:t>
            </w:r>
            <w:r>
              <w:br/>
            </w:r>
            <w:r>
              <w:rPr>
                <w:rFonts w:ascii="Times New Roman"/>
                <w:b w:val="false"/>
                <w:i w:val="false"/>
                <w:color w:val="000000"/>
                <w:sz w:val="20"/>
              </w:rPr>
              <w:t>
л) одобрение возвращения лекарственных средств в категорию пригодных для реализации;</w:t>
            </w:r>
          </w:p>
          <w:bookmarkEnd w:id="37"/>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8"/>
          <w:p>
            <w:pPr>
              <w:spacing w:after="20"/>
              <w:ind w:left="20"/>
              <w:jc w:val="both"/>
            </w:pPr>
            <w:r>
              <w:rPr>
                <w:rFonts w:ascii="Times New Roman"/>
                <w:b w:val="false"/>
                <w:i w:val="false"/>
                <w:color w:val="000000"/>
                <w:sz w:val="20"/>
              </w:rPr>
              <w:t>
2.3. Прочий персонал</w:t>
            </w:r>
            <w:r>
              <w:br/>
            </w:r>
            <w:r>
              <w:rPr>
                <w:rFonts w:ascii="Times New Roman"/>
                <w:b w:val="false"/>
                <w:i w:val="false"/>
                <w:color w:val="000000"/>
                <w:sz w:val="20"/>
              </w:rPr>
              <w:t>
</w:t>
            </w:r>
            <w:r>
              <w:rPr>
                <w:rFonts w:ascii="Times New Roman"/>
                <w:b w:val="false"/>
                <w:i w:val="false"/>
                <w:color w:val="000000"/>
                <w:sz w:val="20"/>
              </w:rPr>
              <w:t>22. Дистрибьютор имеет достаточное количество квалифицированных работников, вовлеченных в деятельность по дистрибьюции лекарственных средств на всех ее этапах. Количество работников определяется объемами выполняемых работ и требованиями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23. Организационная структура дистрибьютора оформляется в виде схемы и утверждается руководителем. Функции, обязанности и взаимодействие работников четко обозначены.</w:t>
            </w:r>
            <w:r>
              <w:br/>
            </w:r>
            <w:r>
              <w:rPr>
                <w:rFonts w:ascii="Times New Roman"/>
                <w:b w:val="false"/>
                <w:i w:val="false"/>
                <w:color w:val="000000"/>
                <w:sz w:val="20"/>
              </w:rPr>
              <w:t>
24. На работников составляются должностные инструкции, в которых определяются их должностные обязанности, а также порядок их замещения другими работниками.</w:t>
            </w:r>
          </w:p>
          <w:bookmarkEnd w:id="38"/>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39"/>
          <w:p>
            <w:pPr>
              <w:spacing w:after="20"/>
              <w:ind w:left="20"/>
              <w:jc w:val="both"/>
            </w:pPr>
            <w:r>
              <w:rPr>
                <w:rFonts w:ascii="Times New Roman"/>
                <w:b w:val="false"/>
                <w:i w:val="false"/>
                <w:color w:val="000000"/>
                <w:sz w:val="20"/>
              </w:rPr>
              <w:t>
2.4. Обучение</w:t>
            </w:r>
            <w:r>
              <w:br/>
            </w:r>
            <w:r>
              <w:rPr>
                <w:rFonts w:ascii="Times New Roman"/>
                <w:b w:val="false"/>
                <w:i w:val="false"/>
                <w:color w:val="000000"/>
                <w:sz w:val="20"/>
              </w:rPr>
              <w:t>
</w:t>
            </w:r>
            <w:r>
              <w:rPr>
                <w:rFonts w:ascii="Times New Roman"/>
                <w:b w:val="false"/>
                <w:i w:val="false"/>
                <w:color w:val="000000"/>
                <w:sz w:val="20"/>
              </w:rPr>
              <w:t>25. Все работники, вовлеченные в деятельность по дистрибьюции лекарственных средств, проходят обучение по вопросам, касающимся надлежащей дистрибьюторской практики, имеют необходимую квалификацию до начала выполнения своих должностных обязанностей.</w:t>
            </w:r>
            <w:r>
              <w:br/>
            </w:r>
            <w:r>
              <w:rPr>
                <w:rFonts w:ascii="Times New Roman"/>
                <w:b w:val="false"/>
                <w:i w:val="false"/>
                <w:color w:val="000000"/>
                <w:sz w:val="20"/>
              </w:rPr>
              <w:t>
</w:t>
            </w:r>
            <w:r>
              <w:rPr>
                <w:rFonts w:ascii="Times New Roman"/>
                <w:b w:val="false"/>
                <w:i w:val="false"/>
                <w:color w:val="000000"/>
                <w:sz w:val="20"/>
              </w:rPr>
              <w:t>Работники проходят первичное и последующее обучение в соответствии с выполняемыми ими обязанностями на основании письменно оформленных процедур и программы обучения. Ответственное лицо поддерживает компетентность персонала в области надлежащей дистрибьюторской практики посредством регулярного обучения.</w:t>
            </w:r>
            <w:r>
              <w:br/>
            </w:r>
            <w:r>
              <w:rPr>
                <w:rFonts w:ascii="Times New Roman"/>
                <w:b w:val="false"/>
                <w:i w:val="false"/>
                <w:color w:val="000000"/>
                <w:sz w:val="20"/>
              </w:rPr>
              <w:t>
</w:t>
            </w:r>
            <w:r>
              <w:rPr>
                <w:rFonts w:ascii="Times New Roman"/>
                <w:b w:val="false"/>
                <w:i w:val="false"/>
                <w:color w:val="000000"/>
                <w:sz w:val="20"/>
              </w:rPr>
              <w:t>Дополнительно обучение включает аспекты идентификации продукции и предотвращения попадания в цепь поставки фальсифицированных лекарственных средств.</w:t>
            </w:r>
            <w:r>
              <w:br/>
            </w:r>
            <w:r>
              <w:rPr>
                <w:rFonts w:ascii="Times New Roman"/>
                <w:b w:val="false"/>
                <w:i w:val="false"/>
                <w:color w:val="000000"/>
                <w:sz w:val="20"/>
              </w:rPr>
              <w:t>
</w:t>
            </w:r>
            <w:r>
              <w:rPr>
                <w:rFonts w:ascii="Times New Roman"/>
                <w:b w:val="false"/>
                <w:i w:val="false"/>
                <w:color w:val="000000"/>
                <w:sz w:val="20"/>
              </w:rPr>
              <w:t>26. Персонал, работающий с продукцией, в отношении которой установлены более жесткие условия обращения, проходит специальную подготовку. Примерами такой продукции являются огнеопасные, взрывоопасные, легковоспламеняющиеся, легкогорючие, радиоактивные материалы, лекарственные средства, подлежащие особому контролю в соответствии с законодательством Республики Казахстан, термолабильные лекарственные средства.</w:t>
            </w:r>
            <w:r>
              <w:br/>
            </w:r>
            <w:r>
              <w:rPr>
                <w:rFonts w:ascii="Times New Roman"/>
                <w:b w:val="false"/>
                <w:i w:val="false"/>
                <w:color w:val="000000"/>
                <w:sz w:val="20"/>
              </w:rPr>
              <w:t>
27. Записи о проведении обучения подлежат хранению, а эффективность обучения периодически оценивается и документируется.</w:t>
            </w:r>
          </w:p>
          <w:bookmarkEnd w:id="3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0"/>
          <w:p>
            <w:pPr>
              <w:spacing w:after="20"/>
              <w:ind w:left="20"/>
              <w:jc w:val="both"/>
            </w:pPr>
            <w:r>
              <w:rPr>
                <w:rFonts w:ascii="Times New Roman"/>
                <w:b w:val="false"/>
                <w:i w:val="false"/>
                <w:color w:val="000000"/>
                <w:sz w:val="20"/>
              </w:rPr>
              <w:t>
2.5. Гигиена</w:t>
            </w:r>
            <w:r>
              <w:br/>
            </w:r>
            <w:r>
              <w:rPr>
                <w:rFonts w:ascii="Times New Roman"/>
                <w:b w:val="false"/>
                <w:i w:val="false"/>
                <w:color w:val="000000"/>
                <w:sz w:val="20"/>
              </w:rPr>
              <w:t>
28. Устанавливаются и соблюдаются соответствующие процедуры по гигиене труда и личной гигиене работников, применимые к осуществляемой деятельности. Эти процедуры включают требования, относящиеся к здоровью, гигиене и одежде.</w:t>
            </w:r>
          </w:p>
          <w:bookmarkEnd w:id="40"/>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1"/>
          <w:p>
            <w:pPr>
              <w:spacing w:after="20"/>
              <w:ind w:left="20"/>
              <w:jc w:val="both"/>
            </w:pPr>
            <w:r>
              <w:rPr>
                <w:rFonts w:ascii="Times New Roman"/>
                <w:b w:val="false"/>
                <w:i w:val="false"/>
                <w:color w:val="000000"/>
                <w:sz w:val="20"/>
              </w:rPr>
              <w:t>
3.1. Принцип</w:t>
            </w:r>
            <w:r>
              <w:br/>
            </w:r>
            <w:r>
              <w:rPr>
                <w:rFonts w:ascii="Times New Roman"/>
                <w:b w:val="false"/>
                <w:i w:val="false"/>
                <w:color w:val="000000"/>
                <w:sz w:val="20"/>
              </w:rPr>
              <w:t>
29. Дистрибьютор имеет пригодные помещения, оборудование для обеспечения надлежащего хранения и распространения лекарственных средств. Помещения содержатся чистыми, сухими, в них поддерживается требуемые температурный режим и влажность.</w:t>
            </w:r>
          </w:p>
          <w:bookmarkEnd w:id="41"/>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42"/>
          <w:p>
            <w:pPr>
              <w:spacing w:after="20"/>
              <w:ind w:left="20"/>
              <w:jc w:val="both"/>
            </w:pPr>
            <w:r>
              <w:rPr>
                <w:rFonts w:ascii="Times New Roman"/>
                <w:b w:val="false"/>
                <w:i w:val="false"/>
                <w:color w:val="000000"/>
                <w:sz w:val="20"/>
              </w:rPr>
              <w:t>
3.2. Помещения</w:t>
            </w:r>
            <w:r>
              <w:br/>
            </w:r>
            <w:r>
              <w:rPr>
                <w:rFonts w:ascii="Times New Roman"/>
                <w:b w:val="false"/>
                <w:i w:val="false"/>
                <w:color w:val="000000"/>
                <w:sz w:val="20"/>
              </w:rPr>
              <w:t>
</w:t>
            </w:r>
            <w:r>
              <w:rPr>
                <w:rFonts w:ascii="Times New Roman"/>
                <w:b w:val="false"/>
                <w:i w:val="false"/>
                <w:color w:val="000000"/>
                <w:sz w:val="20"/>
              </w:rPr>
              <w:t>30. Помещения спроектированы или приспособлены таким образом, чтобы обеспечить соблюдение требуемых условий хранения. Они являются защищенными, прочными и обладают достаточной вместимостью для безопасного хранения лекарственных средств и обращения с ними. Для обеспечения точности и безопасности всех проводимых операций зоны хранения имеют надлежащую освещенность.</w:t>
            </w:r>
            <w:r>
              <w:br/>
            </w:r>
            <w:r>
              <w:rPr>
                <w:rFonts w:ascii="Times New Roman"/>
                <w:b w:val="false"/>
                <w:i w:val="false"/>
                <w:color w:val="000000"/>
                <w:sz w:val="20"/>
              </w:rPr>
              <w:t>
</w:t>
            </w:r>
            <w:r>
              <w:rPr>
                <w:rFonts w:ascii="Times New Roman"/>
                <w:b w:val="false"/>
                <w:i w:val="false"/>
                <w:color w:val="000000"/>
                <w:sz w:val="20"/>
              </w:rPr>
              <w:t>31. В случае если помещение не принадлежит непосредственно дистрибьютору, данное помещение используется дистрибьютором по договору аренды (субаренды) либо на основании иного вещного (имущественного) или обязательственного права.</w:t>
            </w:r>
            <w:r>
              <w:br/>
            </w:r>
            <w:r>
              <w:rPr>
                <w:rFonts w:ascii="Times New Roman"/>
                <w:b w:val="false"/>
                <w:i w:val="false"/>
                <w:color w:val="000000"/>
                <w:sz w:val="20"/>
              </w:rPr>
              <w:t>
</w:t>
            </w:r>
            <w:r>
              <w:rPr>
                <w:rFonts w:ascii="Times New Roman"/>
                <w:b w:val="false"/>
                <w:i w:val="false"/>
                <w:color w:val="000000"/>
                <w:sz w:val="20"/>
              </w:rPr>
              <w:t>32. Лекарственные средства хранятся соответствующим образом в выделенных и четко обозначенных зонах, доступ в которые разрешен только персоналу, имеющему на это право. Любая система, заменяющая физическое разделение зон хранения (например, компьютеризированная система), обеспечивает эквивалентный уровень безопасности и валидируется.</w:t>
            </w:r>
            <w:r>
              <w:br/>
            </w:r>
            <w:r>
              <w:rPr>
                <w:rFonts w:ascii="Times New Roman"/>
                <w:b w:val="false"/>
                <w:i w:val="false"/>
                <w:color w:val="000000"/>
                <w:sz w:val="20"/>
              </w:rPr>
              <w:t>
</w:t>
            </w:r>
            <w:r>
              <w:rPr>
                <w:rFonts w:ascii="Times New Roman"/>
                <w:b w:val="false"/>
                <w:i w:val="false"/>
                <w:color w:val="000000"/>
                <w:sz w:val="20"/>
              </w:rPr>
              <w:t>Лекарственные средства, в отношении которых не принято окончательное решение об обращении или обращение которых приостановлено, изолируются либо физически, либо с применением электронной системы, обеспечивающей эквивалентное разделение. Данное требование относится, например, к любой продукции с подозрением на фальсификацию и к возвращенной продукции.</w:t>
            </w:r>
            <w:r>
              <w:br/>
            </w:r>
            <w:r>
              <w:rPr>
                <w:rFonts w:ascii="Times New Roman"/>
                <w:b w:val="false"/>
                <w:i w:val="false"/>
                <w:color w:val="000000"/>
                <w:sz w:val="20"/>
              </w:rPr>
              <w:t>
</w:t>
            </w:r>
            <w:r>
              <w:rPr>
                <w:rFonts w:ascii="Times New Roman"/>
                <w:b w:val="false"/>
                <w:i w:val="false"/>
                <w:color w:val="000000"/>
                <w:sz w:val="20"/>
              </w:rPr>
              <w:t>Любая фальсифицированная продукция, продукция с истекшим сроком годности, отозванная продукция, а также забракованная (отклоненная в цепи поставки) продукция немедленно физически изолируется и размещается в специально выделенной зоне, отделенной от других лекарственных средств, пригодных для дистрибьюции. Лекарственные средства, полученные из третьих стран и не предназначенные для обращения на рынке, также физически изолируются.</w:t>
            </w:r>
            <w:r>
              <w:br/>
            </w:r>
            <w:r>
              <w:rPr>
                <w:rFonts w:ascii="Times New Roman"/>
                <w:b w:val="false"/>
                <w:i w:val="false"/>
                <w:color w:val="000000"/>
                <w:sz w:val="20"/>
              </w:rPr>
              <w:t>
</w:t>
            </w:r>
            <w:r>
              <w:rPr>
                <w:rFonts w:ascii="Times New Roman"/>
                <w:b w:val="false"/>
                <w:i w:val="false"/>
                <w:color w:val="000000"/>
                <w:sz w:val="20"/>
              </w:rPr>
              <w:t>Предпринятые меры безопасности гарантируют, что данные зоны обеспечивают хранение продукции отдельно от лекарственных средств, пригодных для дистрибьюции, и в условиях, исключающих их поступление в свободное обращение. Данные зоны идентифицированы (обозначены) надлежащим образом и защищены от неправомерного доступа.</w:t>
            </w:r>
            <w:r>
              <w:br/>
            </w:r>
            <w:r>
              <w:rPr>
                <w:rFonts w:ascii="Times New Roman"/>
                <w:b w:val="false"/>
                <w:i w:val="false"/>
                <w:color w:val="000000"/>
                <w:sz w:val="20"/>
              </w:rPr>
              <w:t>
</w:t>
            </w:r>
            <w:r>
              <w:rPr>
                <w:rFonts w:ascii="Times New Roman"/>
                <w:b w:val="false"/>
                <w:i w:val="false"/>
                <w:color w:val="000000"/>
                <w:sz w:val="20"/>
              </w:rPr>
              <w:t>Лекарственные средства, требующие особого обращения (например, наркотические средства, психотропные вещества и прекурсоры, яды (ядовитые вещества), другие опасные вещества, хранятся в условиях, соответствующих требованиям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Радиофармацевтические и другие опасные лекарственные средства, а также огнеопасные и взрывоопасные лекарственные средства (например, медицинские газы, легковоспламеняющиеся жидкости и твердые вещества) хранятся в специально отведенных зонах в соответствии с законодательством Республики Казахстан с применением соответствующих мер безопасности и защищены от неправомерного доступа.</w:t>
            </w:r>
            <w:r>
              <w:br/>
            </w:r>
            <w:r>
              <w:rPr>
                <w:rFonts w:ascii="Times New Roman"/>
                <w:b w:val="false"/>
                <w:i w:val="false"/>
                <w:color w:val="000000"/>
                <w:sz w:val="20"/>
              </w:rPr>
              <w:t>
</w:t>
            </w:r>
            <w:r>
              <w:rPr>
                <w:rFonts w:ascii="Times New Roman"/>
                <w:b w:val="false"/>
                <w:i w:val="false"/>
                <w:color w:val="000000"/>
                <w:sz w:val="20"/>
              </w:rPr>
              <w:t>33. В зонах приемки и отгрузки обеспечивается защита от воздействия погодных условий, адекватное разделение зон приемки, отгрузки и хранения, а также разрабатываются процедуры, определяющие порядок осуществления контроля за входящими и исходящими потоками лекарственных средств. Специально определяются и обеспечиваются надлежащим оборудованием зоны приемки, используемые для проверки полученной продукции.</w:t>
            </w:r>
            <w:r>
              <w:br/>
            </w:r>
            <w:r>
              <w:rPr>
                <w:rFonts w:ascii="Times New Roman"/>
                <w:b w:val="false"/>
                <w:i w:val="false"/>
                <w:color w:val="000000"/>
                <w:sz w:val="20"/>
              </w:rPr>
              <w:t>
</w:t>
            </w:r>
            <w:r>
              <w:rPr>
                <w:rFonts w:ascii="Times New Roman"/>
                <w:b w:val="false"/>
                <w:i w:val="false"/>
                <w:color w:val="000000"/>
                <w:sz w:val="20"/>
              </w:rPr>
              <w:t>В зоне приемки предусмотрена очистка тары.</w:t>
            </w:r>
            <w:r>
              <w:br/>
            </w:r>
            <w:r>
              <w:rPr>
                <w:rFonts w:ascii="Times New Roman"/>
                <w:b w:val="false"/>
                <w:i w:val="false"/>
                <w:color w:val="000000"/>
                <w:sz w:val="20"/>
              </w:rPr>
              <w:t>
</w:t>
            </w:r>
            <w:r>
              <w:rPr>
                <w:rFonts w:ascii="Times New Roman"/>
                <w:b w:val="false"/>
                <w:i w:val="false"/>
                <w:color w:val="000000"/>
                <w:sz w:val="20"/>
              </w:rPr>
              <w:t>34. Обеспечивается наличие охранной системы, позволяющей предотвращать неправомерное проникновение в любые помещения с контролируемым доступом. Предупредительные меры, как правило, включают в себя охранную сигнализацию с системой мониторинга и пропускной режим. Посетители не находятся в помещениях без сопровождения.</w:t>
            </w:r>
            <w:r>
              <w:br/>
            </w:r>
            <w:r>
              <w:rPr>
                <w:rFonts w:ascii="Times New Roman"/>
                <w:b w:val="false"/>
                <w:i w:val="false"/>
                <w:color w:val="000000"/>
                <w:sz w:val="20"/>
              </w:rPr>
              <w:t>
</w:t>
            </w:r>
            <w:r>
              <w:rPr>
                <w:rFonts w:ascii="Times New Roman"/>
                <w:b w:val="false"/>
                <w:i w:val="false"/>
                <w:color w:val="000000"/>
                <w:sz w:val="20"/>
              </w:rPr>
              <w:t>35. Помещения и оборудование для хранения содержатся чистыми, в них не накапливаются пыль и мусор. В наличии имеются программы, документированные процедуры, записи по очистке помещений и оборудования. Оборудование, инвентарь и материалы, используемые для уборки (очистки), а также моющие и дезинфицирующие средства выбираются, используются и хранятся таким образом, чтобы они не явились источником контаминации.</w:t>
            </w:r>
            <w:r>
              <w:br/>
            </w:r>
            <w:r>
              <w:rPr>
                <w:rFonts w:ascii="Times New Roman"/>
                <w:b w:val="false"/>
                <w:i w:val="false"/>
                <w:color w:val="000000"/>
                <w:sz w:val="20"/>
              </w:rPr>
              <w:t>
</w:t>
            </w:r>
            <w:r>
              <w:rPr>
                <w:rFonts w:ascii="Times New Roman"/>
                <w:b w:val="false"/>
                <w:i w:val="false"/>
                <w:color w:val="000000"/>
                <w:sz w:val="20"/>
              </w:rPr>
              <w:t>36. Помещения спроектированы и оснащены таким образом, чтобы обеспечить защиту от проникновения насекомых, грызунов или других животных. Разработана программа профилактического контроля вредителей.</w:t>
            </w:r>
            <w:r>
              <w:br/>
            </w:r>
            <w:r>
              <w:rPr>
                <w:rFonts w:ascii="Times New Roman"/>
                <w:b w:val="false"/>
                <w:i w:val="false"/>
                <w:color w:val="000000"/>
                <w:sz w:val="20"/>
              </w:rPr>
              <w:t>
37. Комнаты отдыха, гардеробные комнаты, душевые и туалеты для работников надлежащим образом отделены от зон хранения. Наличие пищевых продуктов, напитков, табачных изделий, а также лекарственных средств для личного использования в помещениях склада запрещено.</w:t>
            </w:r>
          </w:p>
          <w:bookmarkEnd w:id="42"/>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3"/>
          <w:p>
            <w:pPr>
              <w:spacing w:after="20"/>
              <w:ind w:left="20"/>
              <w:jc w:val="both"/>
            </w:pPr>
            <w:r>
              <w:rPr>
                <w:rFonts w:ascii="Times New Roman"/>
                <w:b w:val="false"/>
                <w:i w:val="false"/>
                <w:color w:val="000000"/>
                <w:sz w:val="20"/>
              </w:rPr>
              <w:t>
3.2.1. Контроль за температурой и условиями производственной среды помещения</w:t>
            </w:r>
            <w:r>
              <w:br/>
            </w:r>
            <w:r>
              <w:rPr>
                <w:rFonts w:ascii="Times New Roman"/>
                <w:b w:val="false"/>
                <w:i w:val="false"/>
                <w:color w:val="000000"/>
                <w:sz w:val="20"/>
              </w:rPr>
              <w:t>
</w:t>
            </w:r>
            <w:r>
              <w:rPr>
                <w:rFonts w:ascii="Times New Roman"/>
                <w:b w:val="false"/>
                <w:i w:val="false"/>
                <w:color w:val="000000"/>
                <w:sz w:val="20"/>
              </w:rPr>
              <w:t>38. В наличии имеется соответствующее оборудование, а также регламентирующие процедуры, документы (например, стандартные операционные процедуры) для контроля за условиями производственной среды помещения.</w:t>
            </w:r>
            <w:r>
              <w:br/>
            </w:r>
            <w:r>
              <w:rPr>
                <w:rFonts w:ascii="Times New Roman"/>
                <w:b w:val="false"/>
                <w:i w:val="false"/>
                <w:color w:val="000000"/>
                <w:sz w:val="20"/>
              </w:rPr>
              <w:t>
</w:t>
            </w:r>
            <w:r>
              <w:rPr>
                <w:rFonts w:ascii="Times New Roman"/>
                <w:b w:val="false"/>
                <w:i w:val="false"/>
                <w:color w:val="000000"/>
                <w:sz w:val="20"/>
              </w:rPr>
              <w:t>К условиям производственной среды помещения, к которым требуется контроль, относятся температура, освещенность, влажность и чистота в помещениях.</w:t>
            </w:r>
            <w:r>
              <w:br/>
            </w:r>
            <w:r>
              <w:rPr>
                <w:rFonts w:ascii="Times New Roman"/>
                <w:b w:val="false"/>
                <w:i w:val="false"/>
                <w:color w:val="000000"/>
                <w:sz w:val="20"/>
              </w:rPr>
              <w:t>
</w:t>
            </w:r>
            <w:r>
              <w:rPr>
                <w:rFonts w:ascii="Times New Roman"/>
                <w:b w:val="false"/>
                <w:i w:val="false"/>
                <w:color w:val="000000"/>
                <w:sz w:val="20"/>
              </w:rPr>
              <w:t>39. Выполняется первоначальное изучение распределения температуры (температурное картирование) в помещениях для хранения перед началом их использования с соблюдением условий, отражающих параметры эксплуатации. Оборудование для контроля температуры размещено в соответствии с результатами анализа температурного картирования в точках наиболее значительного колебания температуры.</w:t>
            </w:r>
            <w:r>
              <w:br/>
            </w:r>
            <w:r>
              <w:rPr>
                <w:rFonts w:ascii="Times New Roman"/>
                <w:b w:val="false"/>
                <w:i w:val="false"/>
                <w:color w:val="000000"/>
                <w:sz w:val="20"/>
              </w:rPr>
              <w:t>
</w:t>
            </w:r>
            <w:r>
              <w:rPr>
                <w:rFonts w:ascii="Times New Roman"/>
                <w:b w:val="false"/>
                <w:i w:val="false"/>
                <w:color w:val="000000"/>
                <w:sz w:val="20"/>
              </w:rPr>
              <w:t>Температурное картирование повторяют в соответствии с результатами анализа рисков или в случае существенных изменений в устройстве помещения или оборудовании для контроля температуры.</w:t>
            </w:r>
            <w:r>
              <w:br/>
            </w:r>
            <w:r>
              <w:rPr>
                <w:rFonts w:ascii="Times New Roman"/>
                <w:b w:val="false"/>
                <w:i w:val="false"/>
                <w:color w:val="000000"/>
                <w:sz w:val="20"/>
              </w:rPr>
              <w:t>
В случае если площадь помещений, используемых для хранения при комнатной температуре, не превышает нескольких квадратных метров, проводится анализ потенциальных рисков (например, наличия отопительных приборов) и оборудование для контроля температуры размещается в соответствии с результатами анализа.</w:t>
            </w:r>
          </w:p>
          <w:bookmarkEnd w:id="43"/>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44"/>
          <w:p>
            <w:pPr>
              <w:spacing w:after="20"/>
              <w:ind w:left="20"/>
              <w:jc w:val="both"/>
            </w:pPr>
            <w:r>
              <w:rPr>
                <w:rFonts w:ascii="Times New Roman"/>
                <w:b w:val="false"/>
                <w:i w:val="false"/>
                <w:color w:val="000000"/>
                <w:sz w:val="20"/>
              </w:rPr>
              <w:t>
3.3. Оборудование</w:t>
            </w:r>
            <w:r>
              <w:br/>
            </w:r>
            <w:r>
              <w:rPr>
                <w:rFonts w:ascii="Times New Roman"/>
                <w:b w:val="false"/>
                <w:i w:val="false"/>
                <w:color w:val="000000"/>
                <w:sz w:val="20"/>
              </w:rPr>
              <w:t>
</w:t>
            </w:r>
            <w:r>
              <w:rPr>
                <w:rFonts w:ascii="Times New Roman"/>
                <w:b w:val="false"/>
                <w:i w:val="false"/>
                <w:color w:val="000000"/>
                <w:sz w:val="20"/>
              </w:rPr>
              <w:t>40. Оборудование, оказывающее влияние на хранение и реализацию лекарственных средств, проектируется, размещается и обслуживается согласно инструкциям по его использованию (эксплуатации). Утверждается план технического обслуживания наиболее значимого для выполнения соответствующих операций оборудования.</w:t>
            </w:r>
            <w:r>
              <w:br/>
            </w:r>
            <w:r>
              <w:rPr>
                <w:rFonts w:ascii="Times New Roman"/>
                <w:b w:val="false"/>
                <w:i w:val="false"/>
                <w:color w:val="000000"/>
                <w:sz w:val="20"/>
              </w:rPr>
              <w:t>
</w:t>
            </w:r>
            <w:r>
              <w:rPr>
                <w:rFonts w:ascii="Times New Roman"/>
                <w:b w:val="false"/>
                <w:i w:val="false"/>
                <w:color w:val="000000"/>
                <w:sz w:val="20"/>
              </w:rPr>
              <w:t>41. Оборудование (средства измерений), используемое для контроля или мониторинга условий хранения лекарственных средств, поверено в порядке, установленном законодательством Республики Казахстан, и откалибровано в определенные межповерочные интервалы исходя из анализа рисков и надежности оборудования.</w:t>
            </w:r>
            <w:r>
              <w:br/>
            </w:r>
            <w:r>
              <w:rPr>
                <w:rFonts w:ascii="Times New Roman"/>
                <w:b w:val="false"/>
                <w:i w:val="false"/>
                <w:color w:val="000000"/>
                <w:sz w:val="20"/>
              </w:rPr>
              <w:t>
</w:t>
            </w:r>
            <w:r>
              <w:rPr>
                <w:rFonts w:ascii="Times New Roman"/>
                <w:b w:val="false"/>
                <w:i w:val="false"/>
                <w:color w:val="000000"/>
                <w:sz w:val="20"/>
              </w:rPr>
              <w:t>При калибровке оборудования обеспечивается метрологическая прослеживаемость используемых эталонов к национальным или международным эталонам единиц величин.</w:t>
            </w:r>
            <w:r>
              <w:br/>
            </w:r>
            <w:r>
              <w:rPr>
                <w:rFonts w:ascii="Times New Roman"/>
                <w:b w:val="false"/>
                <w:i w:val="false"/>
                <w:color w:val="000000"/>
                <w:sz w:val="20"/>
              </w:rPr>
              <w:t>
</w:t>
            </w:r>
            <w:r>
              <w:rPr>
                <w:rFonts w:ascii="Times New Roman"/>
                <w:b w:val="false"/>
                <w:i w:val="false"/>
                <w:color w:val="000000"/>
                <w:sz w:val="20"/>
              </w:rPr>
              <w:t>42. Для оперативного выявления отклонений от требуемых условий хранения используются соответствующие системы сигнализации. Уровень оповещения устанавливается соответствующим образом. Системы сигнализации периодически тестируются для обеспечения их надлежащего функционирования.</w:t>
            </w:r>
            <w:r>
              <w:br/>
            </w:r>
            <w:r>
              <w:rPr>
                <w:rFonts w:ascii="Times New Roman"/>
                <w:b w:val="false"/>
                <w:i w:val="false"/>
                <w:color w:val="000000"/>
                <w:sz w:val="20"/>
              </w:rPr>
              <w:t>
</w:t>
            </w:r>
            <w:r>
              <w:rPr>
                <w:rFonts w:ascii="Times New Roman"/>
                <w:b w:val="false"/>
                <w:i w:val="false"/>
                <w:color w:val="000000"/>
                <w:sz w:val="20"/>
              </w:rPr>
              <w:t>43. Операции по ремонту, обслуживанию, поверке и калибровке оборудования осуществляются таким образом, чтобы качество лекарственных средств не подвергалось негативному влиянию. Создается резервный фонд пригодных оборудования и средств измерений для использования во время ремонта, обслуживания или поверки.</w:t>
            </w:r>
            <w:r>
              <w:br/>
            </w:r>
            <w:r>
              <w:rPr>
                <w:rFonts w:ascii="Times New Roman"/>
                <w:b w:val="false"/>
                <w:i w:val="false"/>
                <w:color w:val="000000"/>
                <w:sz w:val="20"/>
              </w:rPr>
              <w:t>
</w:t>
            </w:r>
            <w:r>
              <w:rPr>
                <w:rFonts w:ascii="Times New Roman"/>
                <w:b w:val="false"/>
                <w:i w:val="false"/>
                <w:color w:val="000000"/>
                <w:sz w:val="20"/>
              </w:rPr>
              <w:t>44. Операции по ремонту, обслуживанию и калибровке наиболее значимого оборудования соответствующим образом документально оформляются, документация сохраняется.</w:t>
            </w:r>
            <w:r>
              <w:br/>
            </w:r>
            <w:r>
              <w:rPr>
                <w:rFonts w:ascii="Times New Roman"/>
                <w:b w:val="false"/>
                <w:i w:val="false"/>
                <w:color w:val="000000"/>
                <w:sz w:val="20"/>
              </w:rPr>
              <w:t>
45. К наиболее значимому оборудованию относятся кондиционеры, холодильные камеры (холодильники) или устройства, охранная и пожарная сигнализация, системы контроля доступа, вентиляционная система, система увлажнения и (или) осушения воздуха, термогигрометры (психрометры) или иное оборудование, используемое для регистрации температуры и влажности, а также оборудование, используемое для транспортировки.</w:t>
            </w:r>
          </w:p>
          <w:bookmarkEnd w:id="44"/>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5"/>
          <w:p>
            <w:pPr>
              <w:spacing w:after="20"/>
              <w:ind w:left="20"/>
              <w:jc w:val="both"/>
            </w:pPr>
            <w:r>
              <w:rPr>
                <w:rFonts w:ascii="Times New Roman"/>
                <w:b w:val="false"/>
                <w:i w:val="false"/>
                <w:color w:val="000000"/>
                <w:sz w:val="20"/>
              </w:rPr>
              <w:t>
3.3.1. Компьютеризированные системы</w:t>
            </w:r>
            <w:r>
              <w:br/>
            </w:r>
            <w:r>
              <w:rPr>
                <w:rFonts w:ascii="Times New Roman"/>
                <w:b w:val="false"/>
                <w:i w:val="false"/>
                <w:color w:val="000000"/>
                <w:sz w:val="20"/>
              </w:rPr>
              <w:t>
</w:t>
            </w:r>
            <w:r>
              <w:rPr>
                <w:rFonts w:ascii="Times New Roman"/>
                <w:b w:val="false"/>
                <w:i w:val="false"/>
                <w:color w:val="000000"/>
                <w:sz w:val="20"/>
              </w:rPr>
              <w:t>46. Перед началом использования компьютеризированной системы с помощью валидации или верификации демонстрируется, что система способна получать заданные результаты точно, единообразно и воспроизводимо.</w:t>
            </w:r>
            <w:r>
              <w:br/>
            </w:r>
            <w:r>
              <w:rPr>
                <w:rFonts w:ascii="Times New Roman"/>
                <w:b w:val="false"/>
                <w:i w:val="false"/>
                <w:color w:val="000000"/>
                <w:sz w:val="20"/>
              </w:rPr>
              <w:t>
</w:t>
            </w:r>
            <w:r>
              <w:rPr>
                <w:rFonts w:ascii="Times New Roman"/>
                <w:b w:val="false"/>
                <w:i w:val="false"/>
                <w:color w:val="000000"/>
                <w:sz w:val="20"/>
              </w:rPr>
              <w:t>47. Имеется в наличии письменное детальное описание компьютеризированной системы (включая по возможности диаграммы). Такое описание поддерживается в актуальном состоянии и включает в себя принципы, цели, меры безопасности, область применения и основные функциональные особенности, а также порядок использования и интерфейс для взаимодействия с другими системами.</w:t>
            </w:r>
            <w:r>
              <w:br/>
            </w:r>
            <w:r>
              <w:rPr>
                <w:rFonts w:ascii="Times New Roman"/>
                <w:b w:val="false"/>
                <w:i w:val="false"/>
                <w:color w:val="000000"/>
                <w:sz w:val="20"/>
              </w:rPr>
              <w:t>
</w:t>
            </w:r>
            <w:r>
              <w:rPr>
                <w:rFonts w:ascii="Times New Roman"/>
                <w:b w:val="false"/>
                <w:i w:val="false"/>
                <w:color w:val="000000"/>
                <w:sz w:val="20"/>
              </w:rPr>
              <w:t>48. Ввод данных в компьютеризированную систему или их изменение осуществляется только работниками, ответственными за данный вид работы. Компьютеризированная система регистрирует все изменения в системе с указанием пользователя, совершающего эти изменения.</w:t>
            </w:r>
            <w:r>
              <w:br/>
            </w:r>
            <w:r>
              <w:rPr>
                <w:rFonts w:ascii="Times New Roman"/>
                <w:b w:val="false"/>
                <w:i w:val="false"/>
                <w:color w:val="000000"/>
                <w:sz w:val="20"/>
              </w:rPr>
              <w:t>
</w:t>
            </w:r>
            <w:r>
              <w:rPr>
                <w:rFonts w:ascii="Times New Roman"/>
                <w:b w:val="false"/>
                <w:i w:val="false"/>
                <w:color w:val="000000"/>
                <w:sz w:val="20"/>
              </w:rPr>
              <w:t>49. Предусмотрены физические или электронные средства для защиты данных от случайного или неправомерного внесения изменений. Доступность сохраненных данных регулярно проверяется. На регулярной основе создают резервные копии сохраненных данных. Резервные копии данных, введенных в компьютеризированную систему, хранятся в соответствии со сроками, установленными законодательством Республики Казахстан, но не менее 5 лет, в изолированном и безопасном месте.</w:t>
            </w:r>
            <w:r>
              <w:br/>
            </w:r>
            <w:r>
              <w:rPr>
                <w:rFonts w:ascii="Times New Roman"/>
                <w:b w:val="false"/>
                <w:i w:val="false"/>
                <w:color w:val="000000"/>
                <w:sz w:val="20"/>
              </w:rPr>
              <w:t>
50. Предусмотрены процедуры, определяющие порядок действий в случае сбоев в работе системы или выхода ее из строя, а также меры по восстановлению данных.</w:t>
            </w:r>
          </w:p>
          <w:bookmarkEnd w:id="45"/>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6"/>
          <w:p>
            <w:pPr>
              <w:spacing w:after="20"/>
              <w:ind w:left="20"/>
              <w:jc w:val="both"/>
            </w:pPr>
            <w:r>
              <w:rPr>
                <w:rFonts w:ascii="Times New Roman"/>
                <w:b w:val="false"/>
                <w:i w:val="false"/>
                <w:color w:val="000000"/>
                <w:sz w:val="20"/>
              </w:rPr>
              <w:t>
3.3.2. Квалификация и валидация</w:t>
            </w:r>
            <w:r>
              <w:br/>
            </w:r>
            <w:r>
              <w:rPr>
                <w:rFonts w:ascii="Times New Roman"/>
                <w:b w:val="false"/>
                <w:i w:val="false"/>
                <w:color w:val="000000"/>
                <w:sz w:val="20"/>
              </w:rPr>
              <w:t>
</w:t>
            </w:r>
            <w:r>
              <w:rPr>
                <w:rFonts w:ascii="Times New Roman"/>
                <w:b w:val="false"/>
                <w:i w:val="false"/>
                <w:color w:val="000000"/>
                <w:sz w:val="20"/>
              </w:rPr>
              <w:t>51. Организация определяет ключевое оборудование и процессы, которые подлежат квалификации и (или) валидации с целью подтверждения надлежащего монтажа и эксплуатации. Объем проводимых работ по квалификации и (или) валидации (например, хранение, подготовка к отгрузке и упаковка) определяется на основе документально оформленного анализа рисков.</w:t>
            </w:r>
            <w:r>
              <w:br/>
            </w:r>
            <w:r>
              <w:rPr>
                <w:rFonts w:ascii="Times New Roman"/>
                <w:b w:val="false"/>
                <w:i w:val="false"/>
                <w:color w:val="000000"/>
                <w:sz w:val="20"/>
              </w:rPr>
              <w:t>
</w:t>
            </w:r>
            <w:r>
              <w:rPr>
                <w:rFonts w:ascii="Times New Roman"/>
                <w:b w:val="false"/>
                <w:i w:val="false"/>
                <w:color w:val="000000"/>
                <w:sz w:val="20"/>
              </w:rPr>
              <w:t>Оборудование и процессы квалифицированы и (или) валидированы до начала эксплуатации или после любого значительного изменения (например, после ремонта или технического обслуживания).</w:t>
            </w:r>
            <w:r>
              <w:br/>
            </w:r>
            <w:r>
              <w:rPr>
                <w:rFonts w:ascii="Times New Roman"/>
                <w:b w:val="false"/>
                <w:i w:val="false"/>
                <w:color w:val="000000"/>
                <w:sz w:val="20"/>
              </w:rPr>
              <w:t>
</w:t>
            </w:r>
            <w:r>
              <w:rPr>
                <w:rFonts w:ascii="Times New Roman"/>
                <w:b w:val="false"/>
                <w:i w:val="false"/>
                <w:color w:val="000000"/>
                <w:sz w:val="20"/>
              </w:rPr>
              <w:t>Проведение валидации или квалификации оформляется отчетами, в которых обобщены полученные результаты, а также даны объяснения выявленным отклонениям.</w:t>
            </w:r>
            <w:r>
              <w:br/>
            </w:r>
            <w:r>
              <w:rPr>
                <w:rFonts w:ascii="Times New Roman"/>
                <w:b w:val="false"/>
                <w:i w:val="false"/>
                <w:color w:val="000000"/>
                <w:sz w:val="20"/>
              </w:rPr>
              <w:t>
52. Отклонения от установленных процедур документально оформляются, разрабатываются меры, направленные на их устранение, а также на предотвращение их появления в будущем (корректирующие и предупреждающие действия). Необходимость осуществления корректирующих и предупреждающих действий определяется на основе статистического прогнозирования (применение Байесовских моделей прогнозирования), применения концепции анализа фармацевтических рисков и инструментов по управлению рисками, приведенных в Стандарте надлежащей производственной практики (GMP). Получены доказательства успешной валидации и приемлемости процесса или оборудования, которые утверждаются соответствующими работниками.</w:t>
            </w:r>
          </w:p>
          <w:bookmarkEnd w:id="46"/>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7"/>
          <w:p>
            <w:pPr>
              <w:spacing w:after="20"/>
              <w:ind w:left="20"/>
              <w:jc w:val="both"/>
            </w:pPr>
            <w:r>
              <w:rPr>
                <w:rFonts w:ascii="Times New Roman"/>
                <w:b w:val="false"/>
                <w:i w:val="false"/>
                <w:color w:val="000000"/>
                <w:sz w:val="20"/>
              </w:rPr>
              <w:t>
4.1. Принцип</w:t>
            </w:r>
            <w:r>
              <w:br/>
            </w:r>
            <w:r>
              <w:rPr>
                <w:rFonts w:ascii="Times New Roman"/>
                <w:b w:val="false"/>
                <w:i w:val="false"/>
                <w:color w:val="000000"/>
                <w:sz w:val="20"/>
              </w:rPr>
              <w:t>
</w:t>
            </w:r>
            <w:r>
              <w:rPr>
                <w:rFonts w:ascii="Times New Roman"/>
                <w:b w:val="false"/>
                <w:i w:val="false"/>
                <w:color w:val="000000"/>
                <w:sz w:val="20"/>
              </w:rPr>
              <w:t>53. Надлежащая документация является неотъемлемой частью системы качества.</w:t>
            </w:r>
            <w:r>
              <w:br/>
            </w:r>
            <w:r>
              <w:rPr>
                <w:rFonts w:ascii="Times New Roman"/>
                <w:b w:val="false"/>
                <w:i w:val="false"/>
                <w:color w:val="000000"/>
                <w:sz w:val="20"/>
              </w:rPr>
              <w:t>
Задачами документации являются предотвращение ошибок, которые возникают вследствие устной коммуникации, и отслеживание отдельных операций в процессе дистрибьюции лекарственных средств.</w:t>
            </w:r>
          </w:p>
          <w:bookmarkEnd w:id="47"/>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8"/>
          <w:p>
            <w:pPr>
              <w:spacing w:after="20"/>
              <w:ind w:left="20"/>
              <w:jc w:val="both"/>
            </w:pPr>
            <w:r>
              <w:rPr>
                <w:rFonts w:ascii="Times New Roman"/>
                <w:b w:val="false"/>
                <w:i w:val="false"/>
                <w:color w:val="000000"/>
                <w:sz w:val="20"/>
              </w:rPr>
              <w:t>
4.2. Общие требования</w:t>
            </w:r>
            <w:r>
              <w:br/>
            </w:r>
            <w:r>
              <w:rPr>
                <w:rFonts w:ascii="Times New Roman"/>
                <w:b w:val="false"/>
                <w:i w:val="false"/>
                <w:color w:val="000000"/>
                <w:sz w:val="20"/>
              </w:rPr>
              <w:t>
</w:t>
            </w:r>
            <w:r>
              <w:rPr>
                <w:rFonts w:ascii="Times New Roman"/>
                <w:b w:val="false"/>
                <w:i w:val="false"/>
                <w:color w:val="000000"/>
                <w:sz w:val="20"/>
              </w:rPr>
              <w:t>54. К документации относятся: письменные процедуры, инструкции, договоры, записи, отчеты, протоколы испытаний и другие бумажные или электронные носители информации, на которых регистрируются данные. Документация легко доступна для персонала дистрибьютора и восстанавливаема.</w:t>
            </w:r>
            <w:r>
              <w:br/>
            </w:r>
            <w:r>
              <w:rPr>
                <w:rFonts w:ascii="Times New Roman"/>
                <w:b w:val="false"/>
                <w:i w:val="false"/>
                <w:color w:val="000000"/>
                <w:sz w:val="20"/>
              </w:rPr>
              <w:t>
</w:t>
            </w:r>
            <w:r>
              <w:rPr>
                <w:rFonts w:ascii="Times New Roman"/>
                <w:b w:val="false"/>
                <w:i w:val="false"/>
                <w:color w:val="000000"/>
                <w:sz w:val="20"/>
              </w:rPr>
              <w:t>55. Обработка персональных данных работников дистрибьютора, лиц, направивших претензии, а также любых других физических лиц осуществляется в соответствии с требованиями законодательства Республики Казахстан, предусматривающими порядок обработки, хранения персональных данных, включая передачу персональных данных третьим лицам.</w:t>
            </w:r>
            <w:r>
              <w:br/>
            </w:r>
            <w:r>
              <w:rPr>
                <w:rFonts w:ascii="Times New Roman"/>
                <w:b w:val="false"/>
                <w:i w:val="false"/>
                <w:color w:val="000000"/>
                <w:sz w:val="20"/>
              </w:rPr>
              <w:t>
</w:t>
            </w:r>
            <w:r>
              <w:rPr>
                <w:rFonts w:ascii="Times New Roman"/>
                <w:b w:val="false"/>
                <w:i w:val="false"/>
                <w:color w:val="000000"/>
                <w:sz w:val="20"/>
              </w:rPr>
              <w:t>56. Документация в достаточной степени охватывает все процессы, выполняемые дистрибьютором, и понятна работникам. Текст документов является однозначным, не допускающим двусмысленных толкований и ошибок.</w:t>
            </w:r>
            <w:r>
              <w:br/>
            </w:r>
            <w:r>
              <w:rPr>
                <w:rFonts w:ascii="Times New Roman"/>
                <w:b w:val="false"/>
                <w:i w:val="false"/>
                <w:color w:val="000000"/>
                <w:sz w:val="20"/>
              </w:rPr>
              <w:t>
</w:t>
            </w:r>
            <w:r>
              <w:rPr>
                <w:rFonts w:ascii="Times New Roman"/>
                <w:b w:val="false"/>
                <w:i w:val="false"/>
                <w:color w:val="000000"/>
                <w:sz w:val="20"/>
              </w:rPr>
              <w:t>57. Процедуры утверждены, подписаны и датированы ответственным лицом. Документация утверждена, подписана и датирована специально назначенными лицами, согласно установленным требованиям. Документация не оформляется от руки. В случаях, когда вносятся рукописные записи предусматривается наличие необходимых полей.</w:t>
            </w:r>
            <w:r>
              <w:br/>
            </w:r>
            <w:r>
              <w:rPr>
                <w:rFonts w:ascii="Times New Roman"/>
                <w:b w:val="false"/>
                <w:i w:val="false"/>
                <w:color w:val="000000"/>
                <w:sz w:val="20"/>
              </w:rPr>
              <w:t>
</w:t>
            </w:r>
            <w:r>
              <w:rPr>
                <w:rFonts w:ascii="Times New Roman"/>
                <w:b w:val="false"/>
                <w:i w:val="false"/>
                <w:color w:val="000000"/>
                <w:sz w:val="20"/>
              </w:rPr>
              <w:t>58. Любые исправления, внесенные в документацию, датированы и подписаны, исправления внесены таким образом, чтобы сохранялась возможность прочтения первоначальных записей. Следует указывать причины внесения исправлений.</w:t>
            </w:r>
            <w:r>
              <w:br/>
            </w:r>
            <w:r>
              <w:rPr>
                <w:rFonts w:ascii="Times New Roman"/>
                <w:b w:val="false"/>
                <w:i w:val="false"/>
                <w:color w:val="000000"/>
                <w:sz w:val="20"/>
              </w:rPr>
              <w:t>
</w:t>
            </w:r>
            <w:r>
              <w:rPr>
                <w:rFonts w:ascii="Times New Roman"/>
                <w:b w:val="false"/>
                <w:i w:val="false"/>
                <w:color w:val="000000"/>
                <w:sz w:val="20"/>
              </w:rPr>
              <w:t>59. Документация подлежит хранению в течение срока, установленного законодательством Республики Казахстан, но не менее 5 лет. Персональные данные работников уничтожаются или обезличиваются, как только их хранение перестает требоваться для целей дистрибьюции лекарственных средств.</w:t>
            </w:r>
            <w:r>
              <w:br/>
            </w:r>
            <w:r>
              <w:rPr>
                <w:rFonts w:ascii="Times New Roman"/>
                <w:b w:val="false"/>
                <w:i w:val="false"/>
                <w:color w:val="000000"/>
                <w:sz w:val="20"/>
              </w:rPr>
              <w:t>
</w:t>
            </w:r>
            <w:r>
              <w:rPr>
                <w:rFonts w:ascii="Times New Roman"/>
                <w:b w:val="false"/>
                <w:i w:val="false"/>
                <w:color w:val="000000"/>
                <w:sz w:val="20"/>
              </w:rPr>
              <w:t>60. Каждый работник имеет оперативный доступ к документации, необходимой для выполнения своих должностных обязанностей.</w:t>
            </w:r>
            <w:r>
              <w:br/>
            </w:r>
            <w:r>
              <w:rPr>
                <w:rFonts w:ascii="Times New Roman"/>
                <w:b w:val="false"/>
                <w:i w:val="false"/>
                <w:color w:val="000000"/>
                <w:sz w:val="20"/>
              </w:rPr>
              <w:t>
</w:t>
            </w:r>
            <w:r>
              <w:rPr>
                <w:rFonts w:ascii="Times New Roman"/>
                <w:b w:val="false"/>
                <w:i w:val="false"/>
                <w:color w:val="000000"/>
                <w:sz w:val="20"/>
              </w:rPr>
              <w:t>61. Особое внимание уделяется использованию действующих и утвержденных в установленном порядке процедур. Четко обозначены наименование и цель документа. Документы регулярно пересматриваются и поддерживаются в актуальном состоянии.</w:t>
            </w:r>
            <w:r>
              <w:br/>
            </w:r>
            <w:r>
              <w:rPr>
                <w:rFonts w:ascii="Times New Roman"/>
                <w:b w:val="false"/>
                <w:i w:val="false"/>
                <w:color w:val="000000"/>
                <w:sz w:val="20"/>
              </w:rPr>
              <w:t>
</w:t>
            </w:r>
            <w:r>
              <w:rPr>
                <w:rFonts w:ascii="Times New Roman"/>
                <w:b w:val="false"/>
                <w:i w:val="false"/>
                <w:color w:val="000000"/>
                <w:sz w:val="20"/>
              </w:rPr>
              <w:t>К процедурам применяется контроль версий. Существует система, предотвращающая непреднамеренное использование утратившей силы редакции документа. Устаревшие и утратившие силу редакции документов, регламентирующих процедуры, изымаются из документооборота и архивируются.</w:t>
            </w:r>
            <w:r>
              <w:br/>
            </w:r>
            <w:r>
              <w:rPr>
                <w:rFonts w:ascii="Times New Roman"/>
                <w:b w:val="false"/>
                <w:i w:val="false"/>
                <w:color w:val="000000"/>
                <w:sz w:val="20"/>
              </w:rPr>
              <w:t>
</w:t>
            </w:r>
            <w:r>
              <w:rPr>
                <w:rFonts w:ascii="Times New Roman"/>
                <w:b w:val="false"/>
                <w:i w:val="false"/>
                <w:color w:val="000000"/>
                <w:sz w:val="20"/>
              </w:rPr>
              <w:t>62. Сохраняются записи, относящиеся к выполнению всех действий, касающихся полученной или поставленной продукции, а также записи по оказанию брокерских услуг (например, заявки, счета, товарные накладные) или другие записи в электронном виде или иной форме.</w:t>
            </w:r>
            <w:r>
              <w:br/>
            </w:r>
            <w:r>
              <w:rPr>
                <w:rFonts w:ascii="Times New Roman"/>
                <w:b w:val="false"/>
                <w:i w:val="false"/>
                <w:color w:val="000000"/>
                <w:sz w:val="20"/>
              </w:rPr>
              <w:t>
</w:t>
            </w:r>
            <w:r>
              <w:rPr>
                <w:rFonts w:ascii="Times New Roman"/>
                <w:b w:val="false"/>
                <w:i w:val="false"/>
                <w:color w:val="000000"/>
                <w:sz w:val="20"/>
              </w:rPr>
              <w:t>Записи включают как минимум следующую информацию: дата, наименование лекарственных средств, количество приобретенных или поставленных лекарственных средств, наименование и адрес поставщика, получателя или грузополучателя (в зависимости от того, что применимо), а также номер серии.</w:t>
            </w:r>
            <w:r>
              <w:br/>
            </w:r>
            <w:r>
              <w:rPr>
                <w:rFonts w:ascii="Times New Roman"/>
                <w:b w:val="false"/>
                <w:i w:val="false"/>
                <w:color w:val="000000"/>
                <w:sz w:val="20"/>
              </w:rPr>
              <w:t>
Записи сделаны непосредственно в момент осуществления соответствующих операций.</w:t>
            </w:r>
          </w:p>
          <w:bookmarkEnd w:id="48"/>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дистрибьюции лекарственных средств</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9"/>
          <w:p>
            <w:pPr>
              <w:spacing w:after="20"/>
              <w:ind w:left="20"/>
              <w:jc w:val="both"/>
            </w:pPr>
            <w:r>
              <w:rPr>
                <w:rFonts w:ascii="Times New Roman"/>
                <w:b w:val="false"/>
                <w:i w:val="false"/>
                <w:color w:val="000000"/>
                <w:sz w:val="20"/>
              </w:rPr>
              <w:t>
5.1. Принцип</w:t>
            </w:r>
            <w:r>
              <w:br/>
            </w:r>
            <w:r>
              <w:rPr>
                <w:rFonts w:ascii="Times New Roman"/>
                <w:b w:val="false"/>
                <w:i w:val="false"/>
                <w:color w:val="000000"/>
                <w:sz w:val="20"/>
              </w:rPr>
              <w:t>
</w:t>
            </w:r>
            <w:r>
              <w:rPr>
                <w:rFonts w:ascii="Times New Roman"/>
                <w:b w:val="false"/>
                <w:i w:val="false"/>
                <w:color w:val="000000"/>
                <w:sz w:val="20"/>
              </w:rPr>
              <w:t>63. Все действия дистрибьютора осуществляются таким образом, чтобы не утратить идентичность лекарственных средств и соблюдались требования, указанные на упаковке лекарственных средств. Дистрибьютор принимает необходимые меры для минимизации риска проникновения фальсифицированных лекарственных средств в цепь реализации.</w:t>
            </w:r>
            <w:r>
              <w:br/>
            </w:r>
            <w:r>
              <w:rPr>
                <w:rFonts w:ascii="Times New Roman"/>
                <w:b w:val="false"/>
                <w:i w:val="false"/>
                <w:color w:val="000000"/>
                <w:sz w:val="20"/>
              </w:rPr>
              <w:t>
</w:t>
            </w:r>
            <w:r>
              <w:rPr>
                <w:rFonts w:ascii="Times New Roman"/>
                <w:b w:val="false"/>
                <w:i w:val="false"/>
                <w:color w:val="000000"/>
                <w:sz w:val="20"/>
              </w:rPr>
              <w:t>64. Дистрибьюции подлежат следующие лекарственные средства:</w:t>
            </w:r>
            <w:r>
              <w:br/>
            </w:r>
            <w:r>
              <w:rPr>
                <w:rFonts w:ascii="Times New Roman"/>
                <w:b w:val="false"/>
                <w:i w:val="false"/>
                <w:color w:val="000000"/>
                <w:sz w:val="20"/>
              </w:rPr>
              <w:t>
</w:t>
            </w:r>
            <w:r>
              <w:rPr>
                <w:rFonts w:ascii="Times New Roman"/>
                <w:b w:val="false"/>
                <w:i w:val="false"/>
                <w:color w:val="000000"/>
                <w:sz w:val="20"/>
              </w:rPr>
              <w:t>а) зарегистрированные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б) незарегистрированные и (или) ввозимые (вывозимые)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65. Дистрибьютор, кроме держателя (владельца) регистрационного удостоверения (торговой лицензии), который приобретает лекарственное средство в другом государстве, уведомляет о своем намерении держателя (владельца) регистрационного удостоверения.</w:t>
            </w:r>
            <w:r>
              <w:br/>
            </w:r>
            <w:r>
              <w:rPr>
                <w:rFonts w:ascii="Times New Roman"/>
                <w:b w:val="false"/>
                <w:i w:val="false"/>
                <w:color w:val="000000"/>
                <w:sz w:val="20"/>
              </w:rPr>
              <w:t>
66. Любые действия, выполняемые согласно положениям настоящего подраздела, полностью описаны в соответствующей документации системы качества.</w:t>
            </w:r>
          </w:p>
          <w:bookmarkEnd w:id="4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0"/>
          <w:p>
            <w:pPr>
              <w:spacing w:after="20"/>
              <w:ind w:left="20"/>
              <w:jc w:val="both"/>
            </w:pPr>
            <w:r>
              <w:rPr>
                <w:rFonts w:ascii="Times New Roman"/>
                <w:b w:val="false"/>
                <w:i w:val="false"/>
                <w:color w:val="000000"/>
                <w:sz w:val="20"/>
              </w:rPr>
              <w:t>
5.2. Оценка поставщиков</w:t>
            </w:r>
            <w:r>
              <w:br/>
            </w:r>
            <w:r>
              <w:rPr>
                <w:rFonts w:ascii="Times New Roman"/>
                <w:b w:val="false"/>
                <w:i w:val="false"/>
                <w:color w:val="000000"/>
                <w:sz w:val="20"/>
              </w:rPr>
              <w:t>
</w:t>
            </w:r>
            <w:r>
              <w:rPr>
                <w:rFonts w:ascii="Times New Roman"/>
                <w:b w:val="false"/>
                <w:i w:val="false"/>
                <w:color w:val="000000"/>
                <w:sz w:val="20"/>
              </w:rPr>
              <w:t>67. Дистрибьютор получает лекарственные средства только от организаций, имеющих разрешение на осуществление деятельности по производству или дистрибьюции лекарственных средств, выданное уполномоченным органом.</w:t>
            </w:r>
            <w:r>
              <w:br/>
            </w:r>
            <w:r>
              <w:rPr>
                <w:rFonts w:ascii="Times New Roman"/>
                <w:b w:val="false"/>
                <w:i w:val="false"/>
                <w:color w:val="000000"/>
                <w:sz w:val="20"/>
              </w:rPr>
              <w:t>
</w:t>
            </w:r>
            <w:r>
              <w:rPr>
                <w:rFonts w:ascii="Times New Roman"/>
                <w:b w:val="false"/>
                <w:i w:val="false"/>
                <w:color w:val="000000"/>
                <w:sz w:val="20"/>
              </w:rPr>
              <w:t>Дистрибьютор, приобретающий лекарственные средства у другого дистрибьютора, удостоверяется, что поставщик лекарственных средств соблюдает требования надлежащей дистрибьюторской практики и имеет разрешение на осуществление данного вида деятельности, выданное уполномоченным органом.</w:t>
            </w:r>
            <w:r>
              <w:br/>
            </w:r>
            <w:r>
              <w:rPr>
                <w:rFonts w:ascii="Times New Roman"/>
                <w:b w:val="false"/>
                <w:i w:val="false"/>
                <w:color w:val="000000"/>
                <w:sz w:val="20"/>
              </w:rPr>
              <w:t>
</w:t>
            </w:r>
            <w:r>
              <w:rPr>
                <w:rFonts w:ascii="Times New Roman"/>
                <w:b w:val="false"/>
                <w:i w:val="false"/>
                <w:color w:val="000000"/>
                <w:sz w:val="20"/>
              </w:rPr>
              <w:t>Если поставка лекарственных средств осуществляется при участии брокера, дистрибьютор удостоверяется, что брокер зарегистрирован в установленном порядке.</w:t>
            </w:r>
            <w:r>
              <w:br/>
            </w:r>
            <w:r>
              <w:rPr>
                <w:rFonts w:ascii="Times New Roman"/>
                <w:b w:val="false"/>
                <w:i w:val="false"/>
                <w:color w:val="000000"/>
                <w:sz w:val="20"/>
              </w:rPr>
              <w:t>
</w:t>
            </w:r>
            <w:r>
              <w:rPr>
                <w:rFonts w:ascii="Times New Roman"/>
                <w:b w:val="false"/>
                <w:i w:val="false"/>
                <w:color w:val="000000"/>
                <w:sz w:val="20"/>
              </w:rPr>
              <w:t>68. Мероприятия по оценке и одобрению поставщиков выполняются дистрибьютором до приобретения лекарственных средств. Данные мероприятия осуществляются в соответствии с утвержденной процедурой, их результаты оформляются документально и периодически проверяться.</w:t>
            </w:r>
            <w:r>
              <w:br/>
            </w:r>
            <w:r>
              <w:rPr>
                <w:rFonts w:ascii="Times New Roman"/>
                <w:b w:val="false"/>
                <w:i w:val="false"/>
                <w:color w:val="000000"/>
                <w:sz w:val="20"/>
              </w:rPr>
              <w:t>
</w:t>
            </w:r>
            <w:r>
              <w:rPr>
                <w:rFonts w:ascii="Times New Roman"/>
                <w:b w:val="false"/>
                <w:i w:val="false"/>
                <w:color w:val="000000"/>
                <w:sz w:val="20"/>
              </w:rPr>
              <w:t>69. При подписании договоров с новыми поставщиками организация проводит надлежащую проверку поставщика с целью подтверждения его компетентности, надежности и соответствия установленным требованиям. Особое внимание уделяется следующим факторам:</w:t>
            </w:r>
            <w:r>
              <w:br/>
            </w:r>
            <w:r>
              <w:rPr>
                <w:rFonts w:ascii="Times New Roman"/>
                <w:b w:val="false"/>
                <w:i w:val="false"/>
                <w:color w:val="000000"/>
                <w:sz w:val="20"/>
              </w:rPr>
              <w:t>
</w:t>
            </w:r>
            <w:r>
              <w:rPr>
                <w:rFonts w:ascii="Times New Roman"/>
                <w:b w:val="false"/>
                <w:i w:val="false"/>
                <w:color w:val="000000"/>
                <w:sz w:val="20"/>
              </w:rPr>
              <w:t>а) репутация и (или) надежность поставщика;</w:t>
            </w:r>
            <w:r>
              <w:br/>
            </w:r>
            <w:r>
              <w:rPr>
                <w:rFonts w:ascii="Times New Roman"/>
                <w:b w:val="false"/>
                <w:i w:val="false"/>
                <w:color w:val="000000"/>
                <w:sz w:val="20"/>
              </w:rPr>
              <w:t>
</w:t>
            </w:r>
            <w:r>
              <w:rPr>
                <w:rFonts w:ascii="Times New Roman"/>
                <w:b w:val="false"/>
                <w:i w:val="false"/>
                <w:color w:val="000000"/>
                <w:sz w:val="20"/>
              </w:rPr>
              <w:t>б) предложения по поставке лекарственных средств, наиболее подверженных фальсифицированию;</w:t>
            </w:r>
            <w:r>
              <w:br/>
            </w:r>
            <w:r>
              <w:rPr>
                <w:rFonts w:ascii="Times New Roman"/>
                <w:b w:val="false"/>
                <w:i w:val="false"/>
                <w:color w:val="000000"/>
                <w:sz w:val="20"/>
              </w:rPr>
              <w:t>
</w:t>
            </w:r>
            <w:r>
              <w:rPr>
                <w:rFonts w:ascii="Times New Roman"/>
                <w:b w:val="false"/>
                <w:i w:val="false"/>
                <w:color w:val="000000"/>
                <w:sz w:val="20"/>
              </w:rPr>
              <w:t>в) предложения по поставке большой партии лекарственных средств, обычно доступных только в ограниченном количестве;</w:t>
            </w:r>
            <w:r>
              <w:br/>
            </w:r>
            <w:r>
              <w:rPr>
                <w:rFonts w:ascii="Times New Roman"/>
                <w:b w:val="false"/>
                <w:i w:val="false"/>
                <w:color w:val="000000"/>
                <w:sz w:val="20"/>
              </w:rPr>
              <w:t>
г) ценовые предложения, не соответствующие рыночным.</w:t>
            </w:r>
          </w:p>
          <w:bookmarkEnd w:id="50"/>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1"/>
          <w:p>
            <w:pPr>
              <w:spacing w:after="20"/>
              <w:ind w:left="20"/>
              <w:jc w:val="both"/>
            </w:pPr>
            <w:r>
              <w:rPr>
                <w:rFonts w:ascii="Times New Roman"/>
                <w:b w:val="false"/>
                <w:i w:val="false"/>
                <w:color w:val="000000"/>
                <w:sz w:val="20"/>
              </w:rPr>
              <w:t>
5.3. Оценка заказчиков (получателей)</w:t>
            </w:r>
            <w:r>
              <w:br/>
            </w:r>
            <w:r>
              <w:rPr>
                <w:rFonts w:ascii="Times New Roman"/>
                <w:b w:val="false"/>
                <w:i w:val="false"/>
                <w:color w:val="000000"/>
                <w:sz w:val="20"/>
              </w:rPr>
              <w:t>
</w:t>
            </w:r>
            <w:r>
              <w:rPr>
                <w:rFonts w:ascii="Times New Roman"/>
                <w:b w:val="false"/>
                <w:i w:val="false"/>
                <w:color w:val="000000"/>
                <w:sz w:val="20"/>
              </w:rPr>
              <w:t>70. Дистрибьютор удостоверяется, что поставка лекарственных средств осуществляется только организациям, имеющим разрешение (лицензию) или иные законные основания для осуществления деятельности, относящейся к обращению лекарственных средств.</w:t>
            </w:r>
            <w:r>
              <w:br/>
            </w:r>
            <w:r>
              <w:rPr>
                <w:rFonts w:ascii="Times New Roman"/>
                <w:b w:val="false"/>
                <w:i w:val="false"/>
                <w:color w:val="000000"/>
                <w:sz w:val="20"/>
              </w:rPr>
              <w:t>
</w:t>
            </w:r>
            <w:r>
              <w:rPr>
                <w:rFonts w:ascii="Times New Roman"/>
                <w:b w:val="false"/>
                <w:i w:val="false"/>
                <w:color w:val="000000"/>
                <w:sz w:val="20"/>
              </w:rPr>
              <w:t>71. К первоначальной и последующим периодическим оценкам выполнения указанных требований относятся следующие действия:</w:t>
            </w:r>
            <w:r>
              <w:br/>
            </w:r>
            <w:r>
              <w:rPr>
                <w:rFonts w:ascii="Times New Roman"/>
                <w:b w:val="false"/>
                <w:i w:val="false"/>
                <w:color w:val="000000"/>
                <w:sz w:val="20"/>
              </w:rPr>
              <w:t>
</w:t>
            </w:r>
            <w:r>
              <w:rPr>
                <w:rFonts w:ascii="Times New Roman"/>
                <w:b w:val="false"/>
                <w:i w:val="false"/>
                <w:color w:val="000000"/>
                <w:sz w:val="20"/>
              </w:rPr>
              <w:t>а) получение копий соответствующих разрешений (лицензий);</w:t>
            </w:r>
            <w:r>
              <w:br/>
            </w:r>
            <w:r>
              <w:rPr>
                <w:rFonts w:ascii="Times New Roman"/>
                <w:b w:val="false"/>
                <w:i w:val="false"/>
                <w:color w:val="000000"/>
                <w:sz w:val="20"/>
              </w:rPr>
              <w:t>
</w:t>
            </w:r>
            <w:r>
              <w:rPr>
                <w:rFonts w:ascii="Times New Roman"/>
                <w:b w:val="false"/>
                <w:i w:val="false"/>
                <w:color w:val="000000"/>
                <w:sz w:val="20"/>
              </w:rPr>
              <w:t>б) оценка подлинности сведений, содержащихся в документах, опубликованных на сайтах соответствующих органов государственной власти в информационно-телекоммуникационной сети "Интернет";</w:t>
            </w:r>
            <w:r>
              <w:br/>
            </w:r>
            <w:r>
              <w:rPr>
                <w:rFonts w:ascii="Times New Roman"/>
                <w:b w:val="false"/>
                <w:i w:val="false"/>
                <w:color w:val="000000"/>
                <w:sz w:val="20"/>
              </w:rPr>
              <w:t>
</w:t>
            </w:r>
            <w:r>
              <w:rPr>
                <w:rFonts w:ascii="Times New Roman"/>
                <w:b w:val="false"/>
                <w:i w:val="false"/>
                <w:color w:val="000000"/>
                <w:sz w:val="20"/>
              </w:rPr>
              <w:t>в) запрос документов, подтверждающих квалификацию получателя или наличие права на осуществление деятельности, относящейся к обращению лекарственных средств, в соответствии с законодательством Республики Казахстан.</w:t>
            </w:r>
            <w:r>
              <w:br/>
            </w:r>
            <w:r>
              <w:rPr>
                <w:rFonts w:ascii="Times New Roman"/>
                <w:b w:val="false"/>
                <w:i w:val="false"/>
                <w:color w:val="000000"/>
                <w:sz w:val="20"/>
              </w:rPr>
              <w:t>
72. Дистрибьютор отслеживает осуществляемые сделки и проводит расследования в отношении любых отклонений в цепочке реализации лекарственных средств в том числе наркотических средств, психотропных веществ и других опасных веществ. При выявлении отклонений от прописанной процедуры реализации, которые означают использование лекарственных средств не по назначению, проводятся расследования. О результатах расследований уведомляются уполномоченные органы.</w:t>
            </w:r>
          </w:p>
          <w:bookmarkEnd w:id="51"/>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2"/>
          <w:p>
            <w:pPr>
              <w:spacing w:after="20"/>
              <w:ind w:left="20"/>
              <w:jc w:val="both"/>
            </w:pPr>
            <w:r>
              <w:rPr>
                <w:rFonts w:ascii="Times New Roman"/>
                <w:b w:val="false"/>
                <w:i w:val="false"/>
                <w:color w:val="000000"/>
                <w:sz w:val="20"/>
              </w:rPr>
              <w:t>
5.4. Приемка лекарственных средств</w:t>
            </w:r>
            <w:r>
              <w:br/>
            </w:r>
            <w:r>
              <w:rPr>
                <w:rFonts w:ascii="Times New Roman"/>
                <w:b w:val="false"/>
                <w:i w:val="false"/>
                <w:color w:val="000000"/>
                <w:sz w:val="20"/>
              </w:rPr>
              <w:t>
</w:t>
            </w:r>
            <w:r>
              <w:rPr>
                <w:rFonts w:ascii="Times New Roman"/>
                <w:b w:val="false"/>
                <w:i w:val="false"/>
                <w:color w:val="000000"/>
                <w:sz w:val="20"/>
              </w:rPr>
              <w:t>73. Основными задачами операции по приемке лекарственных средств являются следующие:</w:t>
            </w:r>
            <w:r>
              <w:br/>
            </w:r>
            <w:r>
              <w:rPr>
                <w:rFonts w:ascii="Times New Roman"/>
                <w:b w:val="false"/>
                <w:i w:val="false"/>
                <w:color w:val="000000"/>
                <w:sz w:val="20"/>
              </w:rPr>
              <w:t>
</w:t>
            </w:r>
            <w:r>
              <w:rPr>
                <w:rFonts w:ascii="Times New Roman"/>
                <w:b w:val="false"/>
                <w:i w:val="false"/>
                <w:color w:val="000000"/>
                <w:sz w:val="20"/>
              </w:rPr>
              <w:t>а) проверка соответствия принимаемых лекарственных средств товаросопроводительной документации;</w:t>
            </w:r>
            <w:r>
              <w:br/>
            </w:r>
            <w:r>
              <w:rPr>
                <w:rFonts w:ascii="Times New Roman"/>
                <w:b w:val="false"/>
                <w:i w:val="false"/>
                <w:color w:val="000000"/>
                <w:sz w:val="20"/>
              </w:rPr>
              <w:t>
</w:t>
            </w:r>
            <w:r>
              <w:rPr>
                <w:rFonts w:ascii="Times New Roman"/>
                <w:b w:val="false"/>
                <w:i w:val="false"/>
                <w:color w:val="000000"/>
                <w:sz w:val="20"/>
              </w:rPr>
              <w:t>б) проверка получения лекарственных средств от утвержденного поставщика;</w:t>
            </w:r>
            <w:r>
              <w:br/>
            </w:r>
            <w:r>
              <w:rPr>
                <w:rFonts w:ascii="Times New Roman"/>
                <w:b w:val="false"/>
                <w:i w:val="false"/>
                <w:color w:val="000000"/>
                <w:sz w:val="20"/>
              </w:rPr>
              <w:t>
</w:t>
            </w:r>
            <w:r>
              <w:rPr>
                <w:rFonts w:ascii="Times New Roman"/>
                <w:b w:val="false"/>
                <w:i w:val="false"/>
                <w:color w:val="000000"/>
                <w:sz w:val="20"/>
              </w:rPr>
              <w:t>в) проверка отсутствия видимых повреждений, которые возникают в процессе транспортировки.</w:t>
            </w:r>
            <w:r>
              <w:br/>
            </w:r>
            <w:r>
              <w:rPr>
                <w:rFonts w:ascii="Times New Roman"/>
                <w:b w:val="false"/>
                <w:i w:val="false"/>
                <w:color w:val="000000"/>
                <w:sz w:val="20"/>
              </w:rPr>
              <w:t>
</w:t>
            </w:r>
            <w:r>
              <w:rPr>
                <w:rFonts w:ascii="Times New Roman"/>
                <w:b w:val="false"/>
                <w:i w:val="false"/>
                <w:color w:val="000000"/>
                <w:sz w:val="20"/>
              </w:rPr>
              <w:t>74. Лекарственные средства, требующие специальных условий хранения или мер безопасности, принимается в первую очередь и после выполнения необходимой проверки незамедлительно перемещены в соответствующую зону хранения.</w:t>
            </w:r>
            <w:r>
              <w:br/>
            </w:r>
            <w:r>
              <w:rPr>
                <w:rFonts w:ascii="Times New Roman"/>
                <w:b w:val="false"/>
                <w:i w:val="false"/>
                <w:color w:val="000000"/>
                <w:sz w:val="20"/>
              </w:rPr>
              <w:t>
75. Серии лекарственных средств, поступающие из другого государства, до их помещения в зону реализации тщательно проверены персоналом, обученным надлежащим образом.</w:t>
            </w:r>
          </w:p>
          <w:bookmarkEnd w:id="52"/>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3"/>
          <w:p>
            <w:pPr>
              <w:spacing w:after="20"/>
              <w:ind w:left="20"/>
              <w:jc w:val="both"/>
            </w:pPr>
            <w:r>
              <w:rPr>
                <w:rFonts w:ascii="Times New Roman"/>
                <w:b w:val="false"/>
                <w:i w:val="false"/>
                <w:color w:val="000000"/>
                <w:sz w:val="20"/>
              </w:rPr>
              <w:t>
5.5. Хранение</w:t>
            </w:r>
            <w:r>
              <w:br/>
            </w:r>
            <w:r>
              <w:rPr>
                <w:rFonts w:ascii="Times New Roman"/>
                <w:b w:val="false"/>
                <w:i w:val="false"/>
                <w:color w:val="000000"/>
                <w:sz w:val="20"/>
              </w:rPr>
              <w:t>
</w:t>
            </w:r>
            <w:r>
              <w:rPr>
                <w:rFonts w:ascii="Times New Roman"/>
                <w:b w:val="false"/>
                <w:i w:val="false"/>
                <w:color w:val="000000"/>
                <w:sz w:val="20"/>
              </w:rPr>
              <w:t>76. Лекарственные средства и при необходимости другая медицинская продукция хранятся отдельно от других продуктов, способных оказать на них влияние, и защищаются от вредного воздействия света, температуры, влажности и других внешних факторов. Особое внимание следует уделять лекарственным средствам, требующим специальных условий хранения.</w:t>
            </w:r>
            <w:r>
              <w:br/>
            </w:r>
            <w:r>
              <w:rPr>
                <w:rFonts w:ascii="Times New Roman"/>
                <w:b w:val="false"/>
                <w:i w:val="false"/>
                <w:color w:val="000000"/>
                <w:sz w:val="20"/>
              </w:rPr>
              <w:t>
</w:t>
            </w:r>
            <w:r>
              <w:rPr>
                <w:rFonts w:ascii="Times New Roman"/>
                <w:b w:val="false"/>
                <w:i w:val="false"/>
                <w:color w:val="000000"/>
                <w:sz w:val="20"/>
              </w:rPr>
              <w:t>77. Транспортная тара с лекарственными средствами очищается перед размещением лекарственных средств на хранение.</w:t>
            </w:r>
            <w:r>
              <w:br/>
            </w:r>
            <w:r>
              <w:rPr>
                <w:rFonts w:ascii="Times New Roman"/>
                <w:b w:val="false"/>
                <w:i w:val="false"/>
                <w:color w:val="000000"/>
                <w:sz w:val="20"/>
              </w:rPr>
              <w:t>
</w:t>
            </w:r>
            <w:r>
              <w:rPr>
                <w:rFonts w:ascii="Times New Roman"/>
                <w:b w:val="false"/>
                <w:i w:val="false"/>
                <w:color w:val="000000"/>
                <w:sz w:val="20"/>
              </w:rPr>
              <w:t>78. Складские операции обеспечивают требуемые условия хранения, а также меры безопасности.</w:t>
            </w:r>
            <w:r>
              <w:br/>
            </w:r>
            <w:r>
              <w:rPr>
                <w:rFonts w:ascii="Times New Roman"/>
                <w:b w:val="false"/>
                <w:i w:val="false"/>
                <w:color w:val="000000"/>
                <w:sz w:val="20"/>
              </w:rPr>
              <w:t>
</w:t>
            </w:r>
            <w:r>
              <w:rPr>
                <w:rFonts w:ascii="Times New Roman"/>
                <w:b w:val="false"/>
                <w:i w:val="false"/>
                <w:color w:val="000000"/>
                <w:sz w:val="20"/>
              </w:rPr>
              <w:t>79. Дистрибьюция лекарственных средств (отгрузка) организована таким образом, чтобы лекарственные средства с меньшим сроком годности отгружались в первую очередь (FEFO – firstexpirefirstout). Отклонения от данного требования документируются.</w:t>
            </w:r>
            <w:r>
              <w:br/>
            </w:r>
            <w:r>
              <w:rPr>
                <w:rFonts w:ascii="Times New Roman"/>
                <w:b w:val="false"/>
                <w:i w:val="false"/>
                <w:color w:val="000000"/>
                <w:sz w:val="20"/>
              </w:rPr>
              <w:t>
</w:t>
            </w:r>
            <w:r>
              <w:rPr>
                <w:rFonts w:ascii="Times New Roman"/>
                <w:b w:val="false"/>
                <w:i w:val="false"/>
                <w:color w:val="000000"/>
                <w:sz w:val="20"/>
              </w:rPr>
              <w:t>80. При хранении лекарственных средств и обращении с ними принимаются меры, направленные на предотвращение рассыпания, нарушения целостности упаковки, контаминации и перепутывания. Лекарственные средства не хранятся непосредственно на полу, за исключением случаев, когда упаковка специально разработана для такого хранения (например, баллоны с медицинским газом).</w:t>
            </w:r>
            <w:r>
              <w:br/>
            </w:r>
            <w:r>
              <w:rPr>
                <w:rFonts w:ascii="Times New Roman"/>
                <w:b w:val="false"/>
                <w:i w:val="false"/>
                <w:color w:val="000000"/>
                <w:sz w:val="20"/>
              </w:rPr>
              <w:t>
</w:t>
            </w:r>
            <w:r>
              <w:rPr>
                <w:rFonts w:ascii="Times New Roman"/>
                <w:b w:val="false"/>
                <w:i w:val="false"/>
                <w:color w:val="000000"/>
                <w:sz w:val="20"/>
              </w:rPr>
              <w:t>81. Лекарственные средства, срок годности которых истек, незамедлительно изымаются из категории пригодных для поставки либо физически (изолированы в специальном помещении или зоне хранения), либо с помощью электронных средств, обеспечивающих эквивалентную изоляцию.</w:t>
            </w:r>
            <w:r>
              <w:br/>
            </w:r>
            <w:r>
              <w:rPr>
                <w:rFonts w:ascii="Times New Roman"/>
                <w:b w:val="false"/>
                <w:i w:val="false"/>
                <w:color w:val="000000"/>
                <w:sz w:val="20"/>
              </w:rPr>
              <w:t>
Анализ складских запасов проводится регулярно в соответствии с требованиями законодательства Республики Казахстан. Выявленные отклонения документально оформляются, и в их отношении проводится расследование.</w:t>
            </w:r>
          </w:p>
          <w:bookmarkEnd w:id="53"/>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4"/>
          <w:p>
            <w:pPr>
              <w:spacing w:after="20"/>
              <w:ind w:left="20"/>
              <w:jc w:val="both"/>
            </w:pPr>
            <w:r>
              <w:rPr>
                <w:rFonts w:ascii="Times New Roman"/>
                <w:b w:val="false"/>
                <w:i w:val="false"/>
                <w:color w:val="000000"/>
                <w:sz w:val="20"/>
              </w:rPr>
              <w:t>
5.6. Уничтожение</w:t>
            </w:r>
            <w:r>
              <w:br/>
            </w:r>
            <w:r>
              <w:rPr>
                <w:rFonts w:ascii="Times New Roman"/>
                <w:b w:val="false"/>
                <w:i w:val="false"/>
                <w:color w:val="000000"/>
                <w:sz w:val="20"/>
              </w:rPr>
              <w:t>
</w:t>
            </w:r>
            <w:r>
              <w:rPr>
                <w:rFonts w:ascii="Times New Roman"/>
                <w:b w:val="false"/>
                <w:i w:val="false"/>
                <w:color w:val="000000"/>
                <w:sz w:val="20"/>
              </w:rPr>
              <w:t>82. Лекарственные средства, предназначенные для уничтожения, надлежащим образом маркируются, хранятся отдельно в специальном помещении или зоне, доступ в которые ограничен, при этом операции с ними осуществляется в соответствии с письменными процедурами.</w:t>
            </w:r>
            <w:r>
              <w:br/>
            </w:r>
            <w:r>
              <w:rPr>
                <w:rFonts w:ascii="Times New Roman"/>
                <w:b w:val="false"/>
                <w:i w:val="false"/>
                <w:color w:val="000000"/>
                <w:sz w:val="20"/>
              </w:rPr>
              <w:t>
</w:t>
            </w:r>
            <w:r>
              <w:rPr>
                <w:rFonts w:ascii="Times New Roman"/>
                <w:b w:val="false"/>
                <w:i w:val="false"/>
                <w:color w:val="000000"/>
                <w:sz w:val="20"/>
              </w:rPr>
              <w:t>83. Уничтожение осуществляется в соответствии с законодательством Республики Казахстан или применимыми международными требованиями в отношении обращения, транспортировки и уничтожения лекарственных средств.</w:t>
            </w:r>
            <w:r>
              <w:br/>
            </w:r>
            <w:r>
              <w:rPr>
                <w:rFonts w:ascii="Times New Roman"/>
                <w:b w:val="false"/>
                <w:i w:val="false"/>
                <w:color w:val="000000"/>
                <w:sz w:val="20"/>
              </w:rPr>
              <w:t>
Записи об уничтожении хранятся в течение срока, установленного законодательством Республики Казахстан.</w:t>
            </w:r>
          </w:p>
          <w:bookmarkEnd w:id="54"/>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5"/>
          <w:p>
            <w:pPr>
              <w:spacing w:after="20"/>
              <w:ind w:left="20"/>
              <w:jc w:val="both"/>
            </w:pPr>
            <w:r>
              <w:rPr>
                <w:rFonts w:ascii="Times New Roman"/>
                <w:b w:val="false"/>
                <w:i w:val="false"/>
                <w:color w:val="000000"/>
                <w:sz w:val="20"/>
              </w:rPr>
              <w:t>
5.7. Подготовка к отгрузке</w:t>
            </w:r>
            <w:r>
              <w:br/>
            </w:r>
            <w:r>
              <w:rPr>
                <w:rFonts w:ascii="Times New Roman"/>
                <w:b w:val="false"/>
                <w:i w:val="false"/>
                <w:color w:val="000000"/>
                <w:sz w:val="20"/>
              </w:rPr>
              <w:t>
84. Контролируется, чтобы к отгрузке подготовились затребованные лекарственные средства. На момент подготовки к отгрузке лекарственные средства имеют согласованный получателем и отправителем остаточный срок годности.</w:t>
            </w:r>
          </w:p>
          <w:bookmarkEnd w:id="55"/>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6"/>
          <w:p>
            <w:pPr>
              <w:spacing w:after="20"/>
              <w:ind w:left="20"/>
              <w:jc w:val="both"/>
            </w:pPr>
            <w:r>
              <w:rPr>
                <w:rFonts w:ascii="Times New Roman"/>
                <w:b w:val="false"/>
                <w:i w:val="false"/>
                <w:color w:val="000000"/>
                <w:sz w:val="20"/>
              </w:rPr>
              <w:t>
5.8. Поставка</w:t>
            </w:r>
            <w:r>
              <w:br/>
            </w:r>
            <w:r>
              <w:rPr>
                <w:rFonts w:ascii="Times New Roman"/>
                <w:b w:val="false"/>
                <w:i w:val="false"/>
                <w:color w:val="000000"/>
                <w:sz w:val="20"/>
              </w:rPr>
              <w:t>
</w:t>
            </w:r>
            <w:r>
              <w:rPr>
                <w:rFonts w:ascii="Times New Roman"/>
                <w:b w:val="false"/>
                <w:i w:val="false"/>
                <w:color w:val="000000"/>
                <w:sz w:val="20"/>
              </w:rPr>
              <w:t>85. Поставка лекарственных средств сопровождается документами, предусмотренными законодательством Республики Казахстан (счет-фактура, товарно-транспортная накладная, международная накладная, инвойс, авианакладная и др.). В сопроводительных документах лекарственных средств указываются следующие сведения: дата, наименование лекарственного средства, номер серии (партии), поставляемое количество, лекарственная форма, дозировка, наименование и адрес поставщика, наименование и адрес грузополучателя (адрес места нахождения оптового склада, если он отличается от адреса юридического лица), а также условия транспортировки и хранения.</w:t>
            </w:r>
            <w:r>
              <w:br/>
            </w:r>
            <w:r>
              <w:rPr>
                <w:rFonts w:ascii="Times New Roman"/>
                <w:b w:val="false"/>
                <w:i w:val="false"/>
                <w:color w:val="000000"/>
                <w:sz w:val="20"/>
              </w:rPr>
              <w:t>
Записи о поставке подлежат хранению таким образом, чтобы обеспечивалась прослеживаемость движения лекарственных средств.</w:t>
            </w:r>
          </w:p>
          <w:bookmarkEnd w:id="56"/>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57"/>
          <w:p>
            <w:pPr>
              <w:spacing w:after="20"/>
              <w:ind w:left="20"/>
              <w:jc w:val="both"/>
            </w:pPr>
            <w:r>
              <w:rPr>
                <w:rFonts w:ascii="Times New Roman"/>
                <w:b w:val="false"/>
                <w:i w:val="false"/>
                <w:color w:val="000000"/>
                <w:sz w:val="20"/>
              </w:rPr>
              <w:t>
5.9. Экспорт</w:t>
            </w:r>
            <w:r>
              <w:br/>
            </w:r>
            <w:r>
              <w:rPr>
                <w:rFonts w:ascii="Times New Roman"/>
                <w:b w:val="false"/>
                <w:i w:val="false"/>
                <w:color w:val="000000"/>
                <w:sz w:val="20"/>
              </w:rPr>
              <w:t>
</w:t>
            </w:r>
            <w:r>
              <w:rPr>
                <w:rFonts w:ascii="Times New Roman"/>
                <w:b w:val="false"/>
                <w:i w:val="false"/>
                <w:color w:val="000000"/>
                <w:sz w:val="20"/>
              </w:rPr>
              <w:t>86. Организация, экспортирующая лекарственные средства, имеет лицензию или иные законные основания в соответствии с законодательством Республики Казахстан для осуществления деятельности по дистрибьюции лекарственных средств или лицензию на производство лекарственных средств.</w:t>
            </w:r>
            <w:r>
              <w:br/>
            </w:r>
            <w:r>
              <w:rPr>
                <w:rFonts w:ascii="Times New Roman"/>
                <w:b w:val="false"/>
                <w:i w:val="false"/>
                <w:color w:val="000000"/>
                <w:sz w:val="20"/>
              </w:rPr>
              <w:t>
</w:t>
            </w:r>
            <w:r>
              <w:rPr>
                <w:rFonts w:ascii="Times New Roman"/>
                <w:b w:val="false"/>
                <w:i w:val="false"/>
                <w:color w:val="000000"/>
                <w:sz w:val="20"/>
              </w:rPr>
              <w:t>87. Настоящий Стандарт применяется к экспорту лекарственных средств в полном объеме. Если экспортируемые лекарственные средства не зарегистрированы на территории Республики Казахстан, организация, экспортирующая лекарственные средства, предпринимает необходимые меры, направленные на предотвращение поступления данных лекарственных средств на рынок.</w:t>
            </w:r>
            <w:r>
              <w:br/>
            </w:r>
            <w:r>
              <w:rPr>
                <w:rFonts w:ascii="Times New Roman"/>
                <w:b w:val="false"/>
                <w:i w:val="false"/>
                <w:color w:val="000000"/>
                <w:sz w:val="20"/>
              </w:rPr>
              <w:t>
При экспорте лекарственных средств организация, экспортирующая лекарственные средства, удостоверяется, что поставка осуществляется в адрес лиц, имеющих законные основания получать лекарственные средства в соответствии с законодательством соответствующего государства для дистрибьюции данных лекарственных средств.</w:t>
            </w:r>
          </w:p>
          <w:bookmarkEnd w:id="57"/>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Претензии, возврат, подозрения в фальсификации и отзыв лекарственных средств из обращения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8"/>
          <w:p>
            <w:pPr>
              <w:spacing w:after="20"/>
              <w:ind w:left="20"/>
              <w:jc w:val="both"/>
            </w:pPr>
            <w:r>
              <w:rPr>
                <w:rFonts w:ascii="Times New Roman"/>
                <w:b w:val="false"/>
                <w:i w:val="false"/>
                <w:color w:val="000000"/>
                <w:sz w:val="20"/>
              </w:rPr>
              <w:t>
6.1. Принципы</w:t>
            </w:r>
            <w:r>
              <w:br/>
            </w:r>
            <w:r>
              <w:rPr>
                <w:rFonts w:ascii="Times New Roman"/>
                <w:b w:val="false"/>
                <w:i w:val="false"/>
                <w:color w:val="000000"/>
                <w:sz w:val="20"/>
              </w:rPr>
              <w:t>
</w:t>
            </w:r>
            <w:r>
              <w:rPr>
                <w:rFonts w:ascii="Times New Roman"/>
                <w:b w:val="false"/>
                <w:i w:val="false"/>
                <w:color w:val="000000"/>
                <w:sz w:val="20"/>
              </w:rPr>
              <w:t>88. Все претензии, случаи возврата, подозрения в фальсификации, а также отзыв лекарственных средств из обращения документально оформляются и анализируются в соответствии с установленными процедурами. Соответствующие записи доступны уполномоченным органам.</w:t>
            </w:r>
            <w:r>
              <w:br/>
            </w:r>
            <w:r>
              <w:rPr>
                <w:rFonts w:ascii="Times New Roman"/>
                <w:b w:val="false"/>
                <w:i w:val="false"/>
                <w:color w:val="000000"/>
                <w:sz w:val="20"/>
              </w:rPr>
              <w:t>
89. Оценка возвращенных лекарственных средств осуществляется до принятия решения об их одобрении для повторной поставки. Для успешной борьбы с фальсификацией согласовываются действия всех участников цепи реализации.</w:t>
            </w:r>
          </w:p>
          <w:bookmarkEnd w:id="58"/>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9"/>
          <w:p>
            <w:pPr>
              <w:spacing w:after="20"/>
              <w:ind w:left="20"/>
              <w:jc w:val="both"/>
            </w:pPr>
            <w:r>
              <w:rPr>
                <w:rFonts w:ascii="Times New Roman"/>
                <w:b w:val="false"/>
                <w:i w:val="false"/>
                <w:color w:val="000000"/>
                <w:sz w:val="20"/>
              </w:rPr>
              <w:t>
6.2. Претензии</w:t>
            </w:r>
            <w:r>
              <w:br/>
            </w:r>
            <w:r>
              <w:rPr>
                <w:rFonts w:ascii="Times New Roman"/>
                <w:b w:val="false"/>
                <w:i w:val="false"/>
                <w:color w:val="000000"/>
                <w:sz w:val="20"/>
              </w:rPr>
              <w:t>
</w:t>
            </w:r>
            <w:r>
              <w:rPr>
                <w:rFonts w:ascii="Times New Roman"/>
                <w:b w:val="false"/>
                <w:i w:val="false"/>
                <w:color w:val="000000"/>
                <w:sz w:val="20"/>
              </w:rPr>
              <w:t>90. Претензии регистрируются с указанием следующей информации: дата получения претензии, наименование организации или фамилия, имя, отчество (при наличии) лица, предъявившего претензию, контактные данные (номер телефона и факса (при наличии), электронная почта, адрес), наименование лекарственного средства, лекарственной формы, дозировка, номер серии и (или) партии, объем, причина претензии и пр.</w:t>
            </w:r>
            <w:r>
              <w:br/>
            </w:r>
            <w:r>
              <w:rPr>
                <w:rFonts w:ascii="Times New Roman"/>
                <w:b w:val="false"/>
                <w:i w:val="false"/>
                <w:color w:val="000000"/>
                <w:sz w:val="20"/>
              </w:rPr>
              <w:t>
</w:t>
            </w:r>
            <w:r>
              <w:rPr>
                <w:rFonts w:ascii="Times New Roman"/>
                <w:b w:val="false"/>
                <w:i w:val="false"/>
                <w:color w:val="000000"/>
                <w:sz w:val="20"/>
              </w:rPr>
              <w:t>При этом различают претензии в отношении качества лекарственных средств и претензии в отношении соблюдения требований и условий дистрибьюции.</w:t>
            </w:r>
            <w:r>
              <w:br/>
            </w:r>
            <w:r>
              <w:rPr>
                <w:rFonts w:ascii="Times New Roman"/>
                <w:b w:val="false"/>
                <w:i w:val="false"/>
                <w:color w:val="000000"/>
                <w:sz w:val="20"/>
              </w:rPr>
              <w:t>
</w:t>
            </w:r>
            <w:r>
              <w:rPr>
                <w:rFonts w:ascii="Times New Roman"/>
                <w:b w:val="false"/>
                <w:i w:val="false"/>
                <w:color w:val="000000"/>
                <w:sz w:val="20"/>
              </w:rPr>
              <w:t>91. В случае если претензия относится к качеству лекарственных средств или предполагается наличие недоброкачественных (фальсифицированных) лекарственных средств, производитель и (или) держатель регистрационного удостоверения уведомляются об этом незамедлительно.</w:t>
            </w:r>
            <w:r>
              <w:br/>
            </w:r>
            <w:r>
              <w:rPr>
                <w:rFonts w:ascii="Times New Roman"/>
                <w:b w:val="false"/>
                <w:i w:val="false"/>
                <w:color w:val="000000"/>
                <w:sz w:val="20"/>
              </w:rPr>
              <w:t>
</w:t>
            </w:r>
            <w:r>
              <w:rPr>
                <w:rFonts w:ascii="Times New Roman"/>
                <w:b w:val="false"/>
                <w:i w:val="false"/>
                <w:color w:val="000000"/>
                <w:sz w:val="20"/>
              </w:rPr>
              <w:t>92. В отношении претензий по соблюдению требований и условий дистрибьюции проводится расследование с целью установления источника (субъекта) или причины предъявления претензии.</w:t>
            </w:r>
            <w:r>
              <w:br/>
            </w:r>
            <w:r>
              <w:rPr>
                <w:rFonts w:ascii="Times New Roman"/>
                <w:b w:val="false"/>
                <w:i w:val="false"/>
                <w:color w:val="000000"/>
                <w:sz w:val="20"/>
              </w:rPr>
              <w:t>
</w:t>
            </w:r>
            <w:r>
              <w:rPr>
                <w:rFonts w:ascii="Times New Roman"/>
                <w:b w:val="false"/>
                <w:i w:val="false"/>
                <w:color w:val="000000"/>
                <w:sz w:val="20"/>
              </w:rPr>
              <w:t>93. Для работы с претензиями назначается специальное лицо, а также привлекаются другие работники дистрибьютора в необходимом количестве.</w:t>
            </w:r>
            <w:r>
              <w:br/>
            </w:r>
            <w:r>
              <w:rPr>
                <w:rFonts w:ascii="Times New Roman"/>
                <w:b w:val="false"/>
                <w:i w:val="false"/>
                <w:color w:val="000000"/>
                <w:sz w:val="20"/>
              </w:rPr>
              <w:t>
94. По результатам расследования и анализа в отношении претензий предпринимаются соответствующие меры, включая корректирующие и предупреждающие действия, в том числе уведомление, если это необходимо в соответствии с установленными требованиями уполномоченных органов.</w:t>
            </w:r>
          </w:p>
          <w:bookmarkEnd w:id="5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0"/>
          <w:p>
            <w:pPr>
              <w:spacing w:after="20"/>
              <w:ind w:left="20"/>
              <w:jc w:val="both"/>
            </w:pPr>
            <w:r>
              <w:rPr>
                <w:rFonts w:ascii="Times New Roman"/>
                <w:b w:val="false"/>
                <w:i w:val="false"/>
                <w:color w:val="000000"/>
                <w:sz w:val="20"/>
              </w:rPr>
              <w:t>
6.3. Возвращенные лекарственные средства</w:t>
            </w:r>
            <w:r>
              <w:br/>
            </w:r>
            <w:r>
              <w:rPr>
                <w:rFonts w:ascii="Times New Roman"/>
                <w:b w:val="false"/>
                <w:i w:val="false"/>
                <w:color w:val="000000"/>
                <w:sz w:val="20"/>
              </w:rPr>
              <w:t>
</w:t>
            </w:r>
            <w:r>
              <w:rPr>
                <w:rFonts w:ascii="Times New Roman"/>
                <w:b w:val="false"/>
                <w:i w:val="false"/>
                <w:color w:val="000000"/>
                <w:sz w:val="20"/>
              </w:rPr>
              <w:t>95. Операции с возвращенными лекарственными средствами осуществляются в соответствии с документированными процедурами, основанными на оценке рисков, с учетом специфики лекарственных средств, специальных условий хранения, а также времени, прошедшего с момента первоначальной отгрузки. Возврат осуществляется в соответствии с законодательством Республики Казахстан и договорными обязательствами между сторонами, участвующими в возврате продукции.</w:t>
            </w:r>
            <w:r>
              <w:br/>
            </w:r>
            <w:r>
              <w:rPr>
                <w:rFonts w:ascii="Times New Roman"/>
                <w:b w:val="false"/>
                <w:i w:val="false"/>
                <w:color w:val="000000"/>
                <w:sz w:val="20"/>
              </w:rPr>
              <w:t>
</w:t>
            </w:r>
            <w:r>
              <w:rPr>
                <w:rFonts w:ascii="Times New Roman"/>
                <w:b w:val="false"/>
                <w:i w:val="false"/>
                <w:color w:val="000000"/>
                <w:sz w:val="20"/>
              </w:rPr>
              <w:t>96. Лекарственные средства, которые ранее отгружались, возвращаются в категорию пригодных для поставки только в том случае, если выполнены все следующие условия:</w:t>
            </w:r>
            <w:r>
              <w:br/>
            </w:r>
            <w:r>
              <w:rPr>
                <w:rFonts w:ascii="Times New Roman"/>
                <w:b w:val="false"/>
                <w:i w:val="false"/>
                <w:color w:val="000000"/>
                <w:sz w:val="20"/>
              </w:rPr>
              <w:t>
</w:t>
            </w:r>
            <w:r>
              <w:rPr>
                <w:rFonts w:ascii="Times New Roman"/>
                <w:b w:val="false"/>
                <w:i w:val="false"/>
                <w:color w:val="000000"/>
                <w:sz w:val="20"/>
              </w:rPr>
              <w:t>целостность вторичной (потребительской) упаковки лекарственных средств не нарушена, отсутствуют следы повреждений, отсутствует маркировка, непредусмотренная производителем, срок годности не истек, продукция не отозвана из обращения;</w:t>
            </w:r>
            <w:r>
              <w:br/>
            </w:r>
            <w:r>
              <w:rPr>
                <w:rFonts w:ascii="Times New Roman"/>
                <w:b w:val="false"/>
                <w:i w:val="false"/>
                <w:color w:val="000000"/>
                <w:sz w:val="20"/>
              </w:rPr>
              <w:t>
</w:t>
            </w:r>
            <w:r>
              <w:rPr>
                <w:rFonts w:ascii="Times New Roman"/>
                <w:b w:val="false"/>
                <w:i w:val="false"/>
                <w:color w:val="000000"/>
                <w:sz w:val="20"/>
              </w:rPr>
              <w:t>получатель представил документы, подтверждающие соблюдение специальных условий хранения и транспортировки;</w:t>
            </w:r>
            <w:r>
              <w:br/>
            </w:r>
            <w:r>
              <w:rPr>
                <w:rFonts w:ascii="Times New Roman"/>
                <w:b w:val="false"/>
                <w:i w:val="false"/>
                <w:color w:val="000000"/>
                <w:sz w:val="20"/>
              </w:rPr>
              <w:t>
</w:t>
            </w:r>
            <w:r>
              <w:rPr>
                <w:rFonts w:ascii="Times New Roman"/>
                <w:b w:val="false"/>
                <w:i w:val="false"/>
                <w:color w:val="000000"/>
                <w:sz w:val="20"/>
              </w:rPr>
              <w:t>лекарственные средства проверены и оценены компетентным лицом, назначенным для выполнения данных действий;</w:t>
            </w:r>
            <w:r>
              <w:br/>
            </w:r>
            <w:r>
              <w:rPr>
                <w:rFonts w:ascii="Times New Roman"/>
                <w:b w:val="false"/>
                <w:i w:val="false"/>
                <w:color w:val="000000"/>
                <w:sz w:val="20"/>
              </w:rPr>
              <w:t>
</w:t>
            </w:r>
            <w:r>
              <w:rPr>
                <w:rFonts w:ascii="Times New Roman"/>
                <w:b w:val="false"/>
                <w:i w:val="false"/>
                <w:color w:val="000000"/>
                <w:sz w:val="20"/>
              </w:rPr>
              <w:t>дистрибьютор располагает доказательствами того, что лекарственные средства поставлялись данному получателю (согласно приложенным копиям соответствующих сопроводительных документов): номер серии и (или) партии совпадает с указанным в документах, отсутствуют основания полагать, что данные лекарственные средства фальсифицированы.</w:t>
            </w:r>
            <w:r>
              <w:br/>
            </w:r>
            <w:r>
              <w:rPr>
                <w:rFonts w:ascii="Times New Roman"/>
                <w:b w:val="false"/>
                <w:i w:val="false"/>
                <w:color w:val="000000"/>
                <w:sz w:val="20"/>
              </w:rPr>
              <w:t>
</w:t>
            </w:r>
            <w:r>
              <w:rPr>
                <w:rFonts w:ascii="Times New Roman"/>
                <w:b w:val="false"/>
                <w:i w:val="false"/>
                <w:color w:val="000000"/>
                <w:sz w:val="20"/>
              </w:rPr>
              <w:t>Лекарственные средства, требующие особых температурных условий хранения, возвращаются в категорию пригодных для поставки, если имеются документальные доказательства того, что они хранились и транспортировались в надлежащих условиях в течение всего времени.</w:t>
            </w:r>
            <w:r>
              <w:br/>
            </w:r>
            <w:r>
              <w:rPr>
                <w:rFonts w:ascii="Times New Roman"/>
                <w:b w:val="false"/>
                <w:i w:val="false"/>
                <w:color w:val="000000"/>
                <w:sz w:val="20"/>
              </w:rPr>
              <w:t>
</w:t>
            </w:r>
            <w:r>
              <w:rPr>
                <w:rFonts w:ascii="Times New Roman"/>
                <w:b w:val="false"/>
                <w:i w:val="false"/>
                <w:color w:val="000000"/>
                <w:sz w:val="20"/>
              </w:rPr>
              <w:t>97. В случае выявления любых отклонений проводится оценка рисков, позволяющую установить сохранность лекарственных средств. Собираются и оцениваются доказательства по следующим этапам:</w:t>
            </w:r>
            <w:r>
              <w:br/>
            </w:r>
            <w:r>
              <w:rPr>
                <w:rFonts w:ascii="Times New Roman"/>
                <w:b w:val="false"/>
                <w:i w:val="false"/>
                <w:color w:val="000000"/>
                <w:sz w:val="20"/>
              </w:rPr>
              <w:t>
</w:t>
            </w:r>
            <w:r>
              <w:rPr>
                <w:rFonts w:ascii="Times New Roman"/>
                <w:b w:val="false"/>
                <w:i w:val="false"/>
                <w:color w:val="000000"/>
                <w:sz w:val="20"/>
              </w:rPr>
              <w:t>а) поставка получателю;</w:t>
            </w:r>
            <w:r>
              <w:br/>
            </w:r>
            <w:r>
              <w:rPr>
                <w:rFonts w:ascii="Times New Roman"/>
                <w:b w:val="false"/>
                <w:i w:val="false"/>
                <w:color w:val="000000"/>
                <w:sz w:val="20"/>
              </w:rPr>
              <w:t>
</w:t>
            </w:r>
            <w:r>
              <w:rPr>
                <w:rFonts w:ascii="Times New Roman"/>
                <w:b w:val="false"/>
                <w:i w:val="false"/>
                <w:color w:val="000000"/>
                <w:sz w:val="20"/>
              </w:rPr>
              <w:t>б) проверка продукции (идентификация);</w:t>
            </w:r>
            <w:r>
              <w:br/>
            </w:r>
            <w:r>
              <w:rPr>
                <w:rFonts w:ascii="Times New Roman"/>
                <w:b w:val="false"/>
                <w:i w:val="false"/>
                <w:color w:val="000000"/>
                <w:sz w:val="20"/>
              </w:rPr>
              <w:t>
</w:t>
            </w:r>
            <w:r>
              <w:rPr>
                <w:rFonts w:ascii="Times New Roman"/>
                <w:b w:val="false"/>
                <w:i w:val="false"/>
                <w:color w:val="000000"/>
                <w:sz w:val="20"/>
              </w:rPr>
              <w:t>в) вскрытие транспортной упаковки (контейнера для поставки);</w:t>
            </w:r>
            <w:r>
              <w:br/>
            </w:r>
            <w:r>
              <w:rPr>
                <w:rFonts w:ascii="Times New Roman"/>
                <w:b w:val="false"/>
                <w:i w:val="false"/>
                <w:color w:val="000000"/>
                <w:sz w:val="20"/>
              </w:rPr>
              <w:t>
</w:t>
            </w:r>
            <w:r>
              <w:rPr>
                <w:rFonts w:ascii="Times New Roman"/>
                <w:b w:val="false"/>
                <w:i w:val="false"/>
                <w:color w:val="000000"/>
                <w:sz w:val="20"/>
              </w:rPr>
              <w:t>г) возврат лекарственных средств в транспортную упаковку (контейнер для поставки);</w:t>
            </w:r>
            <w:r>
              <w:br/>
            </w:r>
            <w:r>
              <w:rPr>
                <w:rFonts w:ascii="Times New Roman"/>
                <w:b w:val="false"/>
                <w:i w:val="false"/>
                <w:color w:val="000000"/>
                <w:sz w:val="20"/>
              </w:rPr>
              <w:t>
</w:t>
            </w:r>
            <w:r>
              <w:rPr>
                <w:rFonts w:ascii="Times New Roman"/>
                <w:b w:val="false"/>
                <w:i w:val="false"/>
                <w:color w:val="000000"/>
                <w:sz w:val="20"/>
              </w:rPr>
              <w:t>д) сбор и возврат лекарственных средств дистрибьютору;</w:t>
            </w:r>
            <w:r>
              <w:br/>
            </w:r>
            <w:r>
              <w:rPr>
                <w:rFonts w:ascii="Times New Roman"/>
                <w:b w:val="false"/>
                <w:i w:val="false"/>
                <w:color w:val="000000"/>
                <w:sz w:val="20"/>
              </w:rPr>
              <w:t>
</w:t>
            </w:r>
            <w:r>
              <w:rPr>
                <w:rFonts w:ascii="Times New Roman"/>
                <w:b w:val="false"/>
                <w:i w:val="false"/>
                <w:color w:val="000000"/>
                <w:sz w:val="20"/>
              </w:rPr>
              <w:t>е) помещение лекарственных средств в специальную зону хранения дистрибьютора.</w:t>
            </w:r>
            <w:r>
              <w:br/>
            </w:r>
            <w:r>
              <w:rPr>
                <w:rFonts w:ascii="Times New Roman"/>
                <w:b w:val="false"/>
                <w:i w:val="false"/>
                <w:color w:val="000000"/>
                <w:sz w:val="20"/>
              </w:rPr>
              <w:t>
</w:t>
            </w:r>
            <w:r>
              <w:rPr>
                <w:rFonts w:ascii="Times New Roman"/>
                <w:b w:val="false"/>
                <w:i w:val="false"/>
                <w:color w:val="000000"/>
                <w:sz w:val="20"/>
              </w:rPr>
              <w:t>98. Приемка возвращенной продукции без документального оформления запрещается.</w:t>
            </w:r>
            <w:r>
              <w:br/>
            </w:r>
            <w:r>
              <w:rPr>
                <w:rFonts w:ascii="Times New Roman"/>
                <w:b w:val="false"/>
                <w:i w:val="false"/>
                <w:color w:val="000000"/>
                <w:sz w:val="20"/>
              </w:rPr>
              <w:t>
</w:t>
            </w:r>
            <w:r>
              <w:rPr>
                <w:rFonts w:ascii="Times New Roman"/>
                <w:b w:val="false"/>
                <w:i w:val="false"/>
                <w:color w:val="000000"/>
                <w:sz w:val="20"/>
              </w:rPr>
              <w:t>99. Лекарственные средства, возвращенные в категорию пригодных для поставки, размещаются таким образом, чтобы система отгрузки продукции с меньшим сроком годности в первую очередь (FEFO) функционировала эффективно.</w:t>
            </w:r>
            <w:r>
              <w:br/>
            </w:r>
            <w:r>
              <w:rPr>
                <w:rFonts w:ascii="Times New Roman"/>
                <w:b w:val="false"/>
                <w:i w:val="false"/>
                <w:color w:val="000000"/>
                <w:sz w:val="20"/>
              </w:rPr>
              <w:t>
100. Похищенные лекарственные средства, которые обнаружены, не возвращаются в категорию пригодных для поставки и поставлены получателям.</w:t>
            </w:r>
          </w:p>
          <w:bookmarkEnd w:id="60"/>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1"/>
          <w:p>
            <w:pPr>
              <w:spacing w:after="20"/>
              <w:ind w:left="20"/>
              <w:jc w:val="both"/>
            </w:pPr>
            <w:r>
              <w:rPr>
                <w:rFonts w:ascii="Times New Roman"/>
                <w:b w:val="false"/>
                <w:i w:val="false"/>
                <w:color w:val="000000"/>
                <w:sz w:val="20"/>
              </w:rPr>
              <w:t>
6.4. Фальсифицированные лекарственные средства</w:t>
            </w:r>
            <w:r>
              <w:br/>
            </w:r>
            <w:r>
              <w:rPr>
                <w:rFonts w:ascii="Times New Roman"/>
                <w:b w:val="false"/>
                <w:i w:val="false"/>
                <w:color w:val="000000"/>
                <w:sz w:val="20"/>
              </w:rPr>
              <w:t>
</w:t>
            </w:r>
            <w:r>
              <w:rPr>
                <w:rFonts w:ascii="Times New Roman"/>
                <w:b w:val="false"/>
                <w:i w:val="false"/>
                <w:color w:val="000000"/>
                <w:sz w:val="20"/>
              </w:rPr>
              <w:t>101. Дистрибьютор незамедлительно информирует уполномоченный орган, а также держателя регистрационного удостоверения лекарственного препарата о случае выявления фальсифицированного продукта или о наличии подозрений в такой фальсификации. Данная информация фиксируется документально в соответствии с установленными процедурами с сохранением всех исходных данных, и в ее отношении проводится расследование.</w:t>
            </w:r>
            <w:r>
              <w:br/>
            </w:r>
            <w:r>
              <w:rPr>
                <w:rFonts w:ascii="Times New Roman"/>
                <w:b w:val="false"/>
                <w:i w:val="false"/>
                <w:color w:val="000000"/>
                <w:sz w:val="20"/>
              </w:rPr>
              <w:t>
</w:t>
            </w:r>
            <w:r>
              <w:rPr>
                <w:rFonts w:ascii="Times New Roman"/>
                <w:b w:val="false"/>
                <w:i w:val="false"/>
                <w:color w:val="000000"/>
                <w:sz w:val="20"/>
              </w:rPr>
              <w:t>102. Фальсифицированные лекарственные средства, обнаруженные в цепи реализации, незамедлительно физически изолируются и помещается на хранение отдельно от другой продукции в специально выделенном помещении или зоне, доступ в которые ограничен.</w:t>
            </w:r>
            <w:r>
              <w:br/>
            </w:r>
            <w:r>
              <w:rPr>
                <w:rFonts w:ascii="Times New Roman"/>
                <w:b w:val="false"/>
                <w:i w:val="false"/>
                <w:color w:val="000000"/>
                <w:sz w:val="20"/>
              </w:rPr>
              <w:t>
103. Все операции с фальсифицированными лекарственными средствами документально оформляются, с сохранением записей.</w:t>
            </w:r>
          </w:p>
          <w:bookmarkEnd w:id="61"/>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2"/>
          <w:p>
            <w:pPr>
              <w:spacing w:after="20"/>
              <w:ind w:left="20"/>
              <w:jc w:val="both"/>
            </w:pPr>
            <w:r>
              <w:rPr>
                <w:rFonts w:ascii="Times New Roman"/>
                <w:b w:val="false"/>
                <w:i w:val="false"/>
                <w:color w:val="000000"/>
                <w:sz w:val="20"/>
              </w:rPr>
              <w:t>
6.5. Отзыв из обращения</w:t>
            </w:r>
            <w:r>
              <w:br/>
            </w:r>
            <w:r>
              <w:rPr>
                <w:rFonts w:ascii="Times New Roman"/>
                <w:b w:val="false"/>
                <w:i w:val="false"/>
                <w:color w:val="000000"/>
                <w:sz w:val="20"/>
              </w:rPr>
              <w:t>
</w:t>
            </w:r>
            <w:r>
              <w:rPr>
                <w:rFonts w:ascii="Times New Roman"/>
                <w:b w:val="false"/>
                <w:i w:val="false"/>
                <w:color w:val="000000"/>
                <w:sz w:val="20"/>
              </w:rPr>
              <w:t>104. Эффективность действий по отзыву лекарственных средств из обращения регулярно оценивается (не реже чем 1 раз в год).</w:t>
            </w:r>
            <w:r>
              <w:br/>
            </w:r>
            <w:r>
              <w:rPr>
                <w:rFonts w:ascii="Times New Roman"/>
                <w:b w:val="false"/>
                <w:i w:val="false"/>
                <w:color w:val="000000"/>
                <w:sz w:val="20"/>
              </w:rPr>
              <w:t>
</w:t>
            </w:r>
            <w:r>
              <w:rPr>
                <w:rFonts w:ascii="Times New Roman"/>
                <w:b w:val="false"/>
                <w:i w:val="false"/>
                <w:color w:val="000000"/>
                <w:sz w:val="20"/>
              </w:rPr>
              <w:t>105. Имеется возможность инициировать действия по отзыву из обращения лекарственных средств в кратчайшие сроки в любой момент времени.</w:t>
            </w:r>
            <w:r>
              <w:br/>
            </w:r>
            <w:r>
              <w:rPr>
                <w:rFonts w:ascii="Times New Roman"/>
                <w:b w:val="false"/>
                <w:i w:val="false"/>
                <w:color w:val="000000"/>
                <w:sz w:val="20"/>
              </w:rPr>
              <w:t>
</w:t>
            </w:r>
            <w:r>
              <w:rPr>
                <w:rFonts w:ascii="Times New Roman"/>
                <w:b w:val="false"/>
                <w:i w:val="false"/>
                <w:color w:val="000000"/>
                <w:sz w:val="20"/>
              </w:rPr>
              <w:t>106. Дистрибьютор следует указаниям информационного письма об отзыве из обращения, которое утверждается уполномоченным органом.</w:t>
            </w:r>
            <w:r>
              <w:br/>
            </w:r>
            <w:r>
              <w:rPr>
                <w:rFonts w:ascii="Times New Roman"/>
                <w:b w:val="false"/>
                <w:i w:val="false"/>
                <w:color w:val="000000"/>
                <w:sz w:val="20"/>
              </w:rPr>
              <w:t>
</w:t>
            </w:r>
            <w:r>
              <w:rPr>
                <w:rFonts w:ascii="Times New Roman"/>
                <w:b w:val="false"/>
                <w:i w:val="false"/>
                <w:color w:val="000000"/>
                <w:sz w:val="20"/>
              </w:rPr>
              <w:t>107. Действия по отзыву и изъятию из обращения документально оформляются в момент их осуществления в соответствии с установленными процедурами. Документация по отзыву доступна уполномоченным органам.</w:t>
            </w:r>
            <w:r>
              <w:br/>
            </w:r>
            <w:r>
              <w:rPr>
                <w:rFonts w:ascii="Times New Roman"/>
                <w:b w:val="false"/>
                <w:i w:val="false"/>
                <w:color w:val="000000"/>
                <w:sz w:val="20"/>
              </w:rPr>
              <w:t>
</w:t>
            </w:r>
            <w:r>
              <w:rPr>
                <w:rFonts w:ascii="Times New Roman"/>
                <w:b w:val="false"/>
                <w:i w:val="false"/>
                <w:color w:val="000000"/>
                <w:sz w:val="20"/>
              </w:rPr>
              <w:t>108. Записи, относящиеся к дистрибьюции, доступны для лица, ответственного за отзыв лекарственных средств из обращения, и содержать достаточную информацию о дистрибьюторах лекарственных средств и о прямых получателях (адрес, номер телефона и номер факса (при его наличии), которые доступны в рабочие и нерабочие часы), включая данные в отношении экспортированных лекарственных средств и их образцов (номер серии и (или) партии, наименование, лекарственная форма, дозировка, а также поставленное количество).</w:t>
            </w:r>
            <w:r>
              <w:br/>
            </w:r>
            <w:r>
              <w:rPr>
                <w:rFonts w:ascii="Times New Roman"/>
                <w:b w:val="false"/>
                <w:i w:val="false"/>
                <w:color w:val="000000"/>
                <w:sz w:val="20"/>
              </w:rPr>
              <w:t>
109. Последовательность выполнения действий, осуществляемых при отзыве и изъятии серии и (или) партии лекарственного средства из обращения, документально оформляется и отражается в итоговом отчете.</w:t>
            </w:r>
          </w:p>
          <w:bookmarkEnd w:id="62"/>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передаваемая на аутсорсинг</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3"/>
          <w:p>
            <w:pPr>
              <w:spacing w:after="20"/>
              <w:ind w:left="20"/>
              <w:jc w:val="both"/>
            </w:pPr>
            <w:r>
              <w:rPr>
                <w:rFonts w:ascii="Times New Roman"/>
                <w:b w:val="false"/>
                <w:i w:val="false"/>
                <w:color w:val="000000"/>
                <w:sz w:val="20"/>
              </w:rPr>
              <w:t>
7.1. Принцип</w:t>
            </w:r>
            <w:r>
              <w:br/>
            </w:r>
            <w:r>
              <w:rPr>
                <w:rFonts w:ascii="Times New Roman"/>
                <w:b w:val="false"/>
                <w:i w:val="false"/>
                <w:color w:val="000000"/>
                <w:sz w:val="20"/>
              </w:rPr>
              <w:t>
110. Любая деятельность, на которую распространяются настоящий Стандарт, переданная на аутсорсинг, надлежащим образом определяется и согласовывается, контролируется во избежание разночтений, способных привести к нарушению сохранности лекарственных средств. Заключается письменный договор между дистрибьютором-заказчиком и исполнителем, в котором четко определены обязанности каждой из сторон.</w:t>
            </w:r>
          </w:p>
          <w:bookmarkEnd w:id="63"/>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4"/>
          <w:p>
            <w:pPr>
              <w:spacing w:after="20"/>
              <w:ind w:left="20"/>
              <w:jc w:val="both"/>
            </w:pPr>
            <w:r>
              <w:rPr>
                <w:rFonts w:ascii="Times New Roman"/>
                <w:b w:val="false"/>
                <w:i w:val="false"/>
                <w:color w:val="000000"/>
                <w:sz w:val="20"/>
              </w:rPr>
              <w:t>
7.2. Заказчик</w:t>
            </w:r>
            <w:r>
              <w:br/>
            </w:r>
            <w:r>
              <w:rPr>
                <w:rFonts w:ascii="Times New Roman"/>
                <w:b w:val="false"/>
                <w:i w:val="false"/>
                <w:color w:val="000000"/>
                <w:sz w:val="20"/>
              </w:rPr>
              <w:t>
</w:t>
            </w:r>
            <w:r>
              <w:rPr>
                <w:rFonts w:ascii="Times New Roman"/>
                <w:b w:val="false"/>
                <w:i w:val="false"/>
                <w:color w:val="000000"/>
                <w:sz w:val="20"/>
              </w:rPr>
              <w:t>111. Заказчик несет ответственность за деятельность, переданную на аутсорсинг.</w:t>
            </w:r>
            <w:r>
              <w:br/>
            </w:r>
            <w:r>
              <w:rPr>
                <w:rFonts w:ascii="Times New Roman"/>
                <w:b w:val="false"/>
                <w:i w:val="false"/>
                <w:color w:val="000000"/>
                <w:sz w:val="20"/>
              </w:rPr>
              <w:t>
</w:t>
            </w:r>
            <w:r>
              <w:rPr>
                <w:rFonts w:ascii="Times New Roman"/>
                <w:b w:val="false"/>
                <w:i w:val="false"/>
                <w:color w:val="000000"/>
                <w:sz w:val="20"/>
              </w:rPr>
              <w:t>Заказчик убеждается в компетентности исполнителя для выполнения обязательств по договору и обеспечить соблюдение исполнителем требований надлежащей дистрибьюторской практики посредством установления в договоре соответствующих условий и проведения проверок.</w:t>
            </w:r>
            <w:r>
              <w:br/>
            </w:r>
            <w:r>
              <w:rPr>
                <w:rFonts w:ascii="Times New Roman"/>
                <w:b w:val="false"/>
                <w:i w:val="false"/>
                <w:color w:val="000000"/>
                <w:sz w:val="20"/>
              </w:rPr>
              <w:t>
</w:t>
            </w:r>
            <w:r>
              <w:rPr>
                <w:rFonts w:ascii="Times New Roman"/>
                <w:b w:val="false"/>
                <w:i w:val="false"/>
                <w:color w:val="000000"/>
                <w:sz w:val="20"/>
              </w:rPr>
              <w:t>Проверка правомочности, компетентности и возможности исполнителя выполнять условия договора проводится до начала осуществления деятельности, переданной на аутсорсинг, а также в случае существенных изменений такой деятельности. Периодичность проведения проверок деятельности, переданной на аутсорсинг, определяется на основании анализа рисков. Сроки и условия проведения проверок согласовываются сторонами.</w:t>
            </w:r>
            <w:r>
              <w:br/>
            </w:r>
            <w:r>
              <w:rPr>
                <w:rFonts w:ascii="Times New Roman"/>
                <w:b w:val="false"/>
                <w:i w:val="false"/>
                <w:color w:val="000000"/>
                <w:sz w:val="20"/>
              </w:rPr>
              <w:t>
112. Заказчик предоставляет исполнителю всю информацию, необходимую для выполнения деятельности, переданной на аутсорсинг, в соответствии с требованиями, применимыми к лекарственным средствам, а также любыми другими применимыми требованиями.</w:t>
            </w:r>
          </w:p>
          <w:bookmarkEnd w:id="64"/>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5"/>
          <w:p>
            <w:pPr>
              <w:spacing w:after="20"/>
              <w:ind w:left="20"/>
              <w:jc w:val="both"/>
            </w:pPr>
            <w:r>
              <w:rPr>
                <w:rFonts w:ascii="Times New Roman"/>
                <w:b w:val="false"/>
                <w:i w:val="false"/>
                <w:color w:val="000000"/>
                <w:sz w:val="20"/>
              </w:rPr>
              <w:t>
7.3. Исполнитель</w:t>
            </w:r>
            <w:r>
              <w:br/>
            </w:r>
            <w:r>
              <w:rPr>
                <w:rFonts w:ascii="Times New Roman"/>
                <w:b w:val="false"/>
                <w:i w:val="false"/>
                <w:color w:val="000000"/>
                <w:sz w:val="20"/>
              </w:rPr>
              <w:t>
</w:t>
            </w:r>
            <w:r>
              <w:rPr>
                <w:rFonts w:ascii="Times New Roman"/>
                <w:b w:val="false"/>
                <w:i w:val="false"/>
                <w:color w:val="000000"/>
                <w:sz w:val="20"/>
              </w:rPr>
              <w:t>113. Исполнитель имеет необходимые помещения и оборудование, документированные процедуры, знания и опыт, а также квалифицированный персонал для надлежащего выполнения работ (услуг) по договору.</w:t>
            </w:r>
            <w:r>
              <w:br/>
            </w:r>
            <w:r>
              <w:rPr>
                <w:rFonts w:ascii="Times New Roman"/>
                <w:b w:val="false"/>
                <w:i w:val="false"/>
                <w:color w:val="000000"/>
                <w:sz w:val="20"/>
              </w:rPr>
              <w:t>
</w:t>
            </w:r>
            <w:r>
              <w:rPr>
                <w:rFonts w:ascii="Times New Roman"/>
                <w:b w:val="false"/>
                <w:i w:val="false"/>
                <w:color w:val="000000"/>
                <w:sz w:val="20"/>
              </w:rPr>
              <w:t>114. Исполнитель не передает третьей стороне выполнение работ (услуги), выполнение которых поручено ему по договору, без предварительной оценки и одобрения такой передачи заказчиком, а также до проведения проверки третьей стороны заказчиком или исполнителем. Договор между исполнителем и третьей стороной гарантирует, что информация о выполняемых работах представляется в соответствии с договором между заказчиком и исполнителем.</w:t>
            </w:r>
            <w:r>
              <w:br/>
            </w:r>
            <w:r>
              <w:rPr>
                <w:rFonts w:ascii="Times New Roman"/>
                <w:b w:val="false"/>
                <w:i w:val="false"/>
                <w:color w:val="000000"/>
                <w:sz w:val="20"/>
              </w:rPr>
              <w:t>
</w:t>
            </w:r>
            <w:r>
              <w:rPr>
                <w:rFonts w:ascii="Times New Roman"/>
                <w:b w:val="false"/>
                <w:i w:val="false"/>
                <w:color w:val="000000"/>
                <w:sz w:val="20"/>
              </w:rPr>
              <w:t>115. Исполнитель не осуществляет какие-либо действия, которые приводят к потере качества лекарственных средств заказчика.</w:t>
            </w:r>
            <w:r>
              <w:br/>
            </w:r>
            <w:r>
              <w:rPr>
                <w:rFonts w:ascii="Times New Roman"/>
                <w:b w:val="false"/>
                <w:i w:val="false"/>
                <w:color w:val="000000"/>
                <w:sz w:val="20"/>
              </w:rPr>
              <w:t>
116. Исполнитель сообщает заказчику любую информацию, относящуюся к качеству лекарственных средств заказчика, в соответствии с условиями договора.</w:t>
            </w:r>
          </w:p>
          <w:bookmarkEnd w:id="65"/>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6"/>
          <w:p>
            <w:pPr>
              <w:spacing w:after="20"/>
              <w:ind w:left="20"/>
              <w:jc w:val="both"/>
            </w:pPr>
            <w:r>
              <w:rPr>
                <w:rFonts w:ascii="Times New Roman"/>
                <w:b w:val="false"/>
                <w:i w:val="false"/>
                <w:color w:val="000000"/>
                <w:sz w:val="20"/>
              </w:rPr>
              <w:t>
8.1. Принцип</w:t>
            </w:r>
            <w:r>
              <w:br/>
            </w:r>
            <w:r>
              <w:rPr>
                <w:rFonts w:ascii="Times New Roman"/>
                <w:b w:val="false"/>
                <w:i w:val="false"/>
                <w:color w:val="000000"/>
                <w:sz w:val="20"/>
              </w:rPr>
              <w:t>
117. Самоинспекции проводятся для контроля за внедрением и соблюдением требований надлежащей дистрибьюторской практики лекарственных средств, а также с целью разработки необходимых корректирующих мер.</w:t>
            </w:r>
          </w:p>
          <w:bookmarkEnd w:id="66"/>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7"/>
          <w:p>
            <w:pPr>
              <w:spacing w:after="20"/>
              <w:ind w:left="20"/>
              <w:jc w:val="both"/>
            </w:pPr>
            <w:r>
              <w:rPr>
                <w:rFonts w:ascii="Times New Roman"/>
                <w:b w:val="false"/>
                <w:i w:val="false"/>
                <w:color w:val="000000"/>
                <w:sz w:val="20"/>
              </w:rPr>
              <w:t>
8.2. Самоинспекция</w:t>
            </w:r>
            <w:r>
              <w:br/>
            </w:r>
            <w:r>
              <w:rPr>
                <w:rFonts w:ascii="Times New Roman"/>
                <w:b w:val="false"/>
                <w:i w:val="false"/>
                <w:color w:val="000000"/>
                <w:sz w:val="20"/>
              </w:rPr>
              <w:t>
</w:t>
            </w:r>
            <w:r>
              <w:rPr>
                <w:rFonts w:ascii="Times New Roman"/>
                <w:b w:val="false"/>
                <w:i w:val="false"/>
                <w:color w:val="000000"/>
                <w:sz w:val="20"/>
              </w:rPr>
              <w:t>118. Внедряется программа проведения самоинспекций, охватывающая в рамках определенного периода все аспекты надлежащей дистрибьюторской практики, требований законодательства Республики Казахстан, руководств и процедур.</w:t>
            </w:r>
            <w:r>
              <w:br/>
            </w:r>
            <w:r>
              <w:rPr>
                <w:rFonts w:ascii="Times New Roman"/>
                <w:b w:val="false"/>
                <w:i w:val="false"/>
                <w:color w:val="000000"/>
                <w:sz w:val="20"/>
              </w:rPr>
              <w:t>
</w:t>
            </w:r>
            <w:r>
              <w:rPr>
                <w:rFonts w:ascii="Times New Roman"/>
                <w:b w:val="false"/>
                <w:i w:val="false"/>
                <w:color w:val="000000"/>
                <w:sz w:val="20"/>
              </w:rPr>
              <w:t>119. Самоинспекции разделяются на несколько самостоятельных проверок, охватывающих отдельные стороны деятельности организации. Самоинспекции проводятся специально назначенным квалифицированным персоналом беспристрастно и тщательно. Допускаются аудиты, проводимые независимыми внешними экспертами, однако они не заменяют самоинспекцию.</w:t>
            </w:r>
            <w:r>
              <w:br/>
            </w:r>
            <w:r>
              <w:rPr>
                <w:rFonts w:ascii="Times New Roman"/>
                <w:b w:val="false"/>
                <w:i w:val="false"/>
                <w:color w:val="000000"/>
                <w:sz w:val="20"/>
              </w:rPr>
              <w:t>
</w:t>
            </w:r>
            <w:r>
              <w:rPr>
                <w:rFonts w:ascii="Times New Roman"/>
                <w:b w:val="false"/>
                <w:i w:val="false"/>
                <w:color w:val="000000"/>
                <w:sz w:val="20"/>
              </w:rPr>
              <w:t>120. Результаты самоинспекций оформляются документально. Отчеты содержат всю информацию, полученную в ходе инспекции. Копия отчета представляется руководству дистрибьютора, а также иным заинтересованным лицам.</w:t>
            </w:r>
            <w:r>
              <w:br/>
            </w:r>
            <w:r>
              <w:rPr>
                <w:rFonts w:ascii="Times New Roman"/>
                <w:b w:val="false"/>
                <w:i w:val="false"/>
                <w:color w:val="000000"/>
                <w:sz w:val="20"/>
              </w:rPr>
              <w:t>
В случае выявления недостатков или отклонений выясняют их причину, а также разработать и документально оформить корректирующие и предупреждающие действия и проконтролировать их выполнение.</w:t>
            </w:r>
          </w:p>
          <w:bookmarkEnd w:id="67"/>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8"/>
          <w:p>
            <w:pPr>
              <w:spacing w:after="20"/>
              <w:ind w:left="20"/>
              <w:jc w:val="both"/>
            </w:pPr>
            <w:r>
              <w:rPr>
                <w:rFonts w:ascii="Times New Roman"/>
                <w:b w:val="false"/>
                <w:i w:val="false"/>
                <w:color w:val="000000"/>
                <w:sz w:val="20"/>
              </w:rPr>
              <w:t>
9.1. Принцип</w:t>
            </w:r>
            <w:r>
              <w:br/>
            </w:r>
            <w:r>
              <w:rPr>
                <w:rFonts w:ascii="Times New Roman"/>
                <w:b w:val="false"/>
                <w:i w:val="false"/>
                <w:color w:val="000000"/>
                <w:sz w:val="20"/>
              </w:rPr>
              <w:t>
</w:t>
            </w:r>
            <w:r>
              <w:rPr>
                <w:rFonts w:ascii="Times New Roman"/>
                <w:b w:val="false"/>
                <w:i w:val="false"/>
                <w:color w:val="000000"/>
                <w:sz w:val="20"/>
              </w:rPr>
              <w:t>121. Дистрибьютор, поставляющий лекарственные средства, осуществляет транспортировку в условиях, обеспечивающих их сохранность и целостность, защиту от воздействия факторов окружающей среды, соблюдение необходимого температурного режима (условий хранения), а также защиту от фальсификации.</w:t>
            </w:r>
            <w:r>
              <w:br/>
            </w:r>
            <w:r>
              <w:rPr>
                <w:rFonts w:ascii="Times New Roman"/>
                <w:b w:val="false"/>
                <w:i w:val="false"/>
                <w:color w:val="000000"/>
                <w:sz w:val="20"/>
              </w:rPr>
              <w:t>
</w:t>
            </w:r>
            <w:r>
              <w:rPr>
                <w:rFonts w:ascii="Times New Roman"/>
                <w:b w:val="false"/>
                <w:i w:val="false"/>
                <w:color w:val="000000"/>
                <w:sz w:val="20"/>
              </w:rPr>
              <w:t>122. Независимо от способа транспортировки дистрибьютор обеспечивает возможность подтверждения того, что качество и целостность лекарственных средств не подвергнуты негативному воздействию в процессе транспортировки.</w:t>
            </w:r>
            <w:r>
              <w:br/>
            </w:r>
            <w:r>
              <w:rPr>
                <w:rFonts w:ascii="Times New Roman"/>
                <w:b w:val="false"/>
                <w:i w:val="false"/>
                <w:color w:val="000000"/>
                <w:sz w:val="20"/>
              </w:rPr>
              <w:t>
123. Планирование транспортировки осуществляется на основании анализа возможных рисков.</w:t>
            </w:r>
          </w:p>
          <w:bookmarkEnd w:id="68"/>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9"/>
          <w:p>
            <w:pPr>
              <w:spacing w:after="20"/>
              <w:ind w:left="20"/>
              <w:jc w:val="both"/>
            </w:pPr>
            <w:r>
              <w:rPr>
                <w:rFonts w:ascii="Times New Roman"/>
                <w:b w:val="false"/>
                <w:i w:val="false"/>
                <w:color w:val="000000"/>
                <w:sz w:val="20"/>
              </w:rPr>
              <w:t>
9.2. Транспортировка</w:t>
            </w:r>
            <w:r>
              <w:br/>
            </w:r>
            <w:r>
              <w:rPr>
                <w:rFonts w:ascii="Times New Roman"/>
                <w:b w:val="false"/>
                <w:i w:val="false"/>
                <w:color w:val="000000"/>
                <w:sz w:val="20"/>
              </w:rPr>
              <w:t>
</w:t>
            </w:r>
            <w:r>
              <w:rPr>
                <w:rFonts w:ascii="Times New Roman"/>
                <w:b w:val="false"/>
                <w:i w:val="false"/>
                <w:color w:val="000000"/>
                <w:sz w:val="20"/>
              </w:rPr>
              <w:t>124. Требуемые условия хранения лекарственных средств соблюдается в течение всего времени транспортировки в соответствии с указаниями производителя или информацией на упаковке.</w:t>
            </w:r>
            <w:r>
              <w:br/>
            </w:r>
            <w:r>
              <w:rPr>
                <w:rFonts w:ascii="Times New Roman"/>
                <w:b w:val="false"/>
                <w:i w:val="false"/>
                <w:color w:val="000000"/>
                <w:sz w:val="20"/>
              </w:rPr>
              <w:t>
</w:t>
            </w:r>
            <w:r>
              <w:rPr>
                <w:rFonts w:ascii="Times New Roman"/>
                <w:b w:val="false"/>
                <w:i w:val="false"/>
                <w:color w:val="000000"/>
                <w:sz w:val="20"/>
              </w:rPr>
              <w:t>В случае возникновения таких отклонений, как нарушение температурного режима или порча лекарственных средств в процессе транспортировки, информация о них сообщается отправителю и получателю. Разработана и документально оформляется процедура, определяющая порядок действий при возникновении отклонений и расследовании данных фактов.</w:t>
            </w:r>
            <w:r>
              <w:br/>
            </w:r>
            <w:r>
              <w:rPr>
                <w:rFonts w:ascii="Times New Roman"/>
                <w:b w:val="false"/>
                <w:i w:val="false"/>
                <w:color w:val="000000"/>
                <w:sz w:val="20"/>
              </w:rPr>
              <w:t>
</w:t>
            </w:r>
            <w:r>
              <w:rPr>
                <w:rFonts w:ascii="Times New Roman"/>
                <w:b w:val="false"/>
                <w:i w:val="false"/>
                <w:color w:val="000000"/>
                <w:sz w:val="20"/>
              </w:rPr>
              <w:t>125. Дистрибьютор обеспечивает условия, при которых транспортные средства и оборудование, используемые для транспортировки лекарственных средств, соответствовали бы целям их использования и надлежащим образом укомплектованы для защиты от нежелательного воздействия, которое приводит к потере качества лекарственных средств или нарушить целостность упаковки.</w:t>
            </w:r>
            <w:r>
              <w:br/>
            </w:r>
            <w:r>
              <w:rPr>
                <w:rFonts w:ascii="Times New Roman"/>
                <w:b w:val="false"/>
                <w:i w:val="false"/>
                <w:color w:val="000000"/>
                <w:sz w:val="20"/>
              </w:rPr>
              <w:t>
</w:t>
            </w:r>
            <w:r>
              <w:rPr>
                <w:rFonts w:ascii="Times New Roman"/>
                <w:b w:val="false"/>
                <w:i w:val="false"/>
                <w:color w:val="000000"/>
                <w:sz w:val="20"/>
              </w:rPr>
              <w:t>126. Транспортное средство и его оборудование, используемые для транспортировки лекарственных средств, содержится в чистоте и подвергается очистке и уборке в соответствии с требованиями санитарных норм, установленных законодательством Республики Казахстан. Разрабатываются письменные процедуры по обслуживанию и эксплуатации транспортных средств и оборудования, используемых для дистрибьюции лекарственных средств, включая очистку и меры безопасности.</w:t>
            </w:r>
            <w:r>
              <w:br/>
            </w:r>
            <w:r>
              <w:rPr>
                <w:rFonts w:ascii="Times New Roman"/>
                <w:b w:val="false"/>
                <w:i w:val="false"/>
                <w:color w:val="000000"/>
                <w:sz w:val="20"/>
              </w:rPr>
              <w:t>
</w:t>
            </w:r>
            <w:r>
              <w:rPr>
                <w:rFonts w:ascii="Times New Roman"/>
                <w:b w:val="false"/>
                <w:i w:val="false"/>
                <w:color w:val="000000"/>
                <w:sz w:val="20"/>
              </w:rPr>
              <w:t>127. Определение необходимости контроля температуры основывается на анализе рисков, связанных с транспортировкой лекарственных средств по выбранному маршруту. Оборудование, используемое для контроля температуры в процессе транспортировки, установленное на транспортном средстве или в контейнере, проходит периодическое техническое обслуживание, поверку и калибровку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128. При обращении с лекарственными средствами следует по возможности использовать специализированные транспортные средства и оборудование.</w:t>
            </w:r>
            <w:r>
              <w:br/>
            </w:r>
            <w:r>
              <w:rPr>
                <w:rFonts w:ascii="Times New Roman"/>
                <w:b w:val="false"/>
                <w:i w:val="false"/>
                <w:color w:val="000000"/>
                <w:sz w:val="20"/>
              </w:rPr>
              <w:t>
</w:t>
            </w:r>
            <w:r>
              <w:rPr>
                <w:rFonts w:ascii="Times New Roman"/>
                <w:b w:val="false"/>
                <w:i w:val="false"/>
                <w:color w:val="000000"/>
                <w:sz w:val="20"/>
              </w:rPr>
              <w:t>Если используются неспециализированные транспортные средства и оборудование, разрабатываются и принимаются в форме письменного документа процедуры, обеспечивающие сохранение качества лекарственных средств.</w:t>
            </w:r>
            <w:r>
              <w:br/>
            </w:r>
            <w:r>
              <w:rPr>
                <w:rFonts w:ascii="Times New Roman"/>
                <w:b w:val="false"/>
                <w:i w:val="false"/>
                <w:color w:val="000000"/>
                <w:sz w:val="20"/>
              </w:rPr>
              <w:t>
</w:t>
            </w:r>
            <w:r>
              <w:rPr>
                <w:rFonts w:ascii="Times New Roman"/>
                <w:b w:val="false"/>
                <w:i w:val="false"/>
                <w:color w:val="000000"/>
                <w:sz w:val="20"/>
              </w:rPr>
              <w:t>129. Лекарственные средства доставляются по адресу, указанному в документах на поставку, и передаются непосредственно в помещение получателя. Лекарственные средства не оставляются в каких-либо других помещениях.</w:t>
            </w:r>
            <w:r>
              <w:br/>
            </w:r>
            <w:r>
              <w:rPr>
                <w:rFonts w:ascii="Times New Roman"/>
                <w:b w:val="false"/>
                <w:i w:val="false"/>
                <w:color w:val="000000"/>
                <w:sz w:val="20"/>
              </w:rPr>
              <w:t>
</w:t>
            </w:r>
            <w:r>
              <w:rPr>
                <w:rFonts w:ascii="Times New Roman"/>
                <w:b w:val="false"/>
                <w:i w:val="false"/>
                <w:color w:val="000000"/>
                <w:sz w:val="20"/>
              </w:rPr>
              <w:t>Для организации экстренных доставок в нерабочие часы назначаются специализированный персонал, действующий на основании документированных процедур.</w:t>
            </w:r>
            <w:r>
              <w:br/>
            </w:r>
            <w:r>
              <w:rPr>
                <w:rFonts w:ascii="Times New Roman"/>
                <w:b w:val="false"/>
                <w:i w:val="false"/>
                <w:color w:val="000000"/>
                <w:sz w:val="20"/>
              </w:rPr>
              <w:t>
</w:t>
            </w:r>
            <w:r>
              <w:rPr>
                <w:rFonts w:ascii="Times New Roman"/>
                <w:b w:val="false"/>
                <w:i w:val="false"/>
                <w:color w:val="000000"/>
                <w:sz w:val="20"/>
              </w:rPr>
              <w:t>130. Транспортировка третьими лицами осуществляется на основании договора, содержащего требования, установленные в подразделе 7 настоящего раздела</w:t>
            </w:r>
            <w:r>
              <w:br/>
            </w:r>
            <w:r>
              <w:rPr>
                <w:rFonts w:ascii="Times New Roman"/>
                <w:b w:val="false"/>
                <w:i w:val="false"/>
                <w:color w:val="000000"/>
                <w:sz w:val="20"/>
              </w:rPr>
              <w:t>
</w:t>
            </w:r>
            <w:r>
              <w:rPr>
                <w:rFonts w:ascii="Times New Roman"/>
                <w:b w:val="false"/>
                <w:i w:val="false"/>
                <w:color w:val="000000"/>
                <w:sz w:val="20"/>
              </w:rPr>
              <w:t>Транспортные компании уведомляются о требованиях к условиям транспортировки лекарственных средств.</w:t>
            </w:r>
            <w:r>
              <w:br/>
            </w:r>
            <w:r>
              <w:rPr>
                <w:rFonts w:ascii="Times New Roman"/>
                <w:b w:val="false"/>
                <w:i w:val="false"/>
                <w:color w:val="000000"/>
                <w:sz w:val="20"/>
              </w:rPr>
              <w:t>
</w:t>
            </w:r>
            <w:r>
              <w:rPr>
                <w:rFonts w:ascii="Times New Roman"/>
                <w:b w:val="false"/>
                <w:i w:val="false"/>
                <w:color w:val="000000"/>
                <w:sz w:val="20"/>
              </w:rPr>
              <w:t>Ответственность за соблюдение условий транспортировки лекарственных средств возлагается на дистрибьютора.</w:t>
            </w:r>
            <w:r>
              <w:br/>
            </w:r>
            <w:r>
              <w:rPr>
                <w:rFonts w:ascii="Times New Roman"/>
                <w:b w:val="false"/>
                <w:i w:val="false"/>
                <w:color w:val="000000"/>
                <w:sz w:val="20"/>
              </w:rPr>
              <w:t>
</w:t>
            </w:r>
            <w:r>
              <w:rPr>
                <w:rFonts w:ascii="Times New Roman"/>
                <w:b w:val="false"/>
                <w:i w:val="false"/>
                <w:color w:val="000000"/>
                <w:sz w:val="20"/>
              </w:rPr>
              <w:t>Ответственность за соблюдение условий транспортировки лекарственных средств определяется условиями договора заключенного между Получателем и Отправителем продукции.</w:t>
            </w:r>
            <w:r>
              <w:br/>
            </w:r>
            <w:r>
              <w:rPr>
                <w:rFonts w:ascii="Times New Roman"/>
                <w:b w:val="false"/>
                <w:i w:val="false"/>
                <w:color w:val="000000"/>
                <w:sz w:val="20"/>
              </w:rPr>
              <w:t>
</w:t>
            </w:r>
            <w:r>
              <w:rPr>
                <w:rFonts w:ascii="Times New Roman"/>
                <w:b w:val="false"/>
                <w:i w:val="false"/>
                <w:color w:val="000000"/>
                <w:sz w:val="20"/>
              </w:rPr>
              <w:t>131. В случаях когда транспортировка сопровождается операциями по разгрузке и обратной загрузке или включает в себя транзитное хранение, обеспечиваются надлежащие условия производственной среды помещений и безопасность хранения на транзитных складах. К условиям производственной среды помещений, которые контролируются, относятся: температурный режим, освещенность, влажность воздуха и чистота.</w:t>
            </w:r>
            <w:r>
              <w:br/>
            </w:r>
            <w:r>
              <w:rPr>
                <w:rFonts w:ascii="Times New Roman"/>
                <w:b w:val="false"/>
                <w:i w:val="false"/>
                <w:color w:val="000000"/>
                <w:sz w:val="20"/>
              </w:rPr>
              <w:t>
Предпринимаются меры для сокращения продолжительности временного хранения перед следующим этапом транспортировки.</w:t>
            </w:r>
          </w:p>
          <w:bookmarkEnd w:id="6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0"/>
          <w:p>
            <w:pPr>
              <w:spacing w:after="20"/>
              <w:ind w:left="20"/>
              <w:jc w:val="both"/>
            </w:pPr>
            <w:r>
              <w:rPr>
                <w:rFonts w:ascii="Times New Roman"/>
                <w:b w:val="false"/>
                <w:i w:val="false"/>
                <w:color w:val="000000"/>
                <w:sz w:val="20"/>
              </w:rPr>
              <w:t>
9.3. Тара, упаковка и маркировка</w:t>
            </w:r>
            <w:r>
              <w:br/>
            </w:r>
            <w:r>
              <w:rPr>
                <w:rFonts w:ascii="Times New Roman"/>
                <w:b w:val="false"/>
                <w:i w:val="false"/>
                <w:color w:val="000000"/>
                <w:sz w:val="20"/>
              </w:rPr>
              <w:t>
</w:t>
            </w:r>
            <w:r>
              <w:rPr>
                <w:rFonts w:ascii="Times New Roman"/>
                <w:b w:val="false"/>
                <w:i w:val="false"/>
                <w:color w:val="000000"/>
                <w:sz w:val="20"/>
              </w:rPr>
              <w:t>132. Лекарственные средства транспортируются в транспортной таре, которая не оказывает негативного влияния на их качество и обеспечивает надежную защиту от внешнего воздействия, в том числе предотвращает возможность контаминации.</w:t>
            </w:r>
            <w:r>
              <w:br/>
            </w:r>
            <w:r>
              <w:rPr>
                <w:rFonts w:ascii="Times New Roman"/>
                <w:b w:val="false"/>
                <w:i w:val="false"/>
                <w:color w:val="000000"/>
                <w:sz w:val="20"/>
              </w:rPr>
              <w:t>
</w:t>
            </w:r>
            <w:r>
              <w:rPr>
                <w:rFonts w:ascii="Times New Roman"/>
                <w:b w:val="false"/>
                <w:i w:val="false"/>
                <w:color w:val="000000"/>
                <w:sz w:val="20"/>
              </w:rPr>
              <w:t>Выбор транспортной тары и упаковки основывается на требованиях к условиям хранения и транспортировки лекарственных средств, на объеме, необходимом для размещения требуемого количества, предполагаемых колебаниях температуры окружающей среды, предполагаемой максимальной длительности транспортировки, включая временное хранение на таможенных складах.</w:t>
            </w:r>
            <w:r>
              <w:br/>
            </w:r>
            <w:r>
              <w:rPr>
                <w:rFonts w:ascii="Times New Roman"/>
                <w:b w:val="false"/>
                <w:i w:val="false"/>
                <w:color w:val="000000"/>
                <w:sz w:val="20"/>
              </w:rPr>
              <w:t>
133. Для обеспечения надлежащего обращения с лекарственными средствами и уровня безопасности на транспортную тару наносится маркировка, содержащая необходимую информацию о требованиях по обращению и хранению данной транспортной тары с лекарственным средством, а также о необходимых мерах предосторожности. Информация на транспортной таре обеспечивает возможность идентификации содержимого и источник его происхождения.</w:t>
            </w:r>
          </w:p>
          <w:bookmarkEnd w:id="70"/>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71"/>
          <w:p>
            <w:pPr>
              <w:spacing w:after="20"/>
              <w:ind w:left="20"/>
              <w:jc w:val="both"/>
            </w:pPr>
            <w:r>
              <w:rPr>
                <w:rFonts w:ascii="Times New Roman"/>
                <w:b w:val="false"/>
                <w:i w:val="false"/>
                <w:color w:val="000000"/>
                <w:sz w:val="20"/>
              </w:rPr>
              <w:t>
9.4. Лекарственные средства, требующие особого обращения</w:t>
            </w:r>
            <w:r>
              <w:br/>
            </w:r>
            <w:r>
              <w:rPr>
                <w:rFonts w:ascii="Times New Roman"/>
                <w:b w:val="false"/>
                <w:i w:val="false"/>
                <w:color w:val="000000"/>
                <w:sz w:val="20"/>
              </w:rPr>
              <w:t>
</w:t>
            </w:r>
            <w:r>
              <w:rPr>
                <w:rFonts w:ascii="Times New Roman"/>
                <w:b w:val="false"/>
                <w:i w:val="false"/>
                <w:color w:val="000000"/>
                <w:sz w:val="20"/>
              </w:rPr>
              <w:t>134. При транспортировке таких требующих особого обращения лекарственных средств, как лекарственные средства, содержащие наркотические средства, психотропные вещества и их прекурсоры, яды (ядовитые вещества) и подлежащие особым видам контроля в соответствии с законодательством Республики Казахстан, дистрибьютор обеспечивает безопасный и защищенный от неправомерного доступа режим транспортировки в соответствии с требованиями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Создаются дополнительные системы контроля в отношении поставок указанных лекарственных средств. Разрабатывается и документально оформляется процедура, определяющая порядок действий в случае их хищения. Любые случаи хищений документируются.</w:t>
            </w:r>
            <w:r>
              <w:br/>
            </w:r>
            <w:r>
              <w:rPr>
                <w:rFonts w:ascii="Times New Roman"/>
                <w:b w:val="false"/>
                <w:i w:val="false"/>
                <w:color w:val="000000"/>
                <w:sz w:val="20"/>
              </w:rPr>
              <w:t>
</w:t>
            </w:r>
            <w:r>
              <w:rPr>
                <w:rFonts w:ascii="Times New Roman"/>
                <w:b w:val="false"/>
                <w:i w:val="false"/>
                <w:color w:val="000000"/>
                <w:sz w:val="20"/>
              </w:rPr>
              <w:t>135. Опасные (высокоактивные) и радиоактивные лекарственные средства транспортируются в защищенных, специализированных и надежных транспортных средствах. Принимаемые меры безопасности соответствуют законодательству Республики Казахстан и международным договорам.</w:t>
            </w:r>
            <w:r>
              <w:br/>
            </w:r>
            <w:r>
              <w:rPr>
                <w:rFonts w:ascii="Times New Roman"/>
                <w:b w:val="false"/>
                <w:i w:val="false"/>
                <w:color w:val="000000"/>
                <w:sz w:val="20"/>
              </w:rPr>
              <w:t>
</w:t>
            </w:r>
            <w:r>
              <w:rPr>
                <w:rFonts w:ascii="Times New Roman"/>
                <w:b w:val="false"/>
                <w:i w:val="false"/>
                <w:color w:val="000000"/>
                <w:sz w:val="20"/>
              </w:rPr>
              <w:t>136. Для обеспечения требуемых условий транспортировки при транспортировке термолабильных лекарственных средств используются специальное оборудование или средства (изотермическая упаковка, контейнеры), а также транспортные средства, обеспечивающие поддержание требуемого температурного режима.</w:t>
            </w:r>
            <w:r>
              <w:br/>
            </w:r>
            <w:r>
              <w:rPr>
                <w:rFonts w:ascii="Times New Roman"/>
                <w:b w:val="false"/>
                <w:i w:val="false"/>
                <w:color w:val="000000"/>
                <w:sz w:val="20"/>
              </w:rPr>
              <w:t>
</w:t>
            </w:r>
            <w:r>
              <w:rPr>
                <w:rFonts w:ascii="Times New Roman"/>
                <w:b w:val="false"/>
                <w:i w:val="false"/>
                <w:color w:val="000000"/>
                <w:sz w:val="20"/>
              </w:rPr>
              <w:t>Транспортные средства, обеспечивающие поддержание требуемого температурного режима, и оборудование, используемое для контроля температуры в процессе транспортировки термолабильных лекарственных средств, проходит периодическое техническое обслуживание, поверку и калибровку.</w:t>
            </w:r>
            <w:r>
              <w:br/>
            </w:r>
            <w:r>
              <w:rPr>
                <w:rFonts w:ascii="Times New Roman"/>
                <w:b w:val="false"/>
                <w:i w:val="false"/>
                <w:color w:val="000000"/>
                <w:sz w:val="20"/>
              </w:rPr>
              <w:t>
</w:t>
            </w:r>
            <w:r>
              <w:rPr>
                <w:rFonts w:ascii="Times New Roman"/>
                <w:b w:val="false"/>
                <w:i w:val="false"/>
                <w:color w:val="000000"/>
                <w:sz w:val="20"/>
              </w:rPr>
              <w:t>Проводят анализ температурного картирования с соблюдением условий, отражающих параметры эксплуатации, и с учетом сезонных колебаний.</w:t>
            </w:r>
            <w:r>
              <w:br/>
            </w:r>
            <w:r>
              <w:rPr>
                <w:rFonts w:ascii="Times New Roman"/>
                <w:b w:val="false"/>
                <w:i w:val="false"/>
                <w:color w:val="000000"/>
                <w:sz w:val="20"/>
              </w:rPr>
              <w:t>
</w:t>
            </w:r>
            <w:r>
              <w:rPr>
                <w:rFonts w:ascii="Times New Roman"/>
                <w:b w:val="false"/>
                <w:i w:val="false"/>
                <w:color w:val="000000"/>
                <w:sz w:val="20"/>
              </w:rPr>
              <w:t>По запросу получателя представляются данные, подтверждающие соблюдение температурного режима при хранении и транспортировке термолабильных лекарственных средств.</w:t>
            </w:r>
            <w:r>
              <w:br/>
            </w:r>
            <w:r>
              <w:rPr>
                <w:rFonts w:ascii="Times New Roman"/>
                <w:b w:val="false"/>
                <w:i w:val="false"/>
                <w:color w:val="000000"/>
                <w:sz w:val="20"/>
              </w:rPr>
              <w:t>
</w:t>
            </w:r>
            <w:r>
              <w:rPr>
                <w:rFonts w:ascii="Times New Roman"/>
                <w:b w:val="false"/>
                <w:i w:val="false"/>
                <w:color w:val="000000"/>
                <w:sz w:val="20"/>
              </w:rPr>
              <w:t>137. Хладоэлементы в изотермических контейнерах размещаются таким образом, чтобы отсутствовал прямой контакт с лекарственными средствами. Персонал обучают требованиям процедур по подготовке изотермических контейнеров (с учетом сезонных особенностей), а также требованиям к повторному использованию хладоэлементов.</w:t>
            </w:r>
            <w:r>
              <w:br/>
            </w:r>
            <w:r>
              <w:rPr>
                <w:rFonts w:ascii="Times New Roman"/>
                <w:b w:val="false"/>
                <w:i w:val="false"/>
                <w:color w:val="000000"/>
                <w:sz w:val="20"/>
              </w:rPr>
              <w:t>
</w:t>
            </w:r>
            <w:r>
              <w:rPr>
                <w:rFonts w:ascii="Times New Roman"/>
                <w:b w:val="false"/>
                <w:i w:val="false"/>
                <w:color w:val="000000"/>
                <w:sz w:val="20"/>
              </w:rPr>
              <w:t>Разрабатываются меры, направленные на предотвращение повторного использования недостаточно охлажденных хладоэлементов. Обеспечивается надлежащая физическая изоляция охлажденных и замороженных хладоэлементов.</w:t>
            </w:r>
            <w:r>
              <w:br/>
            </w:r>
            <w:r>
              <w:rPr>
                <w:rFonts w:ascii="Times New Roman"/>
                <w:b w:val="false"/>
                <w:i w:val="false"/>
                <w:color w:val="000000"/>
                <w:sz w:val="20"/>
              </w:rPr>
              <w:t>
Процесс доставки термолабильных лекарственных средств с учетом контроля сезонных колебаний температур описывается документированной процедуре.</w:t>
            </w:r>
          </w:p>
          <w:bookmarkEnd w:id="7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социальной защиты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392</w:t>
            </w:r>
          </w:p>
        </w:tc>
      </w:tr>
    </w:tbl>
    <w:bookmarkStart w:name="z62" w:id="72"/>
    <w:p>
      <w:pPr>
        <w:spacing w:after="0"/>
        <w:ind w:left="0"/>
        <w:jc w:val="left"/>
      </w:pPr>
      <w:r>
        <w:rPr>
          <w:rFonts w:ascii="Times New Roman"/>
          <w:b/>
          <w:i w:val="false"/>
          <w:color w:val="000000"/>
        </w:rPr>
        <w:t xml:space="preserve"> Cтандарт надлежащей аптечной практики (GPP)</w:t>
      </w:r>
    </w:p>
    <w:bookmarkEnd w:id="72"/>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РК от 08.05.2019 </w:t>
      </w:r>
      <w:r>
        <w:rPr>
          <w:rFonts w:ascii="Times New Roman"/>
          <w:b w:val="false"/>
          <w:i w:val="false"/>
          <w:color w:val="ff0000"/>
          <w:sz w:val="28"/>
        </w:rPr>
        <w:t>№ ҚР ДСМ-71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1615"/>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73"/>
          <w:p>
            <w:pPr>
              <w:spacing w:after="20"/>
              <w:ind w:left="20"/>
              <w:jc w:val="both"/>
            </w:pPr>
            <w:r>
              <w:rPr>
                <w:rFonts w:ascii="Times New Roman"/>
                <w:b w:val="false"/>
                <w:i w:val="false"/>
                <w:color w:val="000000"/>
                <w:sz w:val="20"/>
              </w:rPr>
              <w:t>
Стандарт надлежащей аптечной практики (GPP) (далее – Стандарт) разработан с целью обеспечения надлежащего качества фармацевтических услуг, оказываемых фармацевтическими работниками населению Республики Казахстан, устанавливают требования к надлежащей аптечной практике и организации системы управления качеством.</w:t>
            </w:r>
            <w:r>
              <w:br/>
            </w:r>
            <w:r>
              <w:rPr>
                <w:rFonts w:ascii="Times New Roman"/>
                <w:b w:val="false"/>
                <w:i w:val="false"/>
                <w:color w:val="000000"/>
                <w:sz w:val="20"/>
              </w:rPr>
              <w:t>
</w:t>
            </w:r>
            <w:r>
              <w:rPr>
                <w:rFonts w:ascii="Times New Roman"/>
                <w:b w:val="false"/>
                <w:i w:val="false"/>
                <w:color w:val="000000"/>
                <w:sz w:val="20"/>
              </w:rPr>
              <w:t>Стандарт направлен на обеспечение населения качественными, безопасными лекарственными средствами и медицинскими изделиями, предоставления ему достоверной информации о лекарственном средстве, пропаганду здорового образа жизни и профилактику заболеваний, обеспечение рационального применения рецептурных лекарственных препаратов и предоставлении информации об имевших место побочных действиях лекарственных препаратов и оказание помощи при самолечении.</w:t>
            </w:r>
            <w:r>
              <w:br/>
            </w:r>
            <w:r>
              <w:rPr>
                <w:rFonts w:ascii="Times New Roman"/>
                <w:b w:val="false"/>
                <w:i w:val="false"/>
                <w:color w:val="000000"/>
                <w:sz w:val="20"/>
              </w:rPr>
              <w:t>
</w:t>
            </w:r>
            <w:r>
              <w:rPr>
                <w:rFonts w:ascii="Times New Roman"/>
                <w:b w:val="false"/>
                <w:i w:val="false"/>
                <w:color w:val="000000"/>
                <w:sz w:val="20"/>
              </w:rPr>
              <w:t>Положения настоящего Стандарта направлены на обеспечение взаимосвязи врача, пациента и фармацевта, позволяющие оптимизировать использование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Стандарт распространяется на организации, осуществляющие розничную реализацию лекарственных средств.</w:t>
            </w:r>
            <w:r>
              <w:br/>
            </w:r>
            <w:r>
              <w:rPr>
                <w:rFonts w:ascii="Times New Roman"/>
                <w:b w:val="false"/>
                <w:i w:val="false"/>
                <w:color w:val="000000"/>
                <w:sz w:val="20"/>
              </w:rPr>
              <w:t>
</w:t>
            </w:r>
            <w:r>
              <w:rPr>
                <w:rFonts w:ascii="Times New Roman"/>
                <w:b w:val="false"/>
                <w:i w:val="false"/>
                <w:color w:val="000000"/>
                <w:sz w:val="20"/>
              </w:rPr>
              <w:t>Аптечные организации соответствуют квалификационным требованиям, предъявляемым при лицензировании фармацевтической деятельности, связанной с розничной реализацией лекарственных средств и медицинских изделий, изготовлением лекарственных препаратов.</w:t>
            </w:r>
            <w:r>
              <w:br/>
            </w:r>
            <w:r>
              <w:rPr>
                <w:rFonts w:ascii="Times New Roman"/>
                <w:b w:val="false"/>
                <w:i w:val="false"/>
                <w:color w:val="000000"/>
                <w:sz w:val="20"/>
              </w:rPr>
              <w:t>
</w:t>
            </w:r>
            <w:r>
              <w:rPr>
                <w:rFonts w:ascii="Times New Roman"/>
                <w:b w:val="false"/>
                <w:i w:val="false"/>
                <w:color w:val="000000"/>
                <w:sz w:val="20"/>
              </w:rPr>
              <w:t>Приобретение, хранение, реализация и уничтожение наркотических средств, психотропных веществ и прекурсоров, подлежащих контролю в Республике Казахстан осуществляется в соответствии с законодательством Республики Казахстан о наркотических средствах, психотропных веществах и прекурсорах.</w:t>
            </w:r>
            <w:r>
              <w:br/>
            </w:r>
            <w:r>
              <w:rPr>
                <w:rFonts w:ascii="Times New Roman"/>
                <w:b w:val="false"/>
                <w:i w:val="false"/>
                <w:color w:val="000000"/>
                <w:sz w:val="20"/>
              </w:rPr>
              <w:t>
</w:t>
            </w:r>
            <w:r>
              <w:rPr>
                <w:rFonts w:ascii="Times New Roman"/>
                <w:b w:val="false"/>
                <w:i w:val="false"/>
                <w:color w:val="000000"/>
                <w:sz w:val="20"/>
              </w:rPr>
              <w:t>Организация работы по розничной реализации лекарственных средств и медицинских изделий гарантирует и обеспечивает их надлежащее качество и квалифицированное обслуживание населения.</w:t>
            </w:r>
            <w:r>
              <w:br/>
            </w:r>
            <w:r>
              <w:rPr>
                <w:rFonts w:ascii="Times New Roman"/>
                <w:b w:val="false"/>
                <w:i w:val="false"/>
                <w:color w:val="000000"/>
                <w:sz w:val="20"/>
              </w:rPr>
              <w:t>
</w:t>
            </w:r>
            <w:r>
              <w:rPr>
                <w:rFonts w:ascii="Times New Roman"/>
                <w:b w:val="false"/>
                <w:i w:val="false"/>
                <w:color w:val="000000"/>
                <w:sz w:val="20"/>
              </w:rPr>
              <w:t>Аптечные организации оказывают фармацевтические услуги, подразделяющиеся на:</w:t>
            </w:r>
            <w:r>
              <w:br/>
            </w:r>
            <w:r>
              <w:rPr>
                <w:rFonts w:ascii="Times New Roman"/>
                <w:b w:val="false"/>
                <w:i w:val="false"/>
                <w:color w:val="000000"/>
                <w:sz w:val="20"/>
              </w:rPr>
              <w:t>
</w:t>
            </w:r>
            <w:r>
              <w:rPr>
                <w:rFonts w:ascii="Times New Roman"/>
                <w:b w:val="false"/>
                <w:i w:val="false"/>
                <w:color w:val="000000"/>
                <w:sz w:val="20"/>
              </w:rPr>
              <w:t>основные: отпуск контролируемых лекарственных средств, отпуск лекарственных средств по рецептам и без рецепта врачей, по требованиям медицинских организаций, отпуск товаров аптечного ассортимента, экстемпоральное изготовление лекарственных форм, контроль их качества, хранение;</w:t>
            </w:r>
            <w:r>
              <w:br/>
            </w:r>
            <w:r>
              <w:rPr>
                <w:rFonts w:ascii="Times New Roman"/>
                <w:b w:val="false"/>
                <w:i w:val="false"/>
                <w:color w:val="000000"/>
                <w:sz w:val="20"/>
              </w:rPr>
              <w:t>
дополнительные: справочное, информационное, консультационное обслуживание населения, работа по приему заказу товаров аптечного ассортимента по телефону, доставка лекарственных средств безрецептурного отпуска и товаров аптечного ассортимента на дом, резервирование по телефону отсутствующих лекарственных препаратов, использование товарных скидок, прокат предметов ухода за больными, благоприятный режим работы, услуги фитобара, самообслуживание.</w:t>
            </w:r>
          </w:p>
          <w:bookmarkEnd w:id="73"/>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4"/>
          <w:p>
            <w:pPr>
              <w:spacing w:after="20"/>
              <w:ind w:left="20"/>
              <w:jc w:val="both"/>
            </w:pPr>
            <w:r>
              <w:rPr>
                <w:rFonts w:ascii="Times New Roman"/>
                <w:b w:val="false"/>
                <w:i w:val="false"/>
                <w:color w:val="000000"/>
                <w:sz w:val="20"/>
              </w:rPr>
              <w:t>
В настоящем Стандарте используются следующие термины и определения:</w:t>
            </w:r>
            <w:r>
              <w:br/>
            </w:r>
            <w:r>
              <w:rPr>
                <w:rFonts w:ascii="Times New Roman"/>
                <w:b w:val="false"/>
                <w:i w:val="false"/>
                <w:color w:val="000000"/>
                <w:sz w:val="20"/>
              </w:rPr>
              <w:t>
</w:t>
            </w:r>
            <w:r>
              <w:rPr>
                <w:rFonts w:ascii="Times New Roman"/>
                <w:b w:val="false"/>
                <w:i w:val="false"/>
                <w:color w:val="000000"/>
                <w:sz w:val="20"/>
              </w:rPr>
              <w:t>1) аптечная организация – организация здравоохранения, осуществляющая фармацевтическую деятельность по изготовлению и розничной реализации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2) договор (контракт) – письменное, датированное, подписанное соглашение между двумя или более сторонами, определяющее права и обязанности, условия поставки, транспортирования, обеспечения качества товаров и услуг, оплаты и другие вопросы, касающиеся надлежащего выполнения правил аптечной практики;</w:t>
            </w:r>
            <w:r>
              <w:br/>
            </w:r>
            <w:r>
              <w:rPr>
                <w:rFonts w:ascii="Times New Roman"/>
                <w:b w:val="false"/>
                <w:i w:val="false"/>
                <w:color w:val="000000"/>
                <w:sz w:val="20"/>
              </w:rPr>
              <w:t>
</w:t>
            </w:r>
            <w:r>
              <w:rPr>
                <w:rFonts w:ascii="Times New Roman"/>
                <w:b w:val="false"/>
                <w:i w:val="false"/>
                <w:color w:val="000000"/>
                <w:sz w:val="20"/>
              </w:rPr>
              <w:t>3) документация – совокупность документов, подтверждающих все операции, проводимые аптечной организацией;</w:t>
            </w:r>
            <w:r>
              <w:br/>
            </w:r>
            <w:r>
              <w:rPr>
                <w:rFonts w:ascii="Times New Roman"/>
                <w:b w:val="false"/>
                <w:i w:val="false"/>
                <w:color w:val="000000"/>
                <w:sz w:val="20"/>
              </w:rPr>
              <w:t>
</w:t>
            </w:r>
            <w:r>
              <w:rPr>
                <w:rFonts w:ascii="Times New Roman"/>
                <w:b w:val="false"/>
                <w:i w:val="false"/>
                <w:color w:val="000000"/>
                <w:sz w:val="20"/>
              </w:rPr>
              <w:t>4) рациональное использование лекарственных препаратов – применение лекарственных препаратов, в соответствии с клинической необходимостью в дозах, отвечающих индивидуальным потребностям на протяжении курса лечения;</w:t>
            </w:r>
            <w:r>
              <w:br/>
            </w:r>
            <w:r>
              <w:rPr>
                <w:rFonts w:ascii="Times New Roman"/>
                <w:b w:val="false"/>
                <w:i w:val="false"/>
                <w:color w:val="000000"/>
                <w:sz w:val="20"/>
              </w:rPr>
              <w:t>
</w:t>
            </w:r>
            <w:r>
              <w:rPr>
                <w:rFonts w:ascii="Times New Roman"/>
                <w:b w:val="false"/>
                <w:i w:val="false"/>
                <w:color w:val="000000"/>
                <w:sz w:val="20"/>
              </w:rPr>
              <w:t>5) самоинспекция – процесс оценки компетентным лицом (несколькими лицами) аптечной организации на соответствие выполнения требований настоящего Стандарта;</w:t>
            </w:r>
            <w:r>
              <w:br/>
            </w:r>
            <w:r>
              <w:rPr>
                <w:rFonts w:ascii="Times New Roman"/>
                <w:b w:val="false"/>
                <w:i w:val="false"/>
                <w:color w:val="000000"/>
                <w:sz w:val="20"/>
              </w:rPr>
              <w:t>
</w:t>
            </w:r>
            <w:r>
              <w:rPr>
                <w:rFonts w:ascii="Times New Roman"/>
                <w:b w:val="false"/>
                <w:i w:val="false"/>
                <w:color w:val="000000"/>
                <w:sz w:val="20"/>
              </w:rPr>
              <w:t>6) стандартные операционные процедуры (далее – СОП) – подробные письменные инструкции, обеспечивающие единообразие определенных функций;</w:t>
            </w:r>
            <w:r>
              <w:br/>
            </w:r>
            <w:r>
              <w:rPr>
                <w:rFonts w:ascii="Times New Roman"/>
                <w:b w:val="false"/>
                <w:i w:val="false"/>
                <w:color w:val="000000"/>
                <w:sz w:val="20"/>
              </w:rPr>
              <w:t>
</w:t>
            </w:r>
            <w:r>
              <w:rPr>
                <w:rFonts w:ascii="Times New Roman"/>
                <w:b w:val="false"/>
                <w:i w:val="false"/>
                <w:color w:val="000000"/>
                <w:sz w:val="20"/>
              </w:rPr>
              <w:t>7) товары аптечного ассортимента – продукция промышленного производства, предназначенная для лечебных, лечебно-профилактических, лечебно-диагностических и оздоровительных целей, распространяемая преимущественно аптечными организациями;</w:t>
            </w:r>
            <w:r>
              <w:br/>
            </w:r>
            <w:r>
              <w:rPr>
                <w:rFonts w:ascii="Times New Roman"/>
                <w:b w:val="false"/>
                <w:i w:val="false"/>
                <w:color w:val="000000"/>
                <w:sz w:val="20"/>
              </w:rPr>
              <w:t>
</w:t>
            </w:r>
            <w:r>
              <w:rPr>
                <w:rFonts w:ascii="Times New Roman"/>
                <w:b w:val="false"/>
                <w:i w:val="false"/>
                <w:color w:val="000000"/>
                <w:sz w:val="20"/>
              </w:rPr>
              <w:t>8) фармацевтическая услуга – сфера деятельности аптечной организации, в которой удовлетворяется конкретная потребность пациента или медицинской организации, фармацевтическая деятельность, осуществляемая в области здравоохранения по изготовлению лекарственных препаратов, розничной реализации лекарственных средств и медицинских изделий, связанная с закупом (приобретением), хранением,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эффективности и качества;</w:t>
            </w:r>
            <w:r>
              <w:br/>
            </w:r>
            <w:r>
              <w:rPr>
                <w:rFonts w:ascii="Times New Roman"/>
                <w:b w:val="false"/>
                <w:i w:val="false"/>
                <w:color w:val="000000"/>
                <w:sz w:val="20"/>
              </w:rPr>
              <w:t>
</w:t>
            </w:r>
            <w:r>
              <w:rPr>
                <w:rFonts w:ascii="Times New Roman"/>
                <w:b w:val="false"/>
                <w:i w:val="false"/>
                <w:color w:val="000000"/>
                <w:sz w:val="20"/>
              </w:rPr>
              <w:t>9) фармацевтическая услуга по оказанию гарантированного объема бесплатной медицинской помощи – деятельность субъектов в сфере обращения лекарственных средств и медицинских изделий, связанная с обеспечением населения лекарственными средствами и медицинскими изделиями, включая закуп, транспортировку, хранение, реализацию и учет;</w:t>
            </w:r>
            <w:r>
              <w:br/>
            </w:r>
            <w:r>
              <w:rPr>
                <w:rFonts w:ascii="Times New Roman"/>
                <w:b w:val="false"/>
                <w:i w:val="false"/>
                <w:color w:val="000000"/>
                <w:sz w:val="20"/>
              </w:rPr>
              <w:t>
</w:t>
            </w:r>
            <w:r>
              <w:rPr>
                <w:rFonts w:ascii="Times New Roman"/>
                <w:b w:val="false"/>
                <w:i w:val="false"/>
                <w:color w:val="000000"/>
                <w:sz w:val="20"/>
              </w:rPr>
              <w:t>10) ответственное (уполномоченное) лицо за качество – лицо, ответственное за обеспечение сохранности качества, безопасности, отсутствие недопустимого риска, связанного с возможностью нанесения вреда жизни, здоровью человека, окружающей среде и эффективности лекарственных средств и товаров аптечного ассортимента и не относящихся к лекарственным средствам и медицинским изделиям в соответствии с перечнем, утверждаемым уполномоченным органом, при осуществлении деятельности аптечной организации;</w:t>
            </w:r>
            <w:r>
              <w:br/>
            </w:r>
            <w:r>
              <w:rPr>
                <w:rFonts w:ascii="Times New Roman"/>
                <w:b w:val="false"/>
                <w:i w:val="false"/>
                <w:color w:val="000000"/>
                <w:sz w:val="20"/>
              </w:rPr>
              <w:t>
11)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Законом Республики Казахстан "О разрешениях и уведомлениях".</w:t>
            </w:r>
          </w:p>
          <w:bookmarkEnd w:id="74"/>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и требования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5"/>
          <w:p>
            <w:pPr>
              <w:spacing w:after="20"/>
              <w:ind w:left="20"/>
              <w:jc w:val="both"/>
            </w:pPr>
            <w:r>
              <w:rPr>
                <w:rFonts w:ascii="Times New Roman"/>
                <w:b w:val="false"/>
                <w:i w:val="false"/>
                <w:color w:val="000000"/>
                <w:sz w:val="20"/>
              </w:rPr>
              <w:t>
3.1. Основными принципами являются:</w:t>
            </w:r>
            <w:r>
              <w:br/>
            </w:r>
            <w:r>
              <w:rPr>
                <w:rFonts w:ascii="Times New Roman"/>
                <w:b w:val="false"/>
                <w:i w:val="false"/>
                <w:color w:val="000000"/>
                <w:sz w:val="20"/>
              </w:rPr>
              <w:t>
</w:t>
            </w:r>
            <w:r>
              <w:rPr>
                <w:rFonts w:ascii="Times New Roman"/>
                <w:b w:val="false"/>
                <w:i w:val="false"/>
                <w:color w:val="000000"/>
                <w:sz w:val="20"/>
              </w:rPr>
              <w:t>отпуск лекарственных средств и медицинских изделий надлежащего качества;</w:t>
            </w:r>
            <w:r>
              <w:br/>
            </w:r>
            <w:r>
              <w:rPr>
                <w:rFonts w:ascii="Times New Roman"/>
                <w:b w:val="false"/>
                <w:i w:val="false"/>
                <w:color w:val="000000"/>
                <w:sz w:val="20"/>
              </w:rPr>
              <w:t>
</w:t>
            </w:r>
            <w:r>
              <w:rPr>
                <w:rFonts w:ascii="Times New Roman"/>
                <w:b w:val="false"/>
                <w:i w:val="false"/>
                <w:color w:val="000000"/>
                <w:sz w:val="20"/>
              </w:rPr>
              <w:t>предоставление достоверной и объективной информации, касающейся свойств и надлежащего применения лекарственных средств;</w:t>
            </w:r>
            <w:r>
              <w:br/>
            </w:r>
            <w:r>
              <w:rPr>
                <w:rFonts w:ascii="Times New Roman"/>
                <w:b w:val="false"/>
                <w:i w:val="false"/>
                <w:color w:val="000000"/>
                <w:sz w:val="20"/>
              </w:rPr>
              <w:t>
</w:t>
            </w:r>
            <w:r>
              <w:rPr>
                <w:rFonts w:ascii="Times New Roman"/>
                <w:b w:val="false"/>
                <w:i w:val="false"/>
                <w:color w:val="000000"/>
                <w:sz w:val="20"/>
              </w:rPr>
              <w:t>рациональное назначение лекарственных средств и правильное их использование;</w:t>
            </w:r>
            <w:r>
              <w:br/>
            </w:r>
            <w:r>
              <w:rPr>
                <w:rFonts w:ascii="Times New Roman"/>
                <w:b w:val="false"/>
                <w:i w:val="false"/>
                <w:color w:val="000000"/>
                <w:sz w:val="20"/>
              </w:rPr>
              <w:t>
</w:t>
            </w:r>
            <w:r>
              <w:rPr>
                <w:rFonts w:ascii="Times New Roman"/>
                <w:b w:val="false"/>
                <w:i w:val="false"/>
                <w:color w:val="000000"/>
                <w:sz w:val="20"/>
              </w:rPr>
              <w:t>профессиональное взаимодействие с работниками здравоохранения (врачами) по вопросам фармакотерапии;</w:t>
            </w:r>
            <w:r>
              <w:br/>
            </w:r>
            <w:r>
              <w:rPr>
                <w:rFonts w:ascii="Times New Roman"/>
                <w:b w:val="false"/>
                <w:i w:val="false"/>
                <w:color w:val="000000"/>
                <w:sz w:val="20"/>
              </w:rPr>
              <w:t>
</w:t>
            </w:r>
            <w:r>
              <w:rPr>
                <w:rFonts w:ascii="Times New Roman"/>
                <w:b w:val="false"/>
                <w:i w:val="false"/>
                <w:color w:val="000000"/>
                <w:sz w:val="20"/>
              </w:rPr>
              <w:t>надлежащее предоставление фармацевтических услуг.</w:t>
            </w:r>
            <w:r>
              <w:br/>
            </w:r>
            <w:r>
              <w:rPr>
                <w:rFonts w:ascii="Times New Roman"/>
                <w:b w:val="false"/>
                <w:i w:val="false"/>
                <w:color w:val="000000"/>
                <w:sz w:val="20"/>
              </w:rPr>
              <w:t>
</w:t>
            </w:r>
            <w:r>
              <w:rPr>
                <w:rFonts w:ascii="Times New Roman"/>
                <w:b w:val="false"/>
                <w:i w:val="false"/>
                <w:color w:val="000000"/>
                <w:sz w:val="20"/>
              </w:rPr>
              <w:t>3.2. Основными требованиями надлежащей аптечной практики являются:</w:t>
            </w:r>
            <w:r>
              <w:br/>
            </w:r>
            <w:r>
              <w:rPr>
                <w:rFonts w:ascii="Times New Roman"/>
                <w:b w:val="false"/>
                <w:i w:val="false"/>
                <w:color w:val="000000"/>
                <w:sz w:val="20"/>
              </w:rPr>
              <w:t>
</w:t>
            </w:r>
            <w:r>
              <w:rPr>
                <w:rFonts w:ascii="Times New Roman"/>
                <w:b w:val="false"/>
                <w:i w:val="false"/>
                <w:color w:val="000000"/>
                <w:sz w:val="20"/>
              </w:rPr>
              <w:t>ориентация на пациента в целях сохранения здоровья человека;</w:t>
            </w:r>
            <w:r>
              <w:br/>
            </w:r>
            <w:r>
              <w:rPr>
                <w:rFonts w:ascii="Times New Roman"/>
                <w:b w:val="false"/>
                <w:i w:val="false"/>
                <w:color w:val="000000"/>
                <w:sz w:val="20"/>
              </w:rPr>
              <w:t>
</w:t>
            </w:r>
            <w:r>
              <w:rPr>
                <w:rFonts w:ascii="Times New Roman"/>
                <w:b w:val="false"/>
                <w:i w:val="false"/>
                <w:color w:val="000000"/>
                <w:sz w:val="20"/>
              </w:rPr>
              <w:t>содействие рациональному назначению и надлежащему использованию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ориентирование каждого элемента фармацевтической услуги на отдельную личность;</w:t>
            </w:r>
            <w:r>
              <w:br/>
            </w:r>
            <w:r>
              <w:rPr>
                <w:rFonts w:ascii="Times New Roman"/>
                <w:b w:val="false"/>
                <w:i w:val="false"/>
                <w:color w:val="000000"/>
                <w:sz w:val="20"/>
              </w:rPr>
              <w:t>
</w:t>
            </w:r>
            <w:r>
              <w:rPr>
                <w:rFonts w:ascii="Times New Roman"/>
                <w:b w:val="false"/>
                <w:i w:val="false"/>
                <w:color w:val="000000"/>
                <w:sz w:val="20"/>
              </w:rPr>
              <w:t>соблюдение профессиональной этики и конфиденциальности;</w:t>
            </w:r>
            <w:r>
              <w:br/>
            </w:r>
            <w:r>
              <w:rPr>
                <w:rFonts w:ascii="Times New Roman"/>
                <w:b w:val="false"/>
                <w:i w:val="false"/>
                <w:color w:val="000000"/>
                <w:sz w:val="20"/>
              </w:rPr>
              <w:t>
</w:t>
            </w:r>
            <w:r>
              <w:rPr>
                <w:rFonts w:ascii="Times New Roman"/>
                <w:b w:val="false"/>
                <w:i w:val="false"/>
                <w:color w:val="000000"/>
                <w:sz w:val="20"/>
              </w:rPr>
              <w:t>оказание качественных фармацевтических услуг;</w:t>
            </w:r>
            <w:r>
              <w:br/>
            </w:r>
            <w:r>
              <w:rPr>
                <w:rFonts w:ascii="Times New Roman"/>
                <w:b w:val="false"/>
                <w:i w:val="false"/>
                <w:color w:val="000000"/>
                <w:sz w:val="20"/>
              </w:rPr>
              <w:t>
</w:t>
            </w:r>
            <w:r>
              <w:rPr>
                <w:rFonts w:ascii="Times New Roman"/>
                <w:b w:val="false"/>
                <w:i w:val="false"/>
                <w:color w:val="000000"/>
                <w:sz w:val="20"/>
              </w:rPr>
              <w:t>наличие квалифицированного персонала, владеющего основами фармакологии, фармакотерапии и деонтологии;</w:t>
            </w:r>
            <w:r>
              <w:br/>
            </w:r>
            <w:r>
              <w:rPr>
                <w:rFonts w:ascii="Times New Roman"/>
                <w:b w:val="false"/>
                <w:i w:val="false"/>
                <w:color w:val="000000"/>
                <w:sz w:val="20"/>
              </w:rPr>
              <w:t>
</w:t>
            </w:r>
            <w:r>
              <w:rPr>
                <w:rFonts w:ascii="Times New Roman"/>
                <w:b w:val="false"/>
                <w:i w:val="false"/>
                <w:color w:val="000000"/>
                <w:sz w:val="20"/>
              </w:rPr>
              <w:t>наличие соответствующего оборудования, помещений и других необходимых условий, для обеспечения надлежащего качества лекарственных средств и медицинских изделий до потребителя, включая хранение, учет и реализацию;</w:t>
            </w:r>
            <w:r>
              <w:br/>
            </w:r>
            <w:r>
              <w:rPr>
                <w:rFonts w:ascii="Times New Roman"/>
                <w:b w:val="false"/>
                <w:i w:val="false"/>
                <w:color w:val="000000"/>
                <w:sz w:val="20"/>
              </w:rPr>
              <w:t>
</w:t>
            </w:r>
            <w:r>
              <w:rPr>
                <w:rFonts w:ascii="Times New Roman"/>
                <w:b w:val="false"/>
                <w:i w:val="false"/>
                <w:color w:val="000000"/>
                <w:sz w:val="20"/>
              </w:rPr>
              <w:t>наличие специальной литературы для оказания консультативной и информационной помощи населению;</w:t>
            </w:r>
            <w:r>
              <w:br/>
            </w:r>
            <w:r>
              <w:rPr>
                <w:rFonts w:ascii="Times New Roman"/>
                <w:b w:val="false"/>
                <w:i w:val="false"/>
                <w:color w:val="000000"/>
                <w:sz w:val="20"/>
              </w:rPr>
              <w:t>
</w:t>
            </w:r>
            <w:r>
              <w:rPr>
                <w:rFonts w:ascii="Times New Roman"/>
                <w:b w:val="false"/>
                <w:i w:val="false"/>
                <w:color w:val="000000"/>
                <w:sz w:val="20"/>
              </w:rPr>
              <w:t>взаимодействие аптечной и медицинской организации, подразумевающее взаимное доверие и конфиденциальность во всех вопросах, относящихся к фармакотерапии, укреплению здоровья, профилактики заболеваний населения и фармаконадзора;</w:t>
            </w:r>
            <w:r>
              <w:br/>
            </w:r>
            <w:r>
              <w:rPr>
                <w:rFonts w:ascii="Times New Roman"/>
                <w:b w:val="false"/>
                <w:i w:val="false"/>
                <w:color w:val="000000"/>
                <w:sz w:val="20"/>
              </w:rPr>
              <w:t>
</w:t>
            </w:r>
            <w:r>
              <w:rPr>
                <w:rFonts w:ascii="Times New Roman"/>
                <w:b w:val="false"/>
                <w:i w:val="false"/>
                <w:color w:val="000000"/>
                <w:sz w:val="20"/>
              </w:rPr>
              <w:t>систематическое (непрерывное), развитие и повышение уровня знаний всех сотрудников, в том числе путем повышения квалификации не менее 1 раза в 5 лет для фармацевтических сотрудников;</w:t>
            </w:r>
            <w:r>
              <w:br/>
            </w:r>
            <w:r>
              <w:rPr>
                <w:rFonts w:ascii="Times New Roman"/>
                <w:b w:val="false"/>
                <w:i w:val="false"/>
                <w:color w:val="000000"/>
                <w:sz w:val="20"/>
              </w:rPr>
              <w:t>
</w:t>
            </w:r>
            <w:r>
              <w:rPr>
                <w:rFonts w:ascii="Times New Roman"/>
                <w:b w:val="false"/>
                <w:i w:val="false"/>
                <w:color w:val="000000"/>
                <w:sz w:val="20"/>
              </w:rPr>
              <w:t>наличие надлежащей документации;</w:t>
            </w:r>
            <w:r>
              <w:br/>
            </w:r>
            <w:r>
              <w:rPr>
                <w:rFonts w:ascii="Times New Roman"/>
                <w:b w:val="false"/>
                <w:i w:val="false"/>
                <w:color w:val="000000"/>
                <w:sz w:val="20"/>
              </w:rPr>
              <w:t>
обеспечение мероприятий по системе закупок лекарственных средств, медицинских изделий, товаров аптечного ассортимента и не относящихся к лекарственным средствам и медицинским изделиям в соответствии с перечнем, утверждаемым уполномоченным органом в области здравоохранения, обнаружению и предотвращению распространения фальсифицированной фармацевтической продукции.</w:t>
            </w:r>
          </w:p>
          <w:bookmarkEnd w:id="75"/>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 и профилактика заболеваний</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76"/>
          <w:p>
            <w:pPr>
              <w:spacing w:after="20"/>
              <w:ind w:left="20"/>
              <w:jc w:val="both"/>
            </w:pPr>
            <w:r>
              <w:rPr>
                <w:rFonts w:ascii="Times New Roman"/>
                <w:b w:val="false"/>
                <w:i w:val="false"/>
                <w:color w:val="000000"/>
                <w:sz w:val="20"/>
              </w:rPr>
              <w:t>
4.1. Пропаганда здорового образа жизни и профилактика заболеваний является одним из направлений выполнения требований Стандарта по рациональному использованию лекарственных средств, медицинских изделий (включая минимизацию злоупотребления ими и неправильного их использования), санитарному просвещению населения и профилактики заболеваний.</w:t>
            </w:r>
            <w:r>
              <w:br/>
            </w:r>
            <w:r>
              <w:rPr>
                <w:rFonts w:ascii="Times New Roman"/>
                <w:b w:val="false"/>
                <w:i w:val="false"/>
                <w:color w:val="000000"/>
                <w:sz w:val="20"/>
              </w:rPr>
              <w:t>
</w:t>
            </w:r>
            <w:r>
              <w:rPr>
                <w:rFonts w:ascii="Times New Roman"/>
                <w:b w:val="false"/>
                <w:i w:val="false"/>
                <w:color w:val="000000"/>
                <w:sz w:val="20"/>
              </w:rPr>
              <w:t>4.2. Профилактика заболеваний заключается в принятии мер по улучшению качества жизни, уменьшению риска возникновения заболевания, выявлению симптомов заболевания на ранней стадии, предотвращению рецидивов заболевания.</w:t>
            </w:r>
            <w:r>
              <w:br/>
            </w:r>
            <w:r>
              <w:rPr>
                <w:rFonts w:ascii="Times New Roman"/>
                <w:b w:val="false"/>
                <w:i w:val="false"/>
                <w:color w:val="000000"/>
                <w:sz w:val="20"/>
              </w:rPr>
              <w:t>
</w:t>
            </w:r>
            <w:r>
              <w:rPr>
                <w:rFonts w:ascii="Times New Roman"/>
                <w:b w:val="false"/>
                <w:i w:val="false"/>
                <w:color w:val="000000"/>
                <w:sz w:val="20"/>
              </w:rPr>
              <w:t>4.3. Для проведения мероприятий, нацеленных на укрепление здоровья населения и профилактику заболеваний необходимо:</w:t>
            </w:r>
            <w:r>
              <w:br/>
            </w:r>
            <w:r>
              <w:rPr>
                <w:rFonts w:ascii="Times New Roman"/>
                <w:b w:val="false"/>
                <w:i w:val="false"/>
                <w:color w:val="000000"/>
                <w:sz w:val="20"/>
              </w:rPr>
              <w:t>
</w:t>
            </w:r>
            <w:r>
              <w:rPr>
                <w:rFonts w:ascii="Times New Roman"/>
                <w:b w:val="false"/>
                <w:i w:val="false"/>
                <w:color w:val="000000"/>
                <w:sz w:val="20"/>
              </w:rPr>
              <w:t>взаимодействие с медицинскими организациями и участие в программах по вопросам укрепления здоровья населения и профилактике заболеваний, а также рациональному применению и назначению лекарственных средств;</w:t>
            </w:r>
            <w:r>
              <w:br/>
            </w:r>
            <w:r>
              <w:rPr>
                <w:rFonts w:ascii="Times New Roman"/>
                <w:b w:val="false"/>
                <w:i w:val="false"/>
                <w:color w:val="000000"/>
                <w:sz w:val="20"/>
              </w:rPr>
              <w:t>
</w:t>
            </w:r>
            <w:r>
              <w:rPr>
                <w:rFonts w:ascii="Times New Roman"/>
                <w:b w:val="false"/>
                <w:i w:val="false"/>
                <w:color w:val="000000"/>
                <w:sz w:val="20"/>
              </w:rPr>
              <w:t>проведение индивидуальных консультаций с пациентами по их просьбе;</w:t>
            </w:r>
            <w:r>
              <w:br/>
            </w:r>
            <w:r>
              <w:rPr>
                <w:rFonts w:ascii="Times New Roman"/>
                <w:b w:val="false"/>
                <w:i w:val="false"/>
                <w:color w:val="000000"/>
                <w:sz w:val="20"/>
              </w:rPr>
              <w:t>
</w:t>
            </w:r>
            <w:r>
              <w:rPr>
                <w:rFonts w:ascii="Times New Roman"/>
                <w:b w:val="false"/>
                <w:i w:val="false"/>
                <w:color w:val="000000"/>
                <w:sz w:val="20"/>
              </w:rPr>
              <w:t>наличие в аптеке информационных стендов о пропаганде здорового образа жизни;</w:t>
            </w:r>
            <w:r>
              <w:br/>
            </w:r>
            <w:r>
              <w:rPr>
                <w:rFonts w:ascii="Times New Roman"/>
                <w:b w:val="false"/>
                <w:i w:val="false"/>
                <w:color w:val="000000"/>
                <w:sz w:val="20"/>
              </w:rPr>
              <w:t>
</w:t>
            </w:r>
            <w:r>
              <w:rPr>
                <w:rFonts w:ascii="Times New Roman"/>
                <w:b w:val="false"/>
                <w:i w:val="false"/>
                <w:color w:val="000000"/>
                <w:sz w:val="20"/>
              </w:rPr>
              <w:t>предоставление населению информационных брошюр и буклетов медико-санитарного содержания по вопросам здоровья;</w:t>
            </w:r>
            <w:r>
              <w:br/>
            </w:r>
            <w:r>
              <w:rPr>
                <w:rFonts w:ascii="Times New Roman"/>
                <w:b w:val="false"/>
                <w:i w:val="false"/>
                <w:color w:val="000000"/>
                <w:sz w:val="20"/>
              </w:rPr>
              <w:t>
</w:t>
            </w:r>
            <w:r>
              <w:rPr>
                <w:rFonts w:ascii="Times New Roman"/>
                <w:b w:val="false"/>
                <w:i w:val="false"/>
                <w:color w:val="000000"/>
                <w:sz w:val="20"/>
              </w:rPr>
              <w:t>наличие документации по надлежащему информированию пациентов;</w:t>
            </w:r>
            <w:r>
              <w:br/>
            </w:r>
            <w:r>
              <w:rPr>
                <w:rFonts w:ascii="Times New Roman"/>
                <w:b w:val="false"/>
                <w:i w:val="false"/>
                <w:color w:val="000000"/>
                <w:sz w:val="20"/>
              </w:rPr>
              <w:t>
</w:t>
            </w:r>
            <w:r>
              <w:rPr>
                <w:rFonts w:ascii="Times New Roman"/>
                <w:b w:val="false"/>
                <w:i w:val="false"/>
                <w:color w:val="000000"/>
                <w:sz w:val="20"/>
              </w:rPr>
              <w:t>наличие необходимой справочной литературы;</w:t>
            </w:r>
            <w:r>
              <w:br/>
            </w:r>
            <w:r>
              <w:rPr>
                <w:rFonts w:ascii="Times New Roman"/>
                <w:b w:val="false"/>
                <w:i w:val="false"/>
                <w:color w:val="000000"/>
                <w:sz w:val="20"/>
              </w:rPr>
              <w:t>
</w:t>
            </w:r>
            <w:r>
              <w:rPr>
                <w:rFonts w:ascii="Times New Roman"/>
                <w:b w:val="false"/>
                <w:i w:val="false"/>
                <w:color w:val="000000"/>
                <w:sz w:val="20"/>
              </w:rPr>
              <w:t>соответствующая профессиональная подготовка фармацевта по предоставлению пациенту надлежащей консультации, включая направление к врачу, а также предоставление доврачебной помощи.</w:t>
            </w:r>
            <w:r>
              <w:br/>
            </w:r>
            <w:r>
              <w:rPr>
                <w:rFonts w:ascii="Times New Roman"/>
                <w:b w:val="false"/>
                <w:i w:val="false"/>
                <w:color w:val="000000"/>
                <w:sz w:val="20"/>
              </w:rPr>
              <w:t>
</w:t>
            </w:r>
            <w:r>
              <w:rPr>
                <w:rFonts w:ascii="Times New Roman"/>
                <w:b w:val="false"/>
                <w:i w:val="false"/>
                <w:color w:val="000000"/>
                <w:sz w:val="20"/>
              </w:rPr>
              <w:t>4.4. Информация предоставляется пациенту с соблюдением требований профессиональной этики, в доступной и понятной форме.</w:t>
            </w:r>
            <w:r>
              <w:br/>
            </w:r>
            <w:r>
              <w:rPr>
                <w:rFonts w:ascii="Times New Roman"/>
                <w:b w:val="false"/>
                <w:i w:val="false"/>
                <w:color w:val="000000"/>
                <w:sz w:val="20"/>
              </w:rPr>
              <w:t>
4.5. Все проводимые мероприятия документируются. Ответственность за хранение документации возлагается на лицо, ответственное (уполномоченное) за качество или заведующего аптекой.</w:t>
            </w:r>
          </w:p>
          <w:bookmarkEnd w:id="76"/>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применения рецептурных лекарственных препаратов</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77"/>
          <w:p>
            <w:pPr>
              <w:spacing w:after="20"/>
              <w:ind w:left="20"/>
              <w:jc w:val="both"/>
            </w:pPr>
            <w:r>
              <w:rPr>
                <w:rFonts w:ascii="Times New Roman"/>
                <w:b w:val="false"/>
                <w:i w:val="false"/>
                <w:color w:val="000000"/>
                <w:sz w:val="20"/>
              </w:rPr>
              <w:t>
5.1. Для обеспечения надлежащего отпуска лекарственные средства поступают в обращение с маркировкой, нанесенной на потребительскую упаковку (первичную, вторичную), хорошо читаемым текстом на казахском и русском языках и инструкцией по медицинскому применению.</w:t>
            </w:r>
            <w:r>
              <w:br/>
            </w:r>
            <w:r>
              <w:rPr>
                <w:rFonts w:ascii="Times New Roman"/>
                <w:b w:val="false"/>
                <w:i w:val="false"/>
                <w:color w:val="000000"/>
                <w:sz w:val="20"/>
              </w:rPr>
              <w:t>
</w:t>
            </w:r>
            <w:r>
              <w:rPr>
                <w:rFonts w:ascii="Times New Roman"/>
                <w:b w:val="false"/>
                <w:i w:val="false"/>
                <w:color w:val="000000"/>
                <w:sz w:val="20"/>
              </w:rPr>
              <w:t>5.2. Предоставление пациенту объективной информации о лекарственных средствах, медицинских изделиях доступными понятиями и советы по их применению.</w:t>
            </w:r>
            <w:r>
              <w:br/>
            </w:r>
            <w:r>
              <w:rPr>
                <w:rFonts w:ascii="Times New Roman"/>
                <w:b w:val="false"/>
                <w:i w:val="false"/>
                <w:color w:val="000000"/>
                <w:sz w:val="20"/>
              </w:rPr>
              <w:t>
</w:t>
            </w:r>
            <w:r>
              <w:rPr>
                <w:rFonts w:ascii="Times New Roman"/>
                <w:b w:val="false"/>
                <w:i w:val="false"/>
                <w:color w:val="000000"/>
                <w:sz w:val="20"/>
              </w:rPr>
              <w:t>5.3. Деятельность персонала по обеспечению и рациональному применению лекарственных препаратов включает в себя:</w:t>
            </w:r>
            <w:r>
              <w:br/>
            </w:r>
            <w:r>
              <w:rPr>
                <w:rFonts w:ascii="Times New Roman"/>
                <w:b w:val="false"/>
                <w:i w:val="false"/>
                <w:color w:val="000000"/>
                <w:sz w:val="20"/>
              </w:rPr>
              <w:t>
</w:t>
            </w:r>
            <w:r>
              <w:rPr>
                <w:rFonts w:ascii="Times New Roman"/>
                <w:b w:val="false"/>
                <w:i w:val="false"/>
                <w:color w:val="000000"/>
                <w:sz w:val="20"/>
              </w:rPr>
              <w:t>наличие достаточного количества квалифицированного персонала;</w:t>
            </w:r>
            <w:r>
              <w:br/>
            </w:r>
            <w:r>
              <w:rPr>
                <w:rFonts w:ascii="Times New Roman"/>
                <w:b w:val="false"/>
                <w:i w:val="false"/>
                <w:color w:val="000000"/>
                <w:sz w:val="20"/>
              </w:rPr>
              <w:t>
</w:t>
            </w:r>
            <w:r>
              <w:rPr>
                <w:rFonts w:ascii="Times New Roman"/>
                <w:b w:val="false"/>
                <w:i w:val="false"/>
                <w:color w:val="000000"/>
                <w:sz w:val="20"/>
              </w:rPr>
              <w:t>соблюдение врачом правил выписывания рецептов (на бумажном и/или электронном носителе), правильности оформления и полноты сведений в рецепте, проверке соответствия прописанных доз возрасту больного, норм единовременного отпуска, совместимость выписанных лекарственных средств;</w:t>
            </w:r>
            <w:r>
              <w:br/>
            </w:r>
            <w:r>
              <w:rPr>
                <w:rFonts w:ascii="Times New Roman"/>
                <w:b w:val="false"/>
                <w:i w:val="false"/>
                <w:color w:val="000000"/>
                <w:sz w:val="20"/>
              </w:rPr>
              <w:t>
</w:t>
            </w:r>
            <w:r>
              <w:rPr>
                <w:rFonts w:ascii="Times New Roman"/>
                <w:b w:val="false"/>
                <w:i w:val="false"/>
                <w:color w:val="000000"/>
                <w:sz w:val="20"/>
              </w:rPr>
              <w:t>соблюдение технологии изготовления и обеспечение качества лекарственных препаратов;</w:t>
            </w:r>
            <w:r>
              <w:br/>
            </w:r>
            <w:r>
              <w:rPr>
                <w:rFonts w:ascii="Times New Roman"/>
                <w:b w:val="false"/>
                <w:i w:val="false"/>
                <w:color w:val="000000"/>
                <w:sz w:val="20"/>
              </w:rPr>
              <w:t>
</w:t>
            </w:r>
            <w:r>
              <w:rPr>
                <w:rFonts w:ascii="Times New Roman"/>
                <w:b w:val="false"/>
                <w:i w:val="false"/>
                <w:color w:val="000000"/>
                <w:sz w:val="20"/>
              </w:rPr>
              <w:t>осуществление отпуска рецептурных препаратов по рецептам врача;</w:t>
            </w:r>
            <w:r>
              <w:br/>
            </w:r>
            <w:r>
              <w:rPr>
                <w:rFonts w:ascii="Times New Roman"/>
                <w:b w:val="false"/>
                <w:i w:val="false"/>
                <w:color w:val="000000"/>
                <w:sz w:val="20"/>
              </w:rPr>
              <w:t>
</w:t>
            </w:r>
            <w:r>
              <w:rPr>
                <w:rFonts w:ascii="Times New Roman"/>
                <w:b w:val="false"/>
                <w:i w:val="false"/>
                <w:color w:val="000000"/>
                <w:sz w:val="20"/>
              </w:rPr>
              <w:t>возможность приобретения пациентом выписанного лекарственного препарата в соответствующие сроки и по доступной цене, не превышающей утвержденных предельных цен на торговое наименование лекарственного средства для розничной реализации;</w:t>
            </w:r>
            <w:r>
              <w:br/>
            </w:r>
            <w:r>
              <w:rPr>
                <w:rFonts w:ascii="Times New Roman"/>
                <w:b w:val="false"/>
                <w:i w:val="false"/>
                <w:color w:val="000000"/>
                <w:sz w:val="20"/>
              </w:rPr>
              <w:t>
</w:t>
            </w:r>
            <w:r>
              <w:rPr>
                <w:rFonts w:ascii="Times New Roman"/>
                <w:b w:val="false"/>
                <w:i w:val="false"/>
                <w:color w:val="000000"/>
                <w:sz w:val="20"/>
              </w:rPr>
              <w:t>обеспечение надлежащего отпуска лекарственного препарата с соответствующей маркировкой и упаковкой;</w:t>
            </w:r>
            <w:r>
              <w:br/>
            </w:r>
            <w:r>
              <w:rPr>
                <w:rFonts w:ascii="Times New Roman"/>
                <w:b w:val="false"/>
                <w:i w:val="false"/>
                <w:color w:val="000000"/>
                <w:sz w:val="20"/>
              </w:rPr>
              <w:t>
</w:t>
            </w:r>
            <w:r>
              <w:rPr>
                <w:rFonts w:ascii="Times New Roman"/>
                <w:b w:val="false"/>
                <w:i w:val="false"/>
                <w:color w:val="000000"/>
                <w:sz w:val="20"/>
              </w:rPr>
              <w:t>предоставление покупателю (пациенту) при отпуске лекарственного средства, имеющиеся в наличии лекарственные препараты, соответствующие выписанному рецепту, с указанием всех имеющихся в наличии, их стоимости;</w:t>
            </w:r>
            <w:r>
              <w:br/>
            </w:r>
            <w:r>
              <w:rPr>
                <w:rFonts w:ascii="Times New Roman"/>
                <w:b w:val="false"/>
                <w:i w:val="false"/>
                <w:color w:val="000000"/>
                <w:sz w:val="20"/>
              </w:rPr>
              <w:t>
</w:t>
            </w:r>
            <w:r>
              <w:rPr>
                <w:rFonts w:ascii="Times New Roman"/>
                <w:b w:val="false"/>
                <w:i w:val="false"/>
                <w:color w:val="000000"/>
                <w:sz w:val="20"/>
              </w:rPr>
              <w:t>предоставление покупателю (пациенту) информации об особенностях применения лекарственных средствах безрецептурного отпуска, изделиях медицинского назначения доступными понятиями и советы.</w:t>
            </w:r>
            <w:r>
              <w:br/>
            </w:r>
            <w:r>
              <w:rPr>
                <w:rFonts w:ascii="Times New Roman"/>
                <w:b w:val="false"/>
                <w:i w:val="false"/>
                <w:color w:val="000000"/>
                <w:sz w:val="20"/>
              </w:rPr>
              <w:t>
</w:t>
            </w:r>
            <w:r>
              <w:rPr>
                <w:rFonts w:ascii="Times New Roman"/>
                <w:b w:val="false"/>
                <w:i w:val="false"/>
                <w:color w:val="000000"/>
                <w:sz w:val="20"/>
              </w:rPr>
              <w:t>5.4. Для обеспечения комплекса мероприятий, направленных на обеспечение рационального назначения и применения лекарственных препаратов фармацевту необходимо:</w:t>
            </w:r>
            <w:r>
              <w:br/>
            </w:r>
            <w:r>
              <w:rPr>
                <w:rFonts w:ascii="Times New Roman"/>
                <w:b w:val="false"/>
                <w:i w:val="false"/>
                <w:color w:val="000000"/>
                <w:sz w:val="20"/>
              </w:rPr>
              <w:t>
</w:t>
            </w:r>
            <w:r>
              <w:rPr>
                <w:rFonts w:ascii="Times New Roman"/>
                <w:b w:val="false"/>
                <w:i w:val="false"/>
                <w:color w:val="000000"/>
                <w:sz w:val="20"/>
              </w:rPr>
              <w:t>соответствующие знания и навыки по предоставлению достоверной информации и консультативной помощи по применению лекарственных препаратов;</w:t>
            </w:r>
            <w:r>
              <w:br/>
            </w:r>
            <w:r>
              <w:rPr>
                <w:rFonts w:ascii="Times New Roman"/>
                <w:b w:val="false"/>
                <w:i w:val="false"/>
                <w:color w:val="000000"/>
                <w:sz w:val="20"/>
              </w:rPr>
              <w:t>
</w:t>
            </w:r>
            <w:r>
              <w:rPr>
                <w:rFonts w:ascii="Times New Roman"/>
                <w:b w:val="false"/>
                <w:i w:val="false"/>
                <w:color w:val="000000"/>
                <w:sz w:val="20"/>
              </w:rPr>
              <w:t>систематическое повышение уровня знаний в области фармакотерапии, информации о новых лекарственных средствах, психологии общения;</w:t>
            </w:r>
            <w:r>
              <w:br/>
            </w:r>
            <w:r>
              <w:rPr>
                <w:rFonts w:ascii="Times New Roman"/>
                <w:b w:val="false"/>
                <w:i w:val="false"/>
                <w:color w:val="000000"/>
                <w:sz w:val="20"/>
              </w:rPr>
              <w:t>
</w:t>
            </w:r>
            <w:r>
              <w:rPr>
                <w:rFonts w:ascii="Times New Roman"/>
                <w:b w:val="false"/>
                <w:i w:val="false"/>
                <w:color w:val="000000"/>
                <w:sz w:val="20"/>
              </w:rPr>
              <w:t>достаточное количество справочно-информационной литературы по использованию лекарственного средства, медицинских изделий;</w:t>
            </w:r>
            <w:r>
              <w:br/>
            </w:r>
            <w:r>
              <w:rPr>
                <w:rFonts w:ascii="Times New Roman"/>
                <w:b w:val="false"/>
                <w:i w:val="false"/>
                <w:color w:val="000000"/>
                <w:sz w:val="20"/>
              </w:rPr>
              <w:t>
обратная связь с врачами в отношении прописывания лекарственных средств, в случае неправильно выписанных рецептов.</w:t>
            </w:r>
          </w:p>
          <w:bookmarkEnd w:id="77"/>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назначение и использование лекарственных средств</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78"/>
          <w:p>
            <w:pPr>
              <w:spacing w:after="20"/>
              <w:ind w:left="20"/>
              <w:jc w:val="both"/>
            </w:pPr>
            <w:r>
              <w:rPr>
                <w:rFonts w:ascii="Times New Roman"/>
                <w:b w:val="false"/>
                <w:i w:val="false"/>
                <w:color w:val="000000"/>
                <w:sz w:val="20"/>
              </w:rPr>
              <w:t>
6.1. Аптечная организация осуществляет деятельность, связанную с использованием лекарственных средств, медицинских изделий, направленную на сотрудничество врача и фармацевта в системе обеспечения качества фармакотерапии пациенту.</w:t>
            </w:r>
            <w:r>
              <w:br/>
            </w:r>
            <w:r>
              <w:rPr>
                <w:rFonts w:ascii="Times New Roman"/>
                <w:b w:val="false"/>
                <w:i w:val="false"/>
                <w:color w:val="000000"/>
                <w:sz w:val="20"/>
              </w:rPr>
              <w:t>
</w:t>
            </w:r>
            <w:r>
              <w:rPr>
                <w:rFonts w:ascii="Times New Roman"/>
                <w:b w:val="false"/>
                <w:i w:val="false"/>
                <w:color w:val="000000"/>
                <w:sz w:val="20"/>
              </w:rPr>
              <w:t>6.2. Сотрудничество врача и фармацевта направлено на:</w:t>
            </w:r>
            <w:r>
              <w:br/>
            </w:r>
            <w:r>
              <w:rPr>
                <w:rFonts w:ascii="Times New Roman"/>
                <w:b w:val="false"/>
                <w:i w:val="false"/>
                <w:color w:val="000000"/>
                <w:sz w:val="20"/>
              </w:rPr>
              <w:t>
</w:t>
            </w:r>
            <w:r>
              <w:rPr>
                <w:rFonts w:ascii="Times New Roman"/>
                <w:b w:val="false"/>
                <w:i w:val="false"/>
                <w:color w:val="000000"/>
                <w:sz w:val="20"/>
              </w:rPr>
              <w:t>правильность оформления и полноту сведений в рецепте;</w:t>
            </w:r>
            <w:r>
              <w:br/>
            </w:r>
            <w:r>
              <w:rPr>
                <w:rFonts w:ascii="Times New Roman"/>
                <w:b w:val="false"/>
                <w:i w:val="false"/>
                <w:color w:val="000000"/>
                <w:sz w:val="20"/>
              </w:rPr>
              <w:t>
</w:t>
            </w:r>
            <w:r>
              <w:rPr>
                <w:rFonts w:ascii="Times New Roman"/>
                <w:b w:val="false"/>
                <w:i w:val="false"/>
                <w:color w:val="000000"/>
                <w:sz w:val="20"/>
              </w:rPr>
              <w:t>выписывание рецептов в соответствии с установленными правилами;</w:t>
            </w:r>
            <w:r>
              <w:br/>
            </w:r>
            <w:r>
              <w:rPr>
                <w:rFonts w:ascii="Times New Roman"/>
                <w:b w:val="false"/>
                <w:i w:val="false"/>
                <w:color w:val="000000"/>
                <w:sz w:val="20"/>
              </w:rPr>
              <w:t>
</w:t>
            </w:r>
            <w:r>
              <w:rPr>
                <w:rFonts w:ascii="Times New Roman"/>
                <w:b w:val="false"/>
                <w:i w:val="false"/>
                <w:color w:val="000000"/>
                <w:sz w:val="20"/>
              </w:rPr>
              <w:t>наличие справочных изданий, доступных для фармацевта;</w:t>
            </w:r>
            <w:r>
              <w:br/>
            </w:r>
            <w:r>
              <w:rPr>
                <w:rFonts w:ascii="Times New Roman"/>
                <w:b w:val="false"/>
                <w:i w:val="false"/>
                <w:color w:val="000000"/>
                <w:sz w:val="20"/>
              </w:rPr>
              <w:t>
</w:t>
            </w:r>
            <w:r>
              <w:rPr>
                <w:rFonts w:ascii="Times New Roman"/>
                <w:b w:val="false"/>
                <w:i w:val="false"/>
                <w:color w:val="000000"/>
                <w:sz w:val="20"/>
              </w:rPr>
              <w:t>обеспечение конфиденциальности данных, касающихся пациентов.</w:t>
            </w:r>
            <w:r>
              <w:br/>
            </w:r>
            <w:r>
              <w:rPr>
                <w:rFonts w:ascii="Times New Roman"/>
                <w:b w:val="false"/>
                <w:i w:val="false"/>
                <w:color w:val="000000"/>
                <w:sz w:val="20"/>
              </w:rPr>
              <w:t>
</w:t>
            </w:r>
            <w:r>
              <w:rPr>
                <w:rFonts w:ascii="Times New Roman"/>
                <w:b w:val="false"/>
                <w:i w:val="false"/>
                <w:color w:val="000000"/>
                <w:sz w:val="20"/>
              </w:rPr>
              <w:t>6.3. Фармацевт предоставляет врачу информацию об имеющемся ассортименте лекарственных средств и медицинских изделий в данной аптечной организации, в рамках гарантированного объема бесплатной медицинской помощи и в системе обязательного социального медицинского страхования.</w:t>
            </w:r>
            <w:r>
              <w:br/>
            </w:r>
            <w:r>
              <w:rPr>
                <w:rFonts w:ascii="Times New Roman"/>
                <w:b w:val="false"/>
                <w:i w:val="false"/>
                <w:color w:val="000000"/>
                <w:sz w:val="20"/>
              </w:rPr>
              <w:t>
</w:t>
            </w:r>
            <w:r>
              <w:rPr>
                <w:rFonts w:ascii="Times New Roman"/>
                <w:b w:val="false"/>
                <w:i w:val="false"/>
                <w:color w:val="000000"/>
                <w:sz w:val="20"/>
              </w:rPr>
              <w:t>6.4. Сотрудничество врача и фармацевта позволит улучшить качество фармакотерапии, уменьшить число врачебных и фармацевтических ошибок, упорядочить информацию о побочных действиях лекарственных средств.</w:t>
            </w:r>
            <w:r>
              <w:br/>
            </w:r>
            <w:r>
              <w:rPr>
                <w:rFonts w:ascii="Times New Roman"/>
                <w:b w:val="false"/>
                <w:i w:val="false"/>
                <w:color w:val="000000"/>
                <w:sz w:val="20"/>
              </w:rPr>
              <w:t>
</w:t>
            </w:r>
            <w:r>
              <w:rPr>
                <w:rFonts w:ascii="Times New Roman"/>
                <w:b w:val="false"/>
                <w:i w:val="false"/>
                <w:color w:val="000000"/>
                <w:sz w:val="20"/>
              </w:rPr>
              <w:t>6.5. Допустимыми формами сотрудничества являются: обсуждение вариантов замены на аналоги с согласия больного лекарственных средств, участие в работе совещаний, конференций.</w:t>
            </w:r>
            <w:r>
              <w:br/>
            </w:r>
            <w:r>
              <w:rPr>
                <w:rFonts w:ascii="Times New Roman"/>
                <w:b w:val="false"/>
                <w:i w:val="false"/>
                <w:color w:val="000000"/>
                <w:sz w:val="20"/>
              </w:rPr>
              <w:t>
</w:t>
            </w:r>
            <w:r>
              <w:rPr>
                <w:rFonts w:ascii="Times New Roman"/>
                <w:b w:val="false"/>
                <w:i w:val="false"/>
                <w:color w:val="000000"/>
                <w:sz w:val="20"/>
              </w:rPr>
              <w:t>6.6. Руководителем аптечной организации назначается ответственное лицо за организацию и проведение мониторинга побочных действий лекарственных средств.</w:t>
            </w:r>
            <w:r>
              <w:br/>
            </w:r>
            <w:r>
              <w:rPr>
                <w:rFonts w:ascii="Times New Roman"/>
                <w:b w:val="false"/>
                <w:i w:val="false"/>
                <w:color w:val="000000"/>
                <w:sz w:val="20"/>
              </w:rPr>
              <w:t>
</w:t>
            </w:r>
            <w:r>
              <w:rPr>
                <w:rFonts w:ascii="Times New Roman"/>
                <w:b w:val="false"/>
                <w:i w:val="false"/>
                <w:color w:val="000000"/>
                <w:sz w:val="20"/>
              </w:rPr>
              <w:t>6.7. В каждой аптечной организации имеются карты-сообщения для заполнения их фармацевтами или пациентами после выявления побочных действий лекарственных средств.</w:t>
            </w:r>
            <w:r>
              <w:br/>
            </w:r>
            <w:r>
              <w:rPr>
                <w:rFonts w:ascii="Times New Roman"/>
                <w:b w:val="false"/>
                <w:i w:val="false"/>
                <w:color w:val="000000"/>
                <w:sz w:val="20"/>
              </w:rPr>
              <w:t>
</w:t>
            </w:r>
            <w:r>
              <w:rPr>
                <w:rFonts w:ascii="Times New Roman"/>
                <w:b w:val="false"/>
                <w:i w:val="false"/>
                <w:color w:val="000000"/>
                <w:sz w:val="20"/>
              </w:rPr>
              <w:t>Карта-сообщение заполняется самим пациентом или фармацевтом после получения информации о выявленном побочном действии лекарственных средств.</w:t>
            </w:r>
            <w:r>
              <w:br/>
            </w:r>
            <w:r>
              <w:rPr>
                <w:rFonts w:ascii="Times New Roman"/>
                <w:b w:val="false"/>
                <w:i w:val="false"/>
                <w:color w:val="000000"/>
                <w:sz w:val="20"/>
              </w:rPr>
              <w:t>
</w:t>
            </w:r>
            <w:r>
              <w:rPr>
                <w:rFonts w:ascii="Times New Roman"/>
                <w:b w:val="false"/>
                <w:i w:val="false"/>
                <w:color w:val="000000"/>
                <w:sz w:val="20"/>
              </w:rPr>
              <w:t>6.8. Данные карт-сообщений о выявленных побочных действиях лекарственных средств фиксируются в журнале регистрации выявленных побочных действий лекарственных средств лицом, ответственным за мониторинг побочных действий лекарственных средств.</w:t>
            </w:r>
            <w:r>
              <w:br/>
            </w:r>
            <w:r>
              <w:rPr>
                <w:rFonts w:ascii="Times New Roman"/>
                <w:b w:val="false"/>
                <w:i w:val="false"/>
                <w:color w:val="000000"/>
                <w:sz w:val="20"/>
              </w:rPr>
              <w:t>
</w:t>
            </w:r>
            <w:r>
              <w:rPr>
                <w:rFonts w:ascii="Times New Roman"/>
                <w:b w:val="false"/>
                <w:i w:val="false"/>
                <w:color w:val="000000"/>
                <w:sz w:val="20"/>
              </w:rPr>
              <w:t>6.9. Сообщению подлежат все случаи выявления побочной реакции при осуществлении фармакотерапии.</w:t>
            </w:r>
            <w:r>
              <w:br/>
            </w:r>
            <w:r>
              <w:rPr>
                <w:rFonts w:ascii="Times New Roman"/>
                <w:b w:val="false"/>
                <w:i w:val="false"/>
                <w:color w:val="000000"/>
                <w:sz w:val="20"/>
              </w:rPr>
              <w:t>
6.10. Мониторингом побочных действий лекарственных средств является комплекс мероприятий, направленный на выявление, сбор, оценку и анализ сообщений о побочных действиях лекарственных средств.</w:t>
            </w:r>
          </w:p>
          <w:bookmarkEnd w:id="78"/>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Самолечение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79"/>
          <w:p>
            <w:pPr>
              <w:spacing w:after="20"/>
              <w:ind w:left="20"/>
              <w:jc w:val="both"/>
            </w:pPr>
            <w:r>
              <w:rPr>
                <w:rFonts w:ascii="Times New Roman"/>
                <w:b w:val="false"/>
                <w:i w:val="false"/>
                <w:color w:val="000000"/>
                <w:sz w:val="20"/>
              </w:rPr>
              <w:t>
7.1. Деятельность, связанная с самолечением, направлена на консультирование пациента по самостоятельному приему безрецептурных лекарственных препаратов и предоставлении лекарственной помощи для облегчения и устранения симптомов и недомоганий, при лечении заболеваний и состояний, при которых возможно самостоятельное лечение в соответствии инструкцией по медицинскому применению.</w:t>
            </w:r>
            <w:r>
              <w:br/>
            </w:r>
            <w:r>
              <w:rPr>
                <w:rFonts w:ascii="Times New Roman"/>
                <w:b w:val="false"/>
                <w:i w:val="false"/>
                <w:color w:val="000000"/>
                <w:sz w:val="20"/>
              </w:rPr>
              <w:t>
</w:t>
            </w:r>
            <w:r>
              <w:rPr>
                <w:rFonts w:ascii="Times New Roman"/>
                <w:b w:val="false"/>
                <w:i w:val="false"/>
                <w:color w:val="000000"/>
                <w:sz w:val="20"/>
              </w:rPr>
              <w:t>7.2. Для осуществления деятельности, связанной с самолечением, фармацевту необходимо:</w:t>
            </w:r>
            <w:r>
              <w:br/>
            </w:r>
            <w:r>
              <w:rPr>
                <w:rFonts w:ascii="Times New Roman"/>
                <w:b w:val="false"/>
                <w:i w:val="false"/>
                <w:color w:val="000000"/>
                <w:sz w:val="20"/>
              </w:rPr>
              <w:t>
</w:t>
            </w:r>
            <w:r>
              <w:rPr>
                <w:rFonts w:ascii="Times New Roman"/>
                <w:b w:val="false"/>
                <w:i w:val="false"/>
                <w:color w:val="000000"/>
                <w:sz w:val="20"/>
              </w:rPr>
              <w:t>соответствующая профессиональная подготовка по предоставлению пациенту надлежащих рекомендаций, относительно применения эффективных и безопасных безрецептурных лекарственных средств, при необходимости, включая направление к врачу, оказывать неотложную медицинскую помощь населению в экстренных в соответствии перечнем лекарственных средств утвержденным уполномоченным органом в области здравоохранения входящим в аптечку первой помощи;</w:t>
            </w:r>
            <w:r>
              <w:br/>
            </w:r>
            <w:r>
              <w:rPr>
                <w:rFonts w:ascii="Times New Roman"/>
                <w:b w:val="false"/>
                <w:i w:val="false"/>
                <w:color w:val="000000"/>
                <w:sz w:val="20"/>
              </w:rPr>
              <w:t>
</w:t>
            </w:r>
            <w:r>
              <w:rPr>
                <w:rFonts w:ascii="Times New Roman"/>
                <w:b w:val="false"/>
                <w:i w:val="false"/>
                <w:color w:val="000000"/>
                <w:sz w:val="20"/>
              </w:rPr>
              <w:t>включение в программы обучения фармацевтов вопросов самолечения и консультирования;</w:t>
            </w:r>
            <w:r>
              <w:br/>
            </w:r>
            <w:r>
              <w:rPr>
                <w:rFonts w:ascii="Times New Roman"/>
                <w:b w:val="false"/>
                <w:i w:val="false"/>
                <w:color w:val="000000"/>
                <w:sz w:val="20"/>
              </w:rPr>
              <w:t>
</w:t>
            </w:r>
            <w:r>
              <w:rPr>
                <w:rFonts w:ascii="Times New Roman"/>
                <w:b w:val="false"/>
                <w:i w:val="false"/>
                <w:color w:val="000000"/>
                <w:sz w:val="20"/>
              </w:rPr>
              <w:t>наличие специальной справочной литературы;</w:t>
            </w:r>
            <w:r>
              <w:br/>
            </w:r>
            <w:r>
              <w:rPr>
                <w:rFonts w:ascii="Times New Roman"/>
                <w:b w:val="false"/>
                <w:i w:val="false"/>
                <w:color w:val="000000"/>
                <w:sz w:val="20"/>
              </w:rPr>
              <w:t>
</w:t>
            </w:r>
            <w:r>
              <w:rPr>
                <w:rFonts w:ascii="Times New Roman"/>
                <w:b w:val="false"/>
                <w:i w:val="false"/>
                <w:color w:val="000000"/>
                <w:sz w:val="20"/>
              </w:rPr>
              <w:t>наличие СОП по вопросам самолечения;</w:t>
            </w:r>
            <w:r>
              <w:br/>
            </w:r>
            <w:r>
              <w:rPr>
                <w:rFonts w:ascii="Times New Roman"/>
                <w:b w:val="false"/>
                <w:i w:val="false"/>
                <w:color w:val="000000"/>
                <w:sz w:val="20"/>
              </w:rPr>
              <w:t>
</w:t>
            </w:r>
            <w:r>
              <w:rPr>
                <w:rFonts w:ascii="Times New Roman"/>
                <w:b w:val="false"/>
                <w:i w:val="false"/>
                <w:color w:val="000000"/>
                <w:sz w:val="20"/>
              </w:rPr>
              <w:t>знание симптомов и недомоганий, излечивающихся самостоятельно;</w:t>
            </w:r>
            <w:r>
              <w:br/>
            </w:r>
            <w:r>
              <w:rPr>
                <w:rFonts w:ascii="Times New Roman"/>
                <w:b w:val="false"/>
                <w:i w:val="false"/>
                <w:color w:val="000000"/>
                <w:sz w:val="20"/>
              </w:rPr>
              <w:t>
</w:t>
            </w:r>
            <w:r>
              <w:rPr>
                <w:rFonts w:ascii="Times New Roman"/>
                <w:b w:val="false"/>
                <w:i w:val="false"/>
                <w:color w:val="000000"/>
                <w:sz w:val="20"/>
              </w:rPr>
              <w:t>получение консультаций по вопросам самопомощи и самопрофилактики;</w:t>
            </w:r>
            <w:r>
              <w:br/>
            </w:r>
            <w:r>
              <w:rPr>
                <w:rFonts w:ascii="Times New Roman"/>
                <w:b w:val="false"/>
                <w:i w:val="false"/>
                <w:color w:val="000000"/>
                <w:sz w:val="20"/>
              </w:rPr>
              <w:t>
</w:t>
            </w:r>
            <w:r>
              <w:rPr>
                <w:rFonts w:ascii="Times New Roman"/>
                <w:b w:val="false"/>
                <w:i w:val="false"/>
                <w:color w:val="000000"/>
                <w:sz w:val="20"/>
              </w:rPr>
              <w:t>наличие информационных материалов (брошюр, буклетов) для посетителей аптеки по самолечению.</w:t>
            </w:r>
            <w:r>
              <w:br/>
            </w:r>
            <w:r>
              <w:rPr>
                <w:rFonts w:ascii="Times New Roman"/>
                <w:b w:val="false"/>
                <w:i w:val="false"/>
                <w:color w:val="000000"/>
                <w:sz w:val="20"/>
              </w:rPr>
              <w:t>
</w:t>
            </w:r>
            <w:r>
              <w:rPr>
                <w:rFonts w:ascii="Times New Roman"/>
                <w:b w:val="false"/>
                <w:i w:val="false"/>
                <w:color w:val="000000"/>
                <w:sz w:val="20"/>
              </w:rPr>
              <w:t>7.3. Деятельность аптечной организации, связанная с самолечением, состоит из следующих мероприятий:</w:t>
            </w:r>
            <w:r>
              <w:br/>
            </w:r>
            <w:r>
              <w:rPr>
                <w:rFonts w:ascii="Times New Roman"/>
                <w:b w:val="false"/>
                <w:i w:val="false"/>
                <w:color w:val="000000"/>
                <w:sz w:val="20"/>
              </w:rPr>
              <w:t>
</w:t>
            </w:r>
            <w:r>
              <w:rPr>
                <w:rFonts w:ascii="Times New Roman"/>
                <w:b w:val="false"/>
                <w:i w:val="false"/>
                <w:color w:val="000000"/>
                <w:sz w:val="20"/>
              </w:rPr>
              <w:t>предоставление лекарственной помощи с учетом симптомов и состояний, подлежащих самостоятельному лечению;</w:t>
            </w:r>
            <w:r>
              <w:br/>
            </w:r>
            <w:r>
              <w:rPr>
                <w:rFonts w:ascii="Times New Roman"/>
                <w:b w:val="false"/>
                <w:i w:val="false"/>
                <w:color w:val="000000"/>
                <w:sz w:val="20"/>
              </w:rPr>
              <w:t>
</w:t>
            </w:r>
            <w:r>
              <w:rPr>
                <w:rFonts w:ascii="Times New Roman"/>
                <w:b w:val="false"/>
                <w:i w:val="false"/>
                <w:color w:val="000000"/>
                <w:sz w:val="20"/>
              </w:rPr>
              <w:t>консультации пациента по применению безрецептурных лекарственных препаратов по просьбе или необходимости по самостоятельному приему лекарственных препаратов, направление к врачу, рекомендации по лекарственному взаимодействию с другими лекарственными препаратами;</w:t>
            </w:r>
            <w:r>
              <w:br/>
            </w:r>
            <w:r>
              <w:rPr>
                <w:rFonts w:ascii="Times New Roman"/>
                <w:b w:val="false"/>
                <w:i w:val="false"/>
                <w:color w:val="000000"/>
                <w:sz w:val="20"/>
              </w:rPr>
              <w:t>
</w:t>
            </w:r>
            <w:r>
              <w:rPr>
                <w:rFonts w:ascii="Times New Roman"/>
                <w:b w:val="false"/>
                <w:i w:val="false"/>
                <w:color w:val="000000"/>
                <w:sz w:val="20"/>
              </w:rPr>
              <w:t>консультации по использованию медицинских изделий, предметов ухода, диагностических средств, средств для ухода за кожей, пищевых добавок, вспомогательных средств и устройств при самолечении, и не относящихся к лекарственным средствам, медицинским изделиям в соответствии с перечнем, утверждаемым уполномоченным органом;</w:t>
            </w:r>
            <w:r>
              <w:br/>
            </w:r>
            <w:r>
              <w:rPr>
                <w:rFonts w:ascii="Times New Roman"/>
                <w:b w:val="false"/>
                <w:i w:val="false"/>
                <w:color w:val="000000"/>
                <w:sz w:val="20"/>
              </w:rPr>
              <w:t>
</w:t>
            </w:r>
            <w:r>
              <w:rPr>
                <w:rFonts w:ascii="Times New Roman"/>
                <w:b w:val="false"/>
                <w:i w:val="false"/>
                <w:color w:val="000000"/>
                <w:sz w:val="20"/>
              </w:rPr>
              <w:t>7.4. При рекомендации безрецептурных лекарственных средств фармацевт:</w:t>
            </w:r>
            <w:r>
              <w:br/>
            </w:r>
            <w:r>
              <w:rPr>
                <w:rFonts w:ascii="Times New Roman"/>
                <w:b w:val="false"/>
                <w:i w:val="false"/>
                <w:color w:val="000000"/>
                <w:sz w:val="20"/>
              </w:rPr>
              <w:t>
</w:t>
            </w:r>
            <w:r>
              <w:rPr>
                <w:rFonts w:ascii="Times New Roman"/>
                <w:b w:val="false"/>
                <w:i w:val="false"/>
                <w:color w:val="000000"/>
                <w:sz w:val="20"/>
              </w:rPr>
              <w:t>использует профессиональный опыт при выборе безрецептурных лекарственных препаратов с учетом их эффективности, безопасности и качества;</w:t>
            </w:r>
            <w:r>
              <w:br/>
            </w:r>
            <w:r>
              <w:rPr>
                <w:rFonts w:ascii="Times New Roman"/>
                <w:b w:val="false"/>
                <w:i w:val="false"/>
                <w:color w:val="000000"/>
                <w:sz w:val="20"/>
              </w:rPr>
              <w:t>
</w:t>
            </w:r>
            <w:r>
              <w:rPr>
                <w:rFonts w:ascii="Times New Roman"/>
                <w:b w:val="false"/>
                <w:i w:val="false"/>
                <w:color w:val="000000"/>
                <w:sz w:val="20"/>
              </w:rPr>
              <w:t>доступно информирует пациента о данном препарате относительно его действия, способа применения, продолжительности лечения, возможных побочных действий, противопоказаний и сочетаемости с другими лекарственными средствами;</w:t>
            </w:r>
            <w:r>
              <w:br/>
            </w:r>
            <w:r>
              <w:rPr>
                <w:rFonts w:ascii="Times New Roman"/>
                <w:b w:val="false"/>
                <w:i w:val="false"/>
                <w:color w:val="000000"/>
                <w:sz w:val="20"/>
              </w:rPr>
              <w:t>
предупреждает пациента о необходимости обращения к врачу, в случае возникновения повторных симптомов побочных действий.</w:t>
            </w:r>
          </w:p>
          <w:bookmarkEnd w:id="79"/>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80"/>
          <w:p>
            <w:pPr>
              <w:spacing w:after="20"/>
              <w:ind w:left="20"/>
              <w:jc w:val="both"/>
            </w:pPr>
            <w:r>
              <w:rPr>
                <w:rFonts w:ascii="Times New Roman"/>
                <w:b w:val="false"/>
                <w:i w:val="false"/>
                <w:color w:val="000000"/>
                <w:sz w:val="20"/>
              </w:rPr>
              <w:t>
8.1. Аптечные организации подразделяются на:</w:t>
            </w:r>
            <w:r>
              <w:br/>
            </w:r>
            <w:r>
              <w:rPr>
                <w:rFonts w:ascii="Times New Roman"/>
                <w:b w:val="false"/>
                <w:i w:val="false"/>
                <w:color w:val="000000"/>
                <w:sz w:val="20"/>
              </w:rPr>
              <w:t>
</w:t>
            </w:r>
            <w:r>
              <w:rPr>
                <w:rFonts w:ascii="Times New Roman"/>
                <w:b w:val="false"/>
                <w:i w:val="false"/>
                <w:color w:val="000000"/>
                <w:sz w:val="20"/>
              </w:rPr>
              <w:t>1) аптеку с правом изготовления лекарственных форм, по рецептам врачей, по требованиям или заявкам медицинских организаций, организаций просвещения и социального обеспечения, стандартным прописям; внутриаптечной заготовки в соответствии с утвержденными прописями органом по сертификации лекарственных средств или аккредитованной испытательной лаборатории, фасовки лекарственных средств и лекарственного растительного сырья, с приобретением лекарственных субстанций, хранением, контролем качества, оформлением и реализацией изготовленных лекарственных препаратов, в том числе гомеопатических препаратов, медицинских изделий, других товаров аптечного ассортимента населению и не относящихся к лекарственным средствам, медицинским изделиям в соответствии с перечнем, утверждаемым уполномоченным органом;</w:t>
            </w:r>
            <w:r>
              <w:br/>
            </w:r>
            <w:r>
              <w:rPr>
                <w:rFonts w:ascii="Times New Roman"/>
                <w:b w:val="false"/>
                <w:i w:val="false"/>
                <w:color w:val="000000"/>
                <w:sz w:val="20"/>
              </w:rPr>
              <w:t>
</w:t>
            </w:r>
            <w:r>
              <w:rPr>
                <w:rFonts w:ascii="Times New Roman"/>
                <w:b w:val="false"/>
                <w:i w:val="false"/>
                <w:color w:val="000000"/>
                <w:sz w:val="20"/>
              </w:rPr>
              <w:t>2) аптеку готовых лекарственных препаратов, без права изготовления лекарственных препаратов, осуществляющую реализацию населению готовых лекарственных препаратов, в том числе гомеопатических препаратов, медицинских изделий, товаров аптечного ассортимента и не относящихся к лекарственным средствам и медицинским изделиям в соответствии с перечнем, утверждаемым уполномоченным органом;</w:t>
            </w:r>
            <w:r>
              <w:br/>
            </w:r>
            <w:r>
              <w:rPr>
                <w:rFonts w:ascii="Times New Roman"/>
                <w:b w:val="false"/>
                <w:i w:val="false"/>
                <w:color w:val="000000"/>
                <w:sz w:val="20"/>
              </w:rPr>
              <w:t>
</w:t>
            </w:r>
            <w:r>
              <w:rPr>
                <w:rFonts w:ascii="Times New Roman"/>
                <w:b w:val="false"/>
                <w:i w:val="false"/>
                <w:color w:val="000000"/>
                <w:sz w:val="20"/>
              </w:rPr>
              <w:t>3) аптеку медицинской организации (больничная, межбольничная) с правом изготовления лекарственных препаратов и обеспечения лекарственными средства.</w:t>
            </w:r>
            <w:r>
              <w:br/>
            </w:r>
            <w:r>
              <w:rPr>
                <w:rFonts w:ascii="Times New Roman"/>
                <w:b w:val="false"/>
                <w:i w:val="false"/>
                <w:color w:val="000000"/>
                <w:sz w:val="20"/>
              </w:rPr>
              <w:t>
</w:t>
            </w:r>
            <w:r>
              <w:rPr>
                <w:rFonts w:ascii="Times New Roman"/>
                <w:b w:val="false"/>
                <w:i w:val="false"/>
                <w:color w:val="000000"/>
                <w:sz w:val="20"/>
              </w:rPr>
              <w:t>8.2. Аптека розничной реализации подразделяется на:</w:t>
            </w:r>
            <w:r>
              <w:br/>
            </w:r>
            <w:r>
              <w:rPr>
                <w:rFonts w:ascii="Times New Roman"/>
                <w:b w:val="false"/>
                <w:i w:val="false"/>
                <w:color w:val="000000"/>
                <w:sz w:val="20"/>
              </w:rPr>
              <w:t>
</w:t>
            </w:r>
            <w:r>
              <w:rPr>
                <w:rFonts w:ascii="Times New Roman"/>
                <w:b w:val="false"/>
                <w:i w:val="false"/>
                <w:color w:val="000000"/>
                <w:sz w:val="20"/>
              </w:rPr>
              <w:t>1) аптеку с правом изготовления лекарственных средств (далее – аптека с правом изготовления);</w:t>
            </w:r>
            <w:r>
              <w:br/>
            </w:r>
            <w:r>
              <w:rPr>
                <w:rFonts w:ascii="Times New Roman"/>
                <w:b w:val="false"/>
                <w:i w:val="false"/>
                <w:color w:val="000000"/>
                <w:sz w:val="20"/>
              </w:rPr>
              <w:t>
</w:t>
            </w:r>
            <w:r>
              <w:rPr>
                <w:rFonts w:ascii="Times New Roman"/>
                <w:b w:val="false"/>
                <w:i w:val="false"/>
                <w:color w:val="000000"/>
                <w:sz w:val="20"/>
              </w:rPr>
              <w:t>2) аптеку готовых лекарственных препаратов.</w:t>
            </w:r>
            <w:r>
              <w:br/>
            </w:r>
            <w:r>
              <w:rPr>
                <w:rFonts w:ascii="Times New Roman"/>
                <w:b w:val="false"/>
                <w:i w:val="false"/>
                <w:color w:val="000000"/>
                <w:sz w:val="20"/>
              </w:rPr>
              <w:t>
</w:t>
            </w:r>
            <w:r>
              <w:rPr>
                <w:rFonts w:ascii="Times New Roman"/>
                <w:b w:val="false"/>
                <w:i w:val="false"/>
                <w:color w:val="000000"/>
                <w:sz w:val="20"/>
              </w:rPr>
              <w:t>8.3. Аптека с правом изготовления имеет в своей структуре следующие отделы:</w:t>
            </w:r>
            <w:r>
              <w:br/>
            </w:r>
            <w:r>
              <w:rPr>
                <w:rFonts w:ascii="Times New Roman"/>
                <w:b w:val="false"/>
                <w:i w:val="false"/>
                <w:color w:val="000000"/>
                <w:sz w:val="20"/>
              </w:rPr>
              <w:t>
</w:t>
            </w:r>
            <w:r>
              <w:rPr>
                <w:rFonts w:ascii="Times New Roman"/>
                <w:b w:val="false"/>
                <w:i w:val="false"/>
                <w:color w:val="000000"/>
                <w:sz w:val="20"/>
              </w:rPr>
              <w:t>1) отдел рецептурно-производственный;</w:t>
            </w:r>
            <w:r>
              <w:br/>
            </w:r>
            <w:r>
              <w:rPr>
                <w:rFonts w:ascii="Times New Roman"/>
                <w:b w:val="false"/>
                <w:i w:val="false"/>
                <w:color w:val="000000"/>
                <w:sz w:val="20"/>
              </w:rPr>
              <w:t>
</w:t>
            </w:r>
            <w:r>
              <w:rPr>
                <w:rFonts w:ascii="Times New Roman"/>
                <w:b w:val="false"/>
                <w:i w:val="false"/>
                <w:color w:val="000000"/>
                <w:sz w:val="20"/>
              </w:rPr>
              <w:t>2) отдел реализации лекарственных препаратов, отпускаемых по рецептам врача;</w:t>
            </w:r>
            <w:r>
              <w:br/>
            </w:r>
            <w:r>
              <w:rPr>
                <w:rFonts w:ascii="Times New Roman"/>
                <w:b w:val="false"/>
                <w:i w:val="false"/>
                <w:color w:val="000000"/>
                <w:sz w:val="20"/>
              </w:rPr>
              <w:t>
</w:t>
            </w:r>
            <w:r>
              <w:rPr>
                <w:rFonts w:ascii="Times New Roman"/>
                <w:b w:val="false"/>
                <w:i w:val="false"/>
                <w:color w:val="000000"/>
                <w:sz w:val="20"/>
              </w:rPr>
              <w:t>3) отдел реализации медицинских изделий и товаров аптечного ассортимента разрешенных к отпуску из аптеки.</w:t>
            </w:r>
            <w:r>
              <w:br/>
            </w:r>
            <w:r>
              <w:rPr>
                <w:rFonts w:ascii="Times New Roman"/>
                <w:b w:val="false"/>
                <w:i w:val="false"/>
                <w:color w:val="000000"/>
                <w:sz w:val="20"/>
              </w:rPr>
              <w:t>
</w:t>
            </w:r>
            <w:r>
              <w:rPr>
                <w:rFonts w:ascii="Times New Roman"/>
                <w:b w:val="false"/>
                <w:i w:val="false"/>
                <w:color w:val="000000"/>
                <w:sz w:val="20"/>
              </w:rPr>
              <w:t>8.4. Аптечная организация располагает необходимыми помещениями, оборудованием и инвентарем, обеспечивающими сохранность качества и безопасности лекарственных средств, медицинских изделий при их хранении и реализации.</w:t>
            </w:r>
            <w:r>
              <w:br/>
            </w:r>
            <w:r>
              <w:rPr>
                <w:rFonts w:ascii="Times New Roman"/>
                <w:b w:val="false"/>
                <w:i w:val="false"/>
                <w:color w:val="000000"/>
                <w:sz w:val="20"/>
              </w:rPr>
              <w:t>
</w:t>
            </w:r>
            <w:r>
              <w:rPr>
                <w:rFonts w:ascii="Times New Roman"/>
                <w:b w:val="false"/>
                <w:i w:val="false"/>
                <w:color w:val="000000"/>
                <w:sz w:val="20"/>
              </w:rPr>
              <w:t>8.5. Все помещения аптечной организации располагаются в здании (строении) и функционально объединены в единый блок, изолированный от других организаций с отдельным входом (выходом).</w:t>
            </w:r>
            <w:r>
              <w:br/>
            </w:r>
            <w:r>
              <w:rPr>
                <w:rFonts w:ascii="Times New Roman"/>
                <w:b w:val="false"/>
                <w:i w:val="false"/>
                <w:color w:val="000000"/>
                <w:sz w:val="20"/>
              </w:rPr>
              <w:t>
</w:t>
            </w:r>
            <w:r>
              <w:rPr>
                <w:rFonts w:ascii="Times New Roman"/>
                <w:b w:val="false"/>
                <w:i w:val="false"/>
                <w:color w:val="000000"/>
                <w:sz w:val="20"/>
              </w:rPr>
              <w:t>Аптечная организация предусматривает возможность входа (выхода) людям с нарушениями функций опорно-двигательного аппарата, при невозможности установления пандуса и /или подъемного лифта допускается размещение кнопки вызова.</w:t>
            </w:r>
            <w:r>
              <w:br/>
            </w:r>
            <w:r>
              <w:rPr>
                <w:rFonts w:ascii="Times New Roman"/>
                <w:b w:val="false"/>
                <w:i w:val="false"/>
                <w:color w:val="000000"/>
                <w:sz w:val="20"/>
              </w:rPr>
              <w:t>
</w:t>
            </w:r>
            <w:r>
              <w:rPr>
                <w:rFonts w:ascii="Times New Roman"/>
                <w:b w:val="false"/>
                <w:i w:val="false"/>
                <w:color w:val="000000"/>
                <w:sz w:val="20"/>
              </w:rPr>
              <w:t>8.6. На площадях аптечных организаций не допускается размещение подразделений, функционально не связанных с указанными в лицензиях видами деятельности.</w:t>
            </w:r>
            <w:r>
              <w:br/>
            </w:r>
            <w:r>
              <w:rPr>
                <w:rFonts w:ascii="Times New Roman"/>
                <w:b w:val="false"/>
                <w:i w:val="false"/>
                <w:color w:val="000000"/>
                <w:sz w:val="20"/>
              </w:rPr>
              <w:t>
</w:t>
            </w:r>
            <w:r>
              <w:rPr>
                <w:rFonts w:ascii="Times New Roman"/>
                <w:b w:val="false"/>
                <w:i w:val="false"/>
                <w:color w:val="000000"/>
                <w:sz w:val="20"/>
              </w:rPr>
              <w:t>8.7. Аптечная организация имеет вывеску с указанием вида аптечной организации (в соответствии с лицензией на фармацевтическую деятельность) на казахском и русском языках, указанием организационно-правовой формы (в соответствии с правоустанавливающими документами), фирменного наименования организации.</w:t>
            </w:r>
            <w:r>
              <w:br/>
            </w:r>
            <w:r>
              <w:rPr>
                <w:rFonts w:ascii="Times New Roman"/>
                <w:b w:val="false"/>
                <w:i w:val="false"/>
                <w:color w:val="000000"/>
                <w:sz w:val="20"/>
              </w:rPr>
              <w:t>
</w:t>
            </w:r>
            <w:r>
              <w:rPr>
                <w:rFonts w:ascii="Times New Roman"/>
                <w:b w:val="false"/>
                <w:i w:val="false"/>
                <w:color w:val="000000"/>
                <w:sz w:val="20"/>
              </w:rPr>
              <w:t>8.8. Состав, размеры помещений и оборудование аптечной организации соответствуют объему и характеру осуществляемой фармацевтической деятельности, и действующим нормативам, обеспечивающим качество и безопасность лекарственных средств и товаров аптечного ассортимента.</w:t>
            </w:r>
            <w:r>
              <w:br/>
            </w:r>
            <w:r>
              <w:rPr>
                <w:rFonts w:ascii="Times New Roman"/>
                <w:b w:val="false"/>
                <w:i w:val="false"/>
                <w:color w:val="000000"/>
                <w:sz w:val="20"/>
              </w:rPr>
              <w:t>
</w:t>
            </w:r>
            <w:r>
              <w:rPr>
                <w:rFonts w:ascii="Times New Roman"/>
                <w:b w:val="false"/>
                <w:i w:val="false"/>
                <w:color w:val="000000"/>
                <w:sz w:val="20"/>
              </w:rPr>
              <w:t>8.9. Аптечные организации имеют системы электроснабжения, отопления, водоснабжения, кондиционирования, вентиляции, канализации в соответствии с требованиями санитарных правил.</w:t>
            </w:r>
            <w:r>
              <w:br/>
            </w:r>
            <w:r>
              <w:rPr>
                <w:rFonts w:ascii="Times New Roman"/>
                <w:b w:val="false"/>
                <w:i w:val="false"/>
                <w:color w:val="000000"/>
                <w:sz w:val="20"/>
              </w:rPr>
              <w:t>
</w:t>
            </w:r>
            <w:r>
              <w:rPr>
                <w:rFonts w:ascii="Times New Roman"/>
                <w:b w:val="false"/>
                <w:i w:val="false"/>
                <w:color w:val="000000"/>
                <w:sz w:val="20"/>
              </w:rPr>
              <w:t>8.10. Общая площадь административно-бытовых помещений аптечных организаций зависит от численности персонала и соответствует действующим нормам и правилам.</w:t>
            </w:r>
            <w:r>
              <w:br/>
            </w:r>
            <w:r>
              <w:rPr>
                <w:rFonts w:ascii="Times New Roman"/>
                <w:b w:val="false"/>
                <w:i w:val="false"/>
                <w:color w:val="000000"/>
                <w:sz w:val="20"/>
              </w:rPr>
              <w:t>
</w:t>
            </w:r>
            <w:r>
              <w:rPr>
                <w:rFonts w:ascii="Times New Roman"/>
                <w:b w:val="false"/>
                <w:i w:val="false"/>
                <w:color w:val="000000"/>
                <w:sz w:val="20"/>
              </w:rPr>
              <w:t xml:space="preserve">8.11. Все приборы, аппараты, используемые в аптечной организации, имеют технические паспорта, хранящиеся в течение всего времени эксплуатации. поверка приборов, аппаратов проводится один раз в год в соответствии с </w:t>
            </w:r>
            <w:r>
              <w:rPr>
                <w:rFonts w:ascii="Times New Roman"/>
                <w:b w:val="false"/>
                <w:i w:val="false"/>
                <w:color w:val="000000"/>
                <w:sz w:val="20"/>
              </w:rPr>
              <w:t>подпунктом 18)</w:t>
            </w:r>
            <w:r>
              <w:rPr>
                <w:rFonts w:ascii="Times New Roman"/>
                <w:b w:val="false"/>
                <w:i w:val="false"/>
                <w:color w:val="000000"/>
                <w:sz w:val="20"/>
              </w:rPr>
              <w:t xml:space="preserve"> статьи 1 Закона Республики Казахстан от 7 июня 2000 года "Об обеспечении единства измерений". Инструкции по эксплуатации и очистке составляются на основании данных паспортов.</w:t>
            </w:r>
            <w:r>
              <w:br/>
            </w:r>
            <w:r>
              <w:rPr>
                <w:rFonts w:ascii="Times New Roman"/>
                <w:b w:val="false"/>
                <w:i w:val="false"/>
                <w:color w:val="000000"/>
                <w:sz w:val="20"/>
              </w:rPr>
              <w:t>
8.12. Помещения хранения лекарственных средств, медицинских изделий и товаров аптечного ассортимента оснащаются приборами для регистрации параметров воздуха (термометрами, гигрометрами, психрометрами и др.). Контролирующие приборы поверяются.</w:t>
            </w:r>
          </w:p>
          <w:bookmarkEnd w:id="80"/>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хранение и реализация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81"/>
          <w:p>
            <w:pPr>
              <w:spacing w:after="20"/>
              <w:ind w:left="20"/>
              <w:jc w:val="both"/>
            </w:pPr>
            <w:r>
              <w:rPr>
                <w:rFonts w:ascii="Times New Roman"/>
                <w:b w:val="false"/>
                <w:i w:val="false"/>
                <w:color w:val="000000"/>
                <w:sz w:val="20"/>
              </w:rPr>
              <w:t>
9.1. В аптечной организации предусматривается отдельное помещение или специально оборудованное рабочее место для приемки товара, обеспечивающее сохранение его качества, количества и не допускающее порчи и смешения с другой однородной продукцией.</w:t>
            </w:r>
            <w:r>
              <w:br/>
            </w:r>
            <w:r>
              <w:rPr>
                <w:rFonts w:ascii="Times New Roman"/>
                <w:b w:val="false"/>
                <w:i w:val="false"/>
                <w:color w:val="000000"/>
                <w:sz w:val="20"/>
              </w:rPr>
              <w:t>
</w:t>
            </w:r>
            <w:r>
              <w:rPr>
                <w:rFonts w:ascii="Times New Roman"/>
                <w:b w:val="false"/>
                <w:i w:val="false"/>
                <w:color w:val="000000"/>
                <w:sz w:val="20"/>
              </w:rPr>
              <w:t>9.2. Аптечная организация получает лекарственные средства и медицинские изделия из организации, имеющей лицензию на оптовую реализацию в соответствии с законодательством Республики Казахстан о разрешениях и уведомлениях.</w:t>
            </w:r>
            <w:r>
              <w:br/>
            </w:r>
            <w:r>
              <w:rPr>
                <w:rFonts w:ascii="Times New Roman"/>
                <w:b w:val="false"/>
                <w:i w:val="false"/>
                <w:color w:val="000000"/>
                <w:sz w:val="20"/>
              </w:rPr>
              <w:t>
</w:t>
            </w:r>
            <w:r>
              <w:rPr>
                <w:rFonts w:ascii="Times New Roman"/>
                <w:b w:val="false"/>
                <w:i w:val="false"/>
                <w:color w:val="000000"/>
                <w:sz w:val="20"/>
              </w:rPr>
              <w:t>9.3. Приемка лекарственных средств, медицинских изделий и товаров аптечного ассортимента производится по количеству, качеству, комплектности, целостности тары, упаковки, наличия маркировки, наличие инструкции по медицинскому применению лекарственного средства, медицинского изделия на государственном и русском языках, и включает следующие этапы:</w:t>
            </w:r>
            <w:r>
              <w:br/>
            </w:r>
            <w:r>
              <w:rPr>
                <w:rFonts w:ascii="Times New Roman"/>
                <w:b w:val="false"/>
                <w:i w:val="false"/>
                <w:color w:val="000000"/>
                <w:sz w:val="20"/>
              </w:rPr>
              <w:t>
</w:t>
            </w:r>
            <w:r>
              <w:rPr>
                <w:rFonts w:ascii="Times New Roman"/>
                <w:b w:val="false"/>
                <w:i w:val="false"/>
                <w:color w:val="000000"/>
                <w:sz w:val="20"/>
              </w:rPr>
              <w:t>проверка сопроводительной документации, характеризующей партию продукции (товаротранспортная накладная, счет-фактура, документ подтверждающий качество продукции, санитарно-гигиеническое заключение;</w:t>
            </w:r>
            <w:r>
              <w:br/>
            </w:r>
            <w:r>
              <w:rPr>
                <w:rFonts w:ascii="Times New Roman"/>
                <w:b w:val="false"/>
                <w:i w:val="false"/>
                <w:color w:val="000000"/>
                <w:sz w:val="20"/>
              </w:rPr>
              <w:t>
</w:t>
            </w:r>
            <w:r>
              <w:rPr>
                <w:rFonts w:ascii="Times New Roman"/>
                <w:b w:val="false"/>
                <w:i w:val="false"/>
                <w:color w:val="000000"/>
                <w:sz w:val="20"/>
              </w:rPr>
              <w:t>проверка соответствия серии лекарственного средства с серией, указанной в сопроводительной документации;</w:t>
            </w:r>
            <w:r>
              <w:br/>
            </w:r>
            <w:r>
              <w:rPr>
                <w:rFonts w:ascii="Times New Roman"/>
                <w:b w:val="false"/>
                <w:i w:val="false"/>
                <w:color w:val="000000"/>
                <w:sz w:val="20"/>
              </w:rPr>
              <w:t>
</w:t>
            </w:r>
            <w:r>
              <w:rPr>
                <w:rFonts w:ascii="Times New Roman"/>
                <w:b w:val="false"/>
                <w:i w:val="false"/>
                <w:color w:val="000000"/>
                <w:sz w:val="20"/>
              </w:rPr>
              <w:t>визуальная проверка поступившей продукции (бой, брак);</w:t>
            </w:r>
            <w:r>
              <w:br/>
            </w:r>
            <w:r>
              <w:rPr>
                <w:rFonts w:ascii="Times New Roman"/>
                <w:b w:val="false"/>
                <w:i w:val="false"/>
                <w:color w:val="000000"/>
                <w:sz w:val="20"/>
              </w:rPr>
              <w:t>
</w:t>
            </w:r>
            <w:r>
              <w:rPr>
                <w:rFonts w:ascii="Times New Roman"/>
                <w:b w:val="false"/>
                <w:i w:val="false"/>
                <w:color w:val="000000"/>
                <w:sz w:val="20"/>
              </w:rPr>
              <w:t>проверка на соответствие маркировки и упаковки лекарственных средств, медицинских изделий в соответствии с правилами, утверждаемыми уполномоченным органом;</w:t>
            </w:r>
            <w:r>
              <w:br/>
            </w:r>
            <w:r>
              <w:rPr>
                <w:rFonts w:ascii="Times New Roman"/>
                <w:b w:val="false"/>
                <w:i w:val="false"/>
                <w:color w:val="000000"/>
                <w:sz w:val="20"/>
              </w:rPr>
              <w:t>
</w:t>
            </w:r>
            <w:r>
              <w:rPr>
                <w:rFonts w:ascii="Times New Roman"/>
                <w:b w:val="false"/>
                <w:i w:val="false"/>
                <w:color w:val="000000"/>
                <w:sz w:val="20"/>
              </w:rPr>
              <w:t>проверка соблюдения условий транспортировки.</w:t>
            </w:r>
            <w:r>
              <w:br/>
            </w:r>
            <w:r>
              <w:rPr>
                <w:rFonts w:ascii="Times New Roman"/>
                <w:b w:val="false"/>
                <w:i w:val="false"/>
                <w:color w:val="000000"/>
                <w:sz w:val="20"/>
              </w:rPr>
              <w:t>
</w:t>
            </w:r>
            <w:r>
              <w:rPr>
                <w:rFonts w:ascii="Times New Roman"/>
                <w:b w:val="false"/>
                <w:i w:val="false"/>
                <w:color w:val="000000"/>
                <w:sz w:val="20"/>
              </w:rPr>
              <w:t>9.4. При приемке медицинских изделий в сопроводительном документе на каждое наименование сверяют модель (марку, модификацию), партию (серию) сведения необходимые для идентификации медицинского изделия, указанные оптовым поставщиком в сопроводительных документах).</w:t>
            </w:r>
            <w:r>
              <w:br/>
            </w:r>
            <w:r>
              <w:rPr>
                <w:rFonts w:ascii="Times New Roman"/>
                <w:b w:val="false"/>
                <w:i w:val="false"/>
                <w:color w:val="000000"/>
                <w:sz w:val="20"/>
              </w:rPr>
              <w:t>
</w:t>
            </w:r>
            <w:r>
              <w:rPr>
                <w:rFonts w:ascii="Times New Roman"/>
                <w:b w:val="false"/>
                <w:i w:val="false"/>
                <w:color w:val="000000"/>
                <w:sz w:val="20"/>
              </w:rPr>
              <w:t>9.5. Медицинские изделия поступают в обращение с маркировкой, нанесенной непосредственно на медицинское изделие, и (или) на потребительскую упаковку, и с инструкцией по медицинскому применению на медицинское изделие.</w:t>
            </w:r>
            <w:r>
              <w:br/>
            </w:r>
            <w:r>
              <w:rPr>
                <w:rFonts w:ascii="Times New Roman"/>
                <w:b w:val="false"/>
                <w:i w:val="false"/>
                <w:color w:val="000000"/>
                <w:sz w:val="20"/>
              </w:rPr>
              <w:t>
</w:t>
            </w:r>
            <w:r>
              <w:rPr>
                <w:rFonts w:ascii="Times New Roman"/>
                <w:b w:val="false"/>
                <w:i w:val="false"/>
                <w:color w:val="000000"/>
                <w:sz w:val="20"/>
              </w:rPr>
              <w:t>9.6. Результаты приема продукции документируются.</w:t>
            </w:r>
            <w:r>
              <w:br/>
            </w:r>
            <w:r>
              <w:rPr>
                <w:rFonts w:ascii="Times New Roman"/>
                <w:b w:val="false"/>
                <w:i w:val="false"/>
                <w:color w:val="000000"/>
                <w:sz w:val="20"/>
              </w:rPr>
              <w:t>
</w:t>
            </w:r>
            <w:r>
              <w:rPr>
                <w:rFonts w:ascii="Times New Roman"/>
                <w:b w:val="false"/>
                <w:i w:val="false"/>
                <w:color w:val="000000"/>
                <w:sz w:val="20"/>
              </w:rPr>
              <w:t>9.7. В случае сомнения в качестве лекарственных средств, несоответствия серий, указанных в сопроводительных документах, несоответствия комплектности, упаковки, маркировки или недостачи по количеству, ответственное лицо за приемку продукции составляет претензию оптовой организации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9.8. Не подлежат приемке лекарственные средства, медицинские изделия и товары аптечного ассортимента, с истекшим сроком годности, а также не соответствующие установленным требованиям к их качеству.</w:t>
            </w:r>
            <w:r>
              <w:br/>
            </w:r>
            <w:r>
              <w:rPr>
                <w:rFonts w:ascii="Times New Roman"/>
                <w:b w:val="false"/>
                <w:i w:val="false"/>
                <w:color w:val="000000"/>
                <w:sz w:val="20"/>
              </w:rPr>
              <w:t>
</w:t>
            </w:r>
            <w:r>
              <w:rPr>
                <w:rFonts w:ascii="Times New Roman"/>
                <w:b w:val="false"/>
                <w:i w:val="false"/>
                <w:color w:val="000000"/>
                <w:sz w:val="20"/>
              </w:rPr>
              <w:t>9.9. Лекарственные средства, медицинские изделия, не прошедшие процедуру приема (при повреждении упаковки, не имеющие документа, подтверждающего качество, и (или) необходимой сопроводительной документации) соответствующим образом промаркировываются и размещаются отдельно от других лекарственных средств до их идентификации, возврату поставщику или уничтожению в установленном законодательством порядке и имеют сигнальный ярлык: "На ответственном хранении. Хранить до принятия решения".</w:t>
            </w:r>
            <w:r>
              <w:br/>
            </w:r>
            <w:r>
              <w:rPr>
                <w:rFonts w:ascii="Times New Roman"/>
                <w:b w:val="false"/>
                <w:i w:val="false"/>
                <w:color w:val="000000"/>
                <w:sz w:val="20"/>
              </w:rPr>
              <w:t>
</w:t>
            </w:r>
            <w:r>
              <w:rPr>
                <w:rFonts w:ascii="Times New Roman"/>
                <w:b w:val="false"/>
                <w:i w:val="false"/>
                <w:color w:val="000000"/>
                <w:sz w:val="20"/>
              </w:rPr>
              <w:t>9.10. После проведения процедуры приемки, продукция приходуется и разрешается к реализации.</w:t>
            </w:r>
            <w:r>
              <w:br/>
            </w:r>
            <w:r>
              <w:rPr>
                <w:rFonts w:ascii="Times New Roman"/>
                <w:b w:val="false"/>
                <w:i w:val="false"/>
                <w:color w:val="000000"/>
                <w:sz w:val="20"/>
              </w:rPr>
              <w:t>
</w:t>
            </w:r>
            <w:r>
              <w:rPr>
                <w:rFonts w:ascii="Times New Roman"/>
                <w:b w:val="false"/>
                <w:i w:val="false"/>
                <w:color w:val="000000"/>
                <w:sz w:val="20"/>
              </w:rPr>
              <w:t>9.11. Лекарственные средства, медицинские изделия, товары аптечного ассортимента и не относящихся к лекарственным средствам, медицинским изделиям в соответствии с перечнем, утверждаемым уполномоченным органом, хранятся в условиях, обеспечивающих сохранение их безопасности и качества.</w:t>
            </w:r>
            <w:r>
              <w:br/>
            </w:r>
            <w:r>
              <w:rPr>
                <w:rFonts w:ascii="Times New Roman"/>
                <w:b w:val="false"/>
                <w:i w:val="false"/>
                <w:color w:val="000000"/>
                <w:sz w:val="20"/>
              </w:rPr>
              <w:t>
</w:t>
            </w:r>
            <w:r>
              <w:rPr>
                <w:rFonts w:ascii="Times New Roman"/>
                <w:b w:val="false"/>
                <w:i w:val="false"/>
                <w:color w:val="000000"/>
                <w:sz w:val="20"/>
              </w:rPr>
              <w:t>9.12. В аптечной организации предусматриваются меры по исключению случаев хищения, повреждения (разливания, рассыпания, боя) и их контаминации.</w:t>
            </w:r>
            <w:r>
              <w:br/>
            </w:r>
            <w:r>
              <w:rPr>
                <w:rFonts w:ascii="Times New Roman"/>
                <w:b w:val="false"/>
                <w:i w:val="false"/>
                <w:color w:val="000000"/>
                <w:sz w:val="20"/>
              </w:rPr>
              <w:t>
</w:t>
            </w:r>
            <w:r>
              <w:rPr>
                <w:rFonts w:ascii="Times New Roman"/>
                <w:b w:val="false"/>
                <w:i w:val="false"/>
                <w:color w:val="000000"/>
                <w:sz w:val="20"/>
              </w:rPr>
              <w:t>9.13. При отпуске лекарственного препарата по рецепту врача фармацевт проводит оценку его соответствия установленным требованиям выписывания и таксирует его на отпускаемый лекарственный препарат.</w:t>
            </w:r>
            <w:r>
              <w:br/>
            </w:r>
            <w:r>
              <w:rPr>
                <w:rFonts w:ascii="Times New Roman"/>
                <w:b w:val="false"/>
                <w:i w:val="false"/>
                <w:color w:val="000000"/>
                <w:sz w:val="20"/>
              </w:rPr>
              <w:t>
</w:t>
            </w:r>
            <w:r>
              <w:rPr>
                <w:rFonts w:ascii="Times New Roman"/>
                <w:b w:val="false"/>
                <w:i w:val="false"/>
                <w:color w:val="000000"/>
                <w:sz w:val="20"/>
              </w:rPr>
              <w:t>9.14. Замена, выписанного в рецепте лекарственного средства на его синоним (генерическую форму), производится с согласия пациента и/или по согласованию с врачом, при этом на обороте рецепта следует указать торговое наименование отпущенного лекарственного средства, поставить подпись и дату отпуска.</w:t>
            </w:r>
            <w:r>
              <w:br/>
            </w:r>
            <w:r>
              <w:rPr>
                <w:rFonts w:ascii="Times New Roman"/>
                <w:b w:val="false"/>
                <w:i w:val="false"/>
                <w:color w:val="000000"/>
                <w:sz w:val="20"/>
              </w:rPr>
              <w:t>
</w:t>
            </w:r>
            <w:r>
              <w:rPr>
                <w:rFonts w:ascii="Times New Roman"/>
                <w:b w:val="false"/>
                <w:i w:val="false"/>
                <w:color w:val="000000"/>
                <w:sz w:val="20"/>
              </w:rPr>
              <w:t>9.15. Аптечные организации отпускают лекарственные средства только в готовом для употребления виде и количествах, необходимых для выполнения врачебных назначений.</w:t>
            </w:r>
            <w:r>
              <w:br/>
            </w:r>
            <w:r>
              <w:rPr>
                <w:rFonts w:ascii="Times New Roman"/>
                <w:b w:val="false"/>
                <w:i w:val="false"/>
                <w:color w:val="000000"/>
                <w:sz w:val="20"/>
              </w:rPr>
              <w:t>
</w:t>
            </w:r>
            <w:r>
              <w:rPr>
                <w:rFonts w:ascii="Times New Roman"/>
                <w:b w:val="false"/>
                <w:i w:val="false"/>
                <w:color w:val="000000"/>
                <w:sz w:val="20"/>
              </w:rPr>
              <w:t>9.16. Лекарственное средство отпускается в оригинальной заводской или аптечной упаковке. При необходимости допускается нарушение оригинальной заводской упаковки, за исключением блистерной, с обязательным указанием на аптечной упаковке наименования лекарства, количества, дозировки, серии, срока годности препарата, способа применения, мер предосторожности.</w:t>
            </w:r>
            <w:r>
              <w:br/>
            </w:r>
            <w:r>
              <w:rPr>
                <w:rFonts w:ascii="Times New Roman"/>
                <w:b w:val="false"/>
                <w:i w:val="false"/>
                <w:color w:val="000000"/>
                <w:sz w:val="20"/>
              </w:rPr>
              <w:t>
</w:t>
            </w:r>
            <w:r>
              <w:rPr>
                <w:rFonts w:ascii="Times New Roman"/>
                <w:b w:val="false"/>
                <w:i w:val="false"/>
                <w:color w:val="000000"/>
                <w:sz w:val="20"/>
              </w:rPr>
              <w:t>9.17. Аптечные организации не принимают от физических лиц лекарственные средства, приобретенные ими ранее.</w:t>
            </w:r>
            <w:r>
              <w:br/>
            </w:r>
            <w:r>
              <w:rPr>
                <w:rFonts w:ascii="Times New Roman"/>
                <w:b w:val="false"/>
                <w:i w:val="false"/>
                <w:color w:val="000000"/>
                <w:sz w:val="20"/>
              </w:rPr>
              <w:t>
</w:t>
            </w:r>
            <w:r>
              <w:rPr>
                <w:rFonts w:ascii="Times New Roman"/>
                <w:b w:val="false"/>
                <w:i w:val="false"/>
                <w:color w:val="000000"/>
                <w:sz w:val="20"/>
              </w:rPr>
              <w:t>9.18. Реализуемые из аптечных организаций лекарственные средства, медицинские изделия имеют инструкцию по применению (аннотацию-вкладыш) на государственном и русском языках, утвержденную государственным органом, реализуемые средства измерений медицинских изделий имеют сведения о их поверке, в виде оттиска клейма или сертификатов (свидетельств) о поверке.</w:t>
            </w:r>
            <w:r>
              <w:br/>
            </w:r>
            <w:r>
              <w:rPr>
                <w:rFonts w:ascii="Times New Roman"/>
                <w:b w:val="false"/>
                <w:i w:val="false"/>
                <w:color w:val="000000"/>
                <w:sz w:val="20"/>
              </w:rPr>
              <w:t>
</w:t>
            </w:r>
            <w:r>
              <w:rPr>
                <w:rFonts w:ascii="Times New Roman"/>
                <w:b w:val="false"/>
                <w:i w:val="false"/>
                <w:color w:val="000000"/>
                <w:sz w:val="20"/>
              </w:rPr>
              <w:t>9.19 Пациенту по его просьбе представляется дополнительная информация о приобретаемом лекарственном препарате, об имеющихся в аптечной организации синонимах (генерических формах), аналогах и их ценах.</w:t>
            </w:r>
            <w:r>
              <w:br/>
            </w:r>
            <w:r>
              <w:rPr>
                <w:rFonts w:ascii="Times New Roman"/>
                <w:b w:val="false"/>
                <w:i w:val="false"/>
                <w:color w:val="000000"/>
                <w:sz w:val="20"/>
              </w:rPr>
              <w:t>
9.20. При отпуске лекарственных препаратов фармацевт информирует пациента о правилах приема лекарственного препарата: режиме приема, разовой и суточной дозе, способе приема (с учетом приема пищи и пр.), правилах хранения, обращает внимание пациента на необходимость внимательного ознакомления с инструкцией по его применению. При отпуске средств измерений медицинских изделий фармацевт информирует пациента о правилах применения. Ответы специалиста являются аргументированными, грамотными, с соблюдением требований профессиональной этики.</w:t>
            </w:r>
          </w:p>
          <w:bookmarkEnd w:id="81"/>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82"/>
          <w:p>
            <w:pPr>
              <w:spacing w:after="20"/>
              <w:ind w:left="20"/>
              <w:jc w:val="both"/>
            </w:pPr>
            <w:r>
              <w:rPr>
                <w:rFonts w:ascii="Times New Roman"/>
                <w:b w:val="false"/>
                <w:i w:val="false"/>
                <w:color w:val="000000"/>
                <w:sz w:val="20"/>
              </w:rPr>
              <w:t>
10.1. Для выполнения основных функций штат аптечной организации укомплектован достаточным количеством квалифицированного персонала, способного решать профессиональные задачи в соответствии со своими должностными обязанностями, в случае применения приборов назначается ответственное лицо за состояние средств измерений.</w:t>
            </w:r>
            <w:r>
              <w:br/>
            </w:r>
            <w:r>
              <w:rPr>
                <w:rFonts w:ascii="Times New Roman"/>
                <w:b w:val="false"/>
                <w:i w:val="false"/>
                <w:color w:val="000000"/>
                <w:sz w:val="20"/>
              </w:rPr>
              <w:t>
</w:t>
            </w:r>
            <w:r>
              <w:rPr>
                <w:rFonts w:ascii="Times New Roman"/>
                <w:b w:val="false"/>
                <w:i w:val="false"/>
                <w:color w:val="000000"/>
                <w:sz w:val="20"/>
              </w:rPr>
              <w:t>Персонал аптечной организации соответствует квалификационным требованиям в соответствии с требованиями законодательства Республики Казахстан о разрешениях и уведомлениях.</w:t>
            </w:r>
            <w:r>
              <w:br/>
            </w:r>
            <w:r>
              <w:rPr>
                <w:rFonts w:ascii="Times New Roman"/>
                <w:b w:val="false"/>
                <w:i w:val="false"/>
                <w:color w:val="000000"/>
                <w:sz w:val="20"/>
              </w:rPr>
              <w:t>
</w:t>
            </w:r>
            <w:r>
              <w:rPr>
                <w:rFonts w:ascii="Times New Roman"/>
                <w:b w:val="false"/>
                <w:i w:val="false"/>
                <w:color w:val="000000"/>
                <w:sz w:val="20"/>
              </w:rPr>
              <w:t>10.2. Ответственное лицо за качество лекарственных средств, изготовляемых в аптеке, поступающих из аптечного склада, с целью предупреждения поступления в аптечную организацию некачественных лекарственных средств и недопущения снижения их качества в процессе хранения, обработки и отпуска, проводить мероприятия по обеспечению качества лекарственных средств, которые заключаются в проведении предупредительных мероприятий, осуществлении приемочного контроля.</w:t>
            </w:r>
            <w:r>
              <w:br/>
            </w:r>
            <w:r>
              <w:rPr>
                <w:rFonts w:ascii="Times New Roman"/>
                <w:b w:val="false"/>
                <w:i w:val="false"/>
                <w:color w:val="000000"/>
                <w:sz w:val="20"/>
              </w:rPr>
              <w:t>
</w:t>
            </w:r>
            <w:r>
              <w:rPr>
                <w:rFonts w:ascii="Times New Roman"/>
                <w:b w:val="false"/>
                <w:i w:val="false"/>
                <w:color w:val="000000"/>
                <w:sz w:val="20"/>
              </w:rPr>
              <w:t>10.3. В своей производственной деятельности специалист аптечной организации руководствуется действующими нормативными правовыми актами в области здравоохранения, правилами внутреннего трудового распорядка, требованиями санитарии и гигиены, охраны труда, техники безопасности, должностными инструкциями, настоящим стандартом.</w:t>
            </w:r>
            <w:r>
              <w:br/>
            </w:r>
            <w:r>
              <w:rPr>
                <w:rFonts w:ascii="Times New Roman"/>
                <w:b w:val="false"/>
                <w:i w:val="false"/>
                <w:color w:val="000000"/>
                <w:sz w:val="20"/>
              </w:rPr>
              <w:t>
</w:t>
            </w:r>
            <w:r>
              <w:rPr>
                <w:rFonts w:ascii="Times New Roman"/>
                <w:b w:val="false"/>
                <w:i w:val="false"/>
                <w:color w:val="000000"/>
                <w:sz w:val="20"/>
              </w:rPr>
              <w:t>10.4. Все сотрудники знают и выполняют принципы и требования GPP, проходят последующее повышение квалификации.</w:t>
            </w:r>
            <w:r>
              <w:br/>
            </w:r>
            <w:r>
              <w:rPr>
                <w:rFonts w:ascii="Times New Roman"/>
                <w:b w:val="false"/>
                <w:i w:val="false"/>
                <w:color w:val="000000"/>
                <w:sz w:val="20"/>
              </w:rPr>
              <w:t>
</w:t>
            </w:r>
            <w:r>
              <w:rPr>
                <w:rFonts w:ascii="Times New Roman"/>
                <w:b w:val="false"/>
                <w:i w:val="false"/>
                <w:color w:val="000000"/>
                <w:sz w:val="20"/>
              </w:rPr>
              <w:t>10.5. В процессе своей деятельности специалисты аптечной организации соблюдают нормы фармацевтической этики и деонтологии.</w:t>
            </w:r>
            <w:r>
              <w:br/>
            </w:r>
            <w:r>
              <w:rPr>
                <w:rFonts w:ascii="Times New Roman"/>
                <w:b w:val="false"/>
                <w:i w:val="false"/>
                <w:color w:val="000000"/>
                <w:sz w:val="20"/>
              </w:rPr>
              <w:t>
10.6. Все сотрудники обеспечиваются достаточным количеством санитарно-гигиенической и специальной одежды и обуви, проходят медицинское обследование в соответствии с установленным законодательством порядке.</w:t>
            </w:r>
          </w:p>
          <w:bookmarkEnd w:id="82"/>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операционные процедуры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83"/>
          <w:p>
            <w:pPr>
              <w:spacing w:after="20"/>
              <w:ind w:left="20"/>
              <w:jc w:val="both"/>
            </w:pPr>
            <w:r>
              <w:rPr>
                <w:rFonts w:ascii="Times New Roman"/>
                <w:b w:val="false"/>
                <w:i w:val="false"/>
                <w:color w:val="000000"/>
                <w:sz w:val="20"/>
              </w:rPr>
              <w:t>
11.1. На все виды работ, влияющих на качество лекарственных средств, медицинских изделий, а также качество деятельности аптечной организации в целом, составляются СОП.</w:t>
            </w:r>
            <w:r>
              <w:br/>
            </w:r>
            <w:r>
              <w:rPr>
                <w:rFonts w:ascii="Times New Roman"/>
                <w:b w:val="false"/>
                <w:i w:val="false"/>
                <w:color w:val="000000"/>
                <w:sz w:val="20"/>
              </w:rPr>
              <w:t>
</w:t>
            </w:r>
            <w:r>
              <w:rPr>
                <w:rFonts w:ascii="Times New Roman"/>
                <w:b w:val="false"/>
                <w:i w:val="false"/>
                <w:color w:val="000000"/>
                <w:sz w:val="20"/>
              </w:rPr>
              <w:t>11.2. СОП разрабатывается на: получение и проверку поставок продукции, безопасное хранение лекарственных средств, медицинских изделий и товаров аптечного ассортимента, очистку (обработку) оборудования и уборку помещений (включая борьбу с вредителями), регистрацию параметров условий хранения, применения и содержания применяемых средств измерений, ведение и хранение документов, в том числе документов учета лекарственных препаратов, заказов, возврата, проведение обучения персонала.</w:t>
            </w:r>
            <w:r>
              <w:br/>
            </w:r>
            <w:r>
              <w:rPr>
                <w:rFonts w:ascii="Times New Roman"/>
                <w:b w:val="false"/>
                <w:i w:val="false"/>
                <w:color w:val="000000"/>
                <w:sz w:val="20"/>
              </w:rPr>
              <w:t>
11.3. СОП датируются и подписываются лицом, ответственным (уполномоченным) за качество или заведующей аптекой и утверждены руководителем аптечной организации.</w:t>
            </w:r>
          </w:p>
          <w:bookmarkEnd w:id="83"/>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84"/>
          <w:p>
            <w:pPr>
              <w:spacing w:after="20"/>
              <w:ind w:left="20"/>
              <w:jc w:val="both"/>
            </w:pPr>
            <w:r>
              <w:rPr>
                <w:rFonts w:ascii="Times New Roman"/>
                <w:b w:val="false"/>
                <w:i w:val="false"/>
                <w:color w:val="000000"/>
                <w:sz w:val="20"/>
              </w:rPr>
              <w:t>
12.1. Форма и содержание документации, в зависимости от ее категории и вида, регламентируется руководителем организации.</w:t>
            </w:r>
            <w:r>
              <w:br/>
            </w:r>
            <w:r>
              <w:rPr>
                <w:rFonts w:ascii="Times New Roman"/>
                <w:b w:val="false"/>
                <w:i w:val="false"/>
                <w:color w:val="000000"/>
                <w:sz w:val="20"/>
              </w:rPr>
              <w:t>
</w:t>
            </w:r>
            <w:r>
              <w:rPr>
                <w:rFonts w:ascii="Times New Roman"/>
                <w:b w:val="false"/>
                <w:i w:val="false"/>
                <w:color w:val="000000"/>
                <w:sz w:val="20"/>
              </w:rPr>
              <w:t>12.2. Хранение документов осуществляется на бумажных и (или) на электронных (магнитных) носителях.</w:t>
            </w:r>
            <w:r>
              <w:br/>
            </w:r>
            <w:r>
              <w:rPr>
                <w:rFonts w:ascii="Times New Roman"/>
                <w:b w:val="false"/>
                <w:i w:val="false"/>
                <w:color w:val="000000"/>
                <w:sz w:val="20"/>
              </w:rPr>
              <w:t>
</w:t>
            </w:r>
            <w:r>
              <w:rPr>
                <w:rFonts w:ascii="Times New Roman"/>
                <w:b w:val="false"/>
                <w:i w:val="false"/>
                <w:color w:val="000000"/>
                <w:sz w:val="20"/>
              </w:rPr>
              <w:t>12.3. Система документации аптечной организации обеспечивает:</w:t>
            </w:r>
            <w:r>
              <w:br/>
            </w:r>
            <w:r>
              <w:rPr>
                <w:rFonts w:ascii="Times New Roman"/>
                <w:b w:val="false"/>
                <w:i w:val="false"/>
                <w:color w:val="000000"/>
                <w:sz w:val="20"/>
              </w:rPr>
              <w:t>
</w:t>
            </w:r>
            <w:r>
              <w:rPr>
                <w:rFonts w:ascii="Times New Roman"/>
                <w:b w:val="false"/>
                <w:i w:val="false"/>
                <w:color w:val="000000"/>
                <w:sz w:val="20"/>
              </w:rPr>
              <w:t>полную регламентацию выполняемых функций аптечной организации;</w:t>
            </w:r>
            <w:r>
              <w:br/>
            </w:r>
            <w:r>
              <w:rPr>
                <w:rFonts w:ascii="Times New Roman"/>
                <w:b w:val="false"/>
                <w:i w:val="false"/>
                <w:color w:val="000000"/>
                <w:sz w:val="20"/>
              </w:rPr>
              <w:t>
</w:t>
            </w:r>
            <w:r>
              <w:rPr>
                <w:rFonts w:ascii="Times New Roman"/>
                <w:b w:val="false"/>
                <w:i w:val="false"/>
                <w:color w:val="000000"/>
                <w:sz w:val="20"/>
              </w:rPr>
              <w:t>доступность к соответствующей документации сотрудниками;</w:t>
            </w:r>
            <w:r>
              <w:br/>
            </w:r>
            <w:r>
              <w:rPr>
                <w:rFonts w:ascii="Times New Roman"/>
                <w:b w:val="false"/>
                <w:i w:val="false"/>
                <w:color w:val="000000"/>
                <w:sz w:val="20"/>
              </w:rPr>
              <w:t>
</w:t>
            </w:r>
            <w:r>
              <w:rPr>
                <w:rFonts w:ascii="Times New Roman"/>
                <w:b w:val="false"/>
                <w:i w:val="false"/>
                <w:color w:val="000000"/>
                <w:sz w:val="20"/>
              </w:rPr>
              <w:t>однозначное толкование требований, изложенных в документах;</w:t>
            </w:r>
            <w:r>
              <w:br/>
            </w:r>
            <w:r>
              <w:rPr>
                <w:rFonts w:ascii="Times New Roman"/>
                <w:b w:val="false"/>
                <w:i w:val="false"/>
                <w:color w:val="000000"/>
                <w:sz w:val="20"/>
              </w:rPr>
              <w:t>
</w:t>
            </w:r>
            <w:r>
              <w:rPr>
                <w:rFonts w:ascii="Times New Roman"/>
                <w:b w:val="false"/>
                <w:i w:val="false"/>
                <w:color w:val="000000"/>
                <w:sz w:val="20"/>
              </w:rPr>
              <w:t>своевременный пересмотр документации аптечной организации.</w:t>
            </w:r>
            <w:r>
              <w:br/>
            </w:r>
            <w:r>
              <w:rPr>
                <w:rFonts w:ascii="Times New Roman"/>
                <w:b w:val="false"/>
                <w:i w:val="false"/>
                <w:color w:val="000000"/>
                <w:sz w:val="20"/>
              </w:rPr>
              <w:t>
</w:t>
            </w:r>
            <w:r>
              <w:rPr>
                <w:rFonts w:ascii="Times New Roman"/>
                <w:b w:val="false"/>
                <w:i w:val="false"/>
                <w:color w:val="000000"/>
                <w:sz w:val="20"/>
              </w:rPr>
              <w:t>12.4. Документы доступны государственным органам для проверок в течение сроков, установленных Предпринимательским Кодексом Республики Казахстан. Документация представляется по запросу государственного органа в полном объеме.</w:t>
            </w:r>
            <w:r>
              <w:br/>
            </w:r>
            <w:r>
              <w:rPr>
                <w:rFonts w:ascii="Times New Roman"/>
                <w:b w:val="false"/>
                <w:i w:val="false"/>
                <w:color w:val="000000"/>
                <w:sz w:val="20"/>
              </w:rPr>
              <w:t>
12.5. Документы хранятся в условиях, обеспечивающих их сохранность, в течение сроков, прописанных в СОП.</w:t>
            </w:r>
          </w:p>
          <w:bookmarkEnd w:id="84"/>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85"/>
          <w:p>
            <w:pPr>
              <w:spacing w:after="20"/>
              <w:ind w:left="20"/>
              <w:jc w:val="both"/>
            </w:pPr>
            <w:r>
              <w:rPr>
                <w:rFonts w:ascii="Times New Roman"/>
                <w:b w:val="false"/>
                <w:i w:val="false"/>
                <w:color w:val="000000"/>
                <w:sz w:val="20"/>
              </w:rPr>
              <w:t>
13.1. Аптечной организацией регулярно проводятся самоинспекции (внутренние проверки) на соответствие требованиям действующего законодательства Республики Казахстан и настоящих Правил.</w:t>
            </w:r>
            <w:r>
              <w:br/>
            </w:r>
            <w:r>
              <w:rPr>
                <w:rFonts w:ascii="Times New Roman"/>
                <w:b w:val="false"/>
                <w:i w:val="false"/>
                <w:color w:val="000000"/>
                <w:sz w:val="20"/>
              </w:rPr>
              <w:t>
</w:t>
            </w:r>
            <w:r>
              <w:rPr>
                <w:rFonts w:ascii="Times New Roman"/>
                <w:b w:val="false"/>
                <w:i w:val="false"/>
                <w:color w:val="000000"/>
                <w:sz w:val="20"/>
              </w:rPr>
              <w:t>13.2. Самоинспекция проводится с целью выявления недостатков по выполнению требований действующего законодательства по фармацевтической деятельности и надлежащей аптечной практики и вынесения рекомендаций проведения корректирующих действий.</w:t>
            </w:r>
            <w:r>
              <w:br/>
            </w:r>
            <w:r>
              <w:rPr>
                <w:rFonts w:ascii="Times New Roman"/>
                <w:b w:val="false"/>
                <w:i w:val="false"/>
                <w:color w:val="000000"/>
                <w:sz w:val="20"/>
              </w:rPr>
              <w:t>
</w:t>
            </w:r>
            <w:r>
              <w:rPr>
                <w:rFonts w:ascii="Times New Roman"/>
                <w:b w:val="false"/>
                <w:i w:val="false"/>
                <w:color w:val="000000"/>
                <w:sz w:val="20"/>
              </w:rPr>
              <w:t>13.3. Самоинспекция проводится лицом или независимой группой из числа сотрудников данной аптечной организации, независимыми от лиц, непосредственно осуществляющих проверяемую деятельность. В обязанности группы входят объективная оценка выполнения требований GPP и контроль за осуществлением корректирующих и предупреждающих действий.</w:t>
            </w:r>
            <w:r>
              <w:br/>
            </w:r>
            <w:r>
              <w:rPr>
                <w:rFonts w:ascii="Times New Roman"/>
                <w:b w:val="false"/>
                <w:i w:val="false"/>
                <w:color w:val="000000"/>
                <w:sz w:val="20"/>
              </w:rPr>
              <w:t>
</w:t>
            </w:r>
            <w:r>
              <w:rPr>
                <w:rFonts w:ascii="Times New Roman"/>
                <w:b w:val="false"/>
                <w:i w:val="false"/>
                <w:color w:val="000000"/>
                <w:sz w:val="20"/>
              </w:rPr>
              <w:t>13.4. Программа по самоинспекции разрабатывается в виде СОП, обеспечивающих минимальные и единообразные типовые требования, охватывающие сведения по персоналу, помещениям, включая помещения для персонала, содержанию зданий и обслуживанию оборудования, хранению продукции, оборудованию, документации, санитарным и гигиеническим требованиям, технике безопасности и охране труда, результаты предыдущих самоинспекций и предпринятых корректирующих действий.</w:t>
            </w:r>
            <w:r>
              <w:br/>
            </w:r>
            <w:r>
              <w:rPr>
                <w:rFonts w:ascii="Times New Roman"/>
                <w:b w:val="false"/>
                <w:i w:val="false"/>
                <w:color w:val="000000"/>
                <w:sz w:val="20"/>
              </w:rPr>
              <w:t>
</w:t>
            </w:r>
            <w:r>
              <w:rPr>
                <w:rFonts w:ascii="Times New Roman"/>
                <w:b w:val="false"/>
                <w:i w:val="false"/>
                <w:color w:val="000000"/>
                <w:sz w:val="20"/>
              </w:rPr>
              <w:t>13.5. После завершения самоинспекции составляется отчет, содержащий результаты самоинспекции, оценку и заключения, проведенные во время самоинспекции и при необходимости, рекомендации корректирующих действий и доводится до сведения персонала, ответственного за проверяемый участок работы, и руководства аптечной организации.</w:t>
            </w:r>
            <w:r>
              <w:br/>
            </w:r>
            <w:r>
              <w:rPr>
                <w:rFonts w:ascii="Times New Roman"/>
                <w:b w:val="false"/>
                <w:i w:val="false"/>
                <w:color w:val="000000"/>
                <w:sz w:val="20"/>
              </w:rPr>
              <w:t>
13.6. При последующих проверках контролируется выполнение рекомендаций и их эффективность.</w:t>
            </w:r>
          </w:p>
          <w:bookmarkEnd w:id="85"/>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обеспечения качества в аптечной практике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86"/>
          <w:p>
            <w:pPr>
              <w:spacing w:after="20"/>
              <w:ind w:left="20"/>
              <w:jc w:val="both"/>
            </w:pPr>
            <w:r>
              <w:rPr>
                <w:rFonts w:ascii="Times New Roman"/>
                <w:b w:val="false"/>
                <w:i w:val="false"/>
                <w:color w:val="000000"/>
                <w:sz w:val="20"/>
              </w:rPr>
              <w:t>
14.1 Система обеспечения качества в аптечной практике представляет совокупность организационных мероприятий, предпринимаемых в целях гарантии соответствия качества готовых лекарственных средств, медицинских изделий их применению, обеспечения хранения, отпуска лекарственных средств и медицинских изделий, обучения персонала, ведения и хранения документации, проведения самоинспекции.</w:t>
            </w:r>
            <w:r>
              <w:br/>
            </w:r>
            <w:r>
              <w:rPr>
                <w:rFonts w:ascii="Times New Roman"/>
                <w:b w:val="false"/>
                <w:i w:val="false"/>
                <w:color w:val="000000"/>
                <w:sz w:val="20"/>
              </w:rPr>
              <w:t>
</w:t>
            </w:r>
            <w:r>
              <w:rPr>
                <w:rFonts w:ascii="Times New Roman"/>
                <w:b w:val="false"/>
                <w:i w:val="false"/>
                <w:color w:val="000000"/>
                <w:sz w:val="20"/>
              </w:rPr>
              <w:t>14.2. Система качества документируется, а ее эффективность контролируется.</w:t>
            </w:r>
            <w:r>
              <w:br/>
            </w:r>
            <w:r>
              <w:rPr>
                <w:rFonts w:ascii="Times New Roman"/>
                <w:b w:val="false"/>
                <w:i w:val="false"/>
                <w:color w:val="000000"/>
                <w:sz w:val="20"/>
              </w:rPr>
              <w:t>
</w:t>
            </w:r>
            <w:r>
              <w:rPr>
                <w:rFonts w:ascii="Times New Roman"/>
                <w:b w:val="false"/>
                <w:i w:val="false"/>
                <w:color w:val="000000"/>
                <w:sz w:val="20"/>
              </w:rPr>
              <w:t>14.3. Система обеспечения качества, предназначенная для розничной реализации лекарственных средств и медицинских изделий, гарантирует, что:</w:t>
            </w:r>
            <w:r>
              <w:br/>
            </w:r>
            <w:r>
              <w:rPr>
                <w:rFonts w:ascii="Times New Roman"/>
                <w:b w:val="false"/>
                <w:i w:val="false"/>
                <w:color w:val="000000"/>
                <w:sz w:val="20"/>
              </w:rPr>
              <w:t>
</w:t>
            </w:r>
            <w:r>
              <w:rPr>
                <w:rFonts w:ascii="Times New Roman"/>
                <w:b w:val="false"/>
                <w:i w:val="false"/>
                <w:color w:val="000000"/>
                <w:sz w:val="20"/>
              </w:rPr>
              <w:t>1) лекарственное средство, медицинское изделие соответствуют требованиям нормативного документа по качеству;</w:t>
            </w:r>
            <w:r>
              <w:br/>
            </w:r>
            <w:r>
              <w:rPr>
                <w:rFonts w:ascii="Times New Roman"/>
                <w:b w:val="false"/>
                <w:i w:val="false"/>
                <w:color w:val="000000"/>
                <w:sz w:val="20"/>
              </w:rPr>
              <w:t>
</w:t>
            </w:r>
            <w:r>
              <w:rPr>
                <w:rFonts w:ascii="Times New Roman"/>
                <w:b w:val="false"/>
                <w:i w:val="false"/>
                <w:color w:val="000000"/>
                <w:sz w:val="20"/>
              </w:rPr>
              <w:t>2) лекарственное средство, медицинское изделие приобретены и доставлены согласно договору между дистрибьютором и аптечной организацией;</w:t>
            </w:r>
            <w:r>
              <w:br/>
            </w:r>
            <w:r>
              <w:rPr>
                <w:rFonts w:ascii="Times New Roman"/>
                <w:b w:val="false"/>
                <w:i w:val="false"/>
                <w:color w:val="000000"/>
                <w:sz w:val="20"/>
              </w:rPr>
              <w:t>
</w:t>
            </w:r>
            <w:r>
              <w:rPr>
                <w:rFonts w:ascii="Times New Roman"/>
                <w:b w:val="false"/>
                <w:i w:val="false"/>
                <w:color w:val="000000"/>
                <w:sz w:val="20"/>
              </w:rPr>
              <w:t>3) осуществлены соответствующие мероприятия по закупу, приему, контролю, хранению;</w:t>
            </w:r>
            <w:r>
              <w:br/>
            </w:r>
            <w:r>
              <w:rPr>
                <w:rFonts w:ascii="Times New Roman"/>
                <w:b w:val="false"/>
                <w:i w:val="false"/>
                <w:color w:val="000000"/>
                <w:sz w:val="20"/>
              </w:rPr>
              <w:t>
</w:t>
            </w:r>
            <w:r>
              <w:rPr>
                <w:rFonts w:ascii="Times New Roman"/>
                <w:b w:val="false"/>
                <w:i w:val="false"/>
                <w:color w:val="000000"/>
                <w:sz w:val="20"/>
              </w:rPr>
              <w:t>4) четко определены ответственность и обязанности руководства, а также персонала;</w:t>
            </w:r>
            <w:r>
              <w:br/>
            </w:r>
            <w:r>
              <w:rPr>
                <w:rFonts w:ascii="Times New Roman"/>
                <w:b w:val="false"/>
                <w:i w:val="false"/>
                <w:color w:val="000000"/>
                <w:sz w:val="20"/>
              </w:rPr>
              <w:t>
</w:t>
            </w:r>
            <w:r>
              <w:rPr>
                <w:rFonts w:ascii="Times New Roman"/>
                <w:b w:val="false"/>
                <w:i w:val="false"/>
                <w:color w:val="000000"/>
                <w:sz w:val="20"/>
              </w:rPr>
              <w:t>5) осуществлены достаточные мероприятия для обеспечения качества лекарственных средств и медицинских изделий в течение всего срока годности при их хранении, распространении и реализации;</w:t>
            </w:r>
            <w:r>
              <w:br/>
            </w:r>
            <w:r>
              <w:rPr>
                <w:rFonts w:ascii="Times New Roman"/>
                <w:b w:val="false"/>
                <w:i w:val="false"/>
                <w:color w:val="000000"/>
                <w:sz w:val="20"/>
              </w:rPr>
              <w:t>
</w:t>
            </w:r>
            <w:r>
              <w:rPr>
                <w:rFonts w:ascii="Times New Roman"/>
                <w:b w:val="false"/>
                <w:i w:val="false"/>
                <w:color w:val="000000"/>
                <w:sz w:val="20"/>
              </w:rPr>
              <w:t>6) имеется методика проведения самоинспекции и (или) аудита качества, по которым регулярно оценивают эффективность и пригодность системы обеспечения качества в аптечной практике.</w:t>
            </w:r>
            <w:r>
              <w:br/>
            </w:r>
            <w:r>
              <w:rPr>
                <w:rFonts w:ascii="Times New Roman"/>
                <w:b w:val="false"/>
                <w:i w:val="false"/>
                <w:color w:val="000000"/>
                <w:sz w:val="20"/>
              </w:rPr>
              <w:t>
14.4. Для осуществления системы качества имеется компетентный персонал, достаточное количество соответствующих помещений, оборудования и технических средств.</w:t>
            </w:r>
          </w:p>
          <w:bookmarkEnd w:id="8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4" w:id="87"/>
    <w:p>
      <w:pPr>
        <w:spacing w:after="0"/>
        <w:ind w:left="0"/>
        <w:jc w:val="left"/>
      </w:pPr>
      <w:r>
        <w:rPr>
          <w:rFonts w:ascii="Times New Roman"/>
          <w:b/>
          <w:i w:val="false"/>
          <w:color w:val="000000"/>
        </w:rPr>
        <w:t xml:space="preserve">  Стандарт</w:t>
      </w:r>
      <w:r>
        <w:br/>
      </w:r>
      <w:r>
        <w:rPr>
          <w:rFonts w:ascii="Times New Roman"/>
          <w:b/>
          <w:i w:val="false"/>
          <w:color w:val="000000"/>
        </w:rPr>
        <w:t>надлежащей практики фармаконадзора (GVP)</w:t>
      </w:r>
    </w:p>
    <w:bookmarkEnd w:id="87"/>
    <w:p>
      <w:pPr>
        <w:spacing w:after="0"/>
        <w:ind w:left="0"/>
        <w:jc w:val="both"/>
      </w:pPr>
      <w:r>
        <w:rPr>
          <w:rFonts w:ascii="Times New Roman"/>
          <w:b w:val="false"/>
          <w:i w:val="false"/>
          <w:color w:val="ff0000"/>
          <w:sz w:val="28"/>
        </w:rPr>
        <w:t xml:space="preserve">
      Сноска. Стандарт с изменениями, внесенными приказом Министра здравоохранения РК от 08.05.2019 </w:t>
      </w:r>
      <w:r>
        <w:rPr>
          <w:rFonts w:ascii="Times New Roman"/>
          <w:b w:val="false"/>
          <w:i w:val="false"/>
          <w:color w:val="ff0000"/>
          <w:sz w:val="28"/>
        </w:rPr>
        <w:t>№ ҚР ДСМ-71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Введение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Надлежащей практики фармаконадзора Республики Казахстан (далее – Стандарт) является этическим и научным стандартом проведения фармаконадзора зарегистрированных лекарственных препаратов, документального оформления и представления результатов мониторинга безопасности лекарственных препаратов.</w:t>
            </w:r>
          </w:p>
          <w:p>
            <w:pPr>
              <w:spacing w:after="20"/>
              <w:ind w:left="20"/>
              <w:jc w:val="both"/>
            </w:pPr>
            <w:r>
              <w:rPr>
                <w:rFonts w:ascii="Times New Roman"/>
                <w:b w:val="false"/>
                <w:i w:val="false"/>
                <w:color w:val="000000"/>
                <w:sz w:val="20"/>
              </w:rPr>
              <w:t>
   Настоящий Стандарт разработан с целью гармонизации действующего законодательства Республики Казахстан по фармаконадзору с международными требованиями в этой области.</w:t>
            </w:r>
          </w:p>
          <w:p>
            <w:pPr>
              <w:spacing w:after="20"/>
              <w:ind w:left="20"/>
              <w:jc w:val="both"/>
            </w:pPr>
            <w:r>
              <w:rPr>
                <w:rFonts w:ascii="Times New Roman"/>
                <w:b w:val="false"/>
                <w:i w:val="false"/>
                <w:color w:val="000000"/>
                <w:sz w:val="20"/>
              </w:rPr>
              <w:t>
   Целью настоящего Стандарта является:</w:t>
            </w:r>
          </w:p>
          <w:p>
            <w:pPr>
              <w:spacing w:after="20"/>
              <w:ind w:left="20"/>
              <w:jc w:val="both"/>
            </w:pPr>
            <w:r>
              <w:rPr>
                <w:rFonts w:ascii="Times New Roman"/>
                <w:b w:val="false"/>
                <w:i w:val="false"/>
                <w:color w:val="000000"/>
                <w:sz w:val="20"/>
              </w:rPr>
              <w:t xml:space="preserve">
   предотвращение вреда от нежелательных реакций, возникающих в результате использования зарегистрированных лекарственных препаратов в рамках инструкции по медицинскому применению; </w:t>
            </w:r>
          </w:p>
          <w:p>
            <w:pPr>
              <w:spacing w:after="20"/>
              <w:ind w:left="20"/>
              <w:jc w:val="both"/>
            </w:pPr>
            <w:r>
              <w:rPr>
                <w:rFonts w:ascii="Times New Roman"/>
                <w:b w:val="false"/>
                <w:i w:val="false"/>
                <w:color w:val="000000"/>
                <w:sz w:val="20"/>
              </w:rPr>
              <w:t>
   содействие безопасному и эффективному использованию лекарственных препаратов путем предоставления своевременной информации о безопасности лекарственных препаратов пациентам и медицинским работникам.</w:t>
            </w:r>
          </w:p>
          <w:p>
            <w:pPr>
              <w:spacing w:after="20"/>
              <w:ind w:left="20"/>
              <w:jc w:val="both"/>
            </w:pPr>
            <w:r>
              <w:rPr>
                <w:rFonts w:ascii="Times New Roman"/>
                <w:b w:val="false"/>
                <w:i w:val="false"/>
                <w:color w:val="000000"/>
                <w:sz w:val="20"/>
              </w:rPr>
              <w:t>
   Соблюдение требований настоящего Стандарта способствует защите прав пациентов и населения на безопасные и эффективные лекарственные препараты.</w:t>
            </w:r>
          </w:p>
          <w:p>
            <w:pPr>
              <w:spacing w:after="20"/>
              <w:ind w:left="20"/>
              <w:jc w:val="both"/>
            </w:pPr>
            <w:r>
              <w:rPr>
                <w:rFonts w:ascii="Times New Roman"/>
                <w:b w:val="false"/>
                <w:i w:val="false"/>
                <w:color w:val="000000"/>
                <w:sz w:val="20"/>
              </w:rPr>
              <w:t>
   Настоящий Стандарт подготовлен на основе Надлежащей практики фармаконадзора Евразийского Союза, с учетом требований директивы Европейского Союза 2010/84/EU от 15 декабря 2010 года, Правил по фармаконадзору лекарственных средств для человека 726/2004, 1235/2010 Европейского парламента и Совета ЕС от 6 ноября 2001 г. "О своде законов сообщества в отношении лекарственных препаратов для человека".</w:t>
            </w:r>
          </w:p>
          <w:p>
            <w:pPr>
              <w:spacing w:after="20"/>
              <w:ind w:left="20"/>
              <w:jc w:val="both"/>
            </w:pPr>
            <w:r>
              <w:rPr>
                <w:rFonts w:ascii="Times New Roman"/>
                <w:b w:val="false"/>
                <w:i w:val="false"/>
                <w:color w:val="000000"/>
                <w:sz w:val="20"/>
              </w:rPr>
              <w:t>
   Настоящий Стандарт распространяется на уполномоченный орган в сфере обращения лекарственных средств и медицинских изделий (далее – уполномоченный орган), уполномоченную организацию по мониторингу безопасности лекарственных средств (далее – уполномоченная организация), держателя регистрационного удостоверения лекарственных препаратов, медицинские и фармацевтические организации независимо от форм собственности, медицинских и фармацевтических работников.</w:t>
            </w:r>
          </w:p>
          <w:p>
            <w:pPr>
              <w:spacing w:after="20"/>
              <w:ind w:left="20"/>
              <w:jc w:val="both"/>
            </w:pPr>
            <w:r>
              <w:rPr>
                <w:rFonts w:ascii="Times New Roman"/>
                <w:b w:val="false"/>
                <w:i w:val="false"/>
                <w:color w:val="000000"/>
                <w:sz w:val="20"/>
              </w:rPr>
              <w:t>
   Настоящий Стандарт пересматривается на регулярной основе с учетом опыта его применения в Республике Казахстан и в случае изменения положений международных норм проведения фармаконадзора с внесением необходимых изменений и дополнений не реже 1 раза в 5 лет.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Термины и определения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важная отсутствующая информация – значимые пробелы в имеющихся знаниях по определенным аспектам безопасности лекарственного препарата или групп пациентов, которым назначается лекарственный препарат;</w:t>
            </w:r>
          </w:p>
          <w:p>
            <w:pPr>
              <w:spacing w:after="20"/>
              <w:ind w:left="20"/>
              <w:jc w:val="both"/>
            </w:pPr>
            <w:r>
              <w:rPr>
                <w:rFonts w:ascii="Times New Roman"/>
                <w:b w:val="false"/>
                <w:i w:val="false"/>
                <w:color w:val="000000"/>
                <w:sz w:val="20"/>
              </w:rPr>
              <w:t>
   1.2. важный идентифицированный риск и важный потенциальный риск – идентифицированный риск или потенциальный риск, оказывающий влияние на соотношение польза-риск лекарственного препарата или имеющий последствия для общественного здравоохранения;</w:t>
            </w:r>
          </w:p>
          <w:p>
            <w:pPr>
              <w:spacing w:after="20"/>
              <w:ind w:left="20"/>
              <w:jc w:val="both"/>
            </w:pPr>
            <w:r>
              <w:rPr>
                <w:rFonts w:ascii="Times New Roman"/>
                <w:b w:val="false"/>
                <w:i w:val="false"/>
                <w:color w:val="000000"/>
                <w:sz w:val="20"/>
              </w:rPr>
              <w:t>
   1.3. валидированный сигнал – сигнал, для которого в процессе выполнения валидации и оценке подтверждающих данных установлено, что имеющаяся документация достаточна для предположения о наличии новой потенциальной причинно-следственной связи или нового аспекта известной взаимосвязи между приемом подозреваемого лекарственного препарата и развитием неблагоприятного последствия и, следовательно, определена необходимость комплекса дальнейших действий по оценке сигнала;</w:t>
            </w:r>
          </w:p>
          <w:p>
            <w:pPr>
              <w:spacing w:after="20"/>
              <w:ind w:left="20"/>
              <w:jc w:val="both"/>
            </w:pPr>
            <w:r>
              <w:rPr>
                <w:rFonts w:ascii="Times New Roman"/>
                <w:b w:val="false"/>
                <w:i w:val="false"/>
                <w:color w:val="000000"/>
                <w:sz w:val="20"/>
              </w:rPr>
              <w:t>
   1.4. воздействие, связанное с родом занятий – воздействие лекарственного препарата, которому подвергся человек в результате выполнения деятельности как профессионального характера, так и не связанного с профессиональной деятельностью;</w:t>
            </w:r>
          </w:p>
          <w:p>
            <w:pPr>
              <w:spacing w:after="20"/>
              <w:ind w:left="20"/>
              <w:jc w:val="both"/>
            </w:pPr>
            <w:r>
              <w:rPr>
                <w:rFonts w:ascii="Times New Roman"/>
                <w:b w:val="false"/>
                <w:i w:val="false"/>
                <w:color w:val="000000"/>
                <w:sz w:val="20"/>
              </w:rPr>
              <w:t>
   1.5. дата окончания сбора данных – дата завершения сбора данных для включения в периодический отчет по безопасности;</w:t>
            </w:r>
          </w:p>
          <w:p>
            <w:pPr>
              <w:spacing w:after="20"/>
              <w:ind w:left="20"/>
              <w:jc w:val="both"/>
            </w:pPr>
            <w:r>
              <w:rPr>
                <w:rFonts w:ascii="Times New Roman"/>
                <w:b w:val="false"/>
                <w:i w:val="false"/>
                <w:color w:val="000000"/>
                <w:sz w:val="20"/>
              </w:rPr>
              <w:t>
   1.6. деятельность по минимизации риска (меры по минимизации риска) – комплекс мероприятий, направленных на предотвращение или уменьшение вероятности возникновения нежелательной реакции, связанной с воздействием лекарственного препарата, либо на уменьшение степени тяжести нежелательной реакции в случае ее развития;</w:t>
            </w:r>
          </w:p>
          <w:p>
            <w:pPr>
              <w:spacing w:after="20"/>
              <w:ind w:left="20"/>
              <w:jc w:val="both"/>
            </w:pPr>
            <w:r>
              <w:rPr>
                <w:rFonts w:ascii="Times New Roman"/>
                <w:b w:val="false"/>
                <w:i w:val="false"/>
                <w:color w:val="000000"/>
                <w:sz w:val="20"/>
              </w:rPr>
              <w:t>
   1.7. завершенное клиническое исследование (испытание) – испытание (исследование), по которому подготовлен заключительный отчет о клиническом испытании (исследовании);</w:t>
            </w:r>
          </w:p>
          <w:p>
            <w:pPr>
              <w:spacing w:after="20"/>
              <w:ind w:left="20"/>
              <w:jc w:val="both"/>
            </w:pPr>
            <w:r>
              <w:rPr>
                <w:rFonts w:ascii="Times New Roman"/>
                <w:b w:val="false"/>
                <w:i w:val="false"/>
                <w:color w:val="000000"/>
                <w:sz w:val="20"/>
              </w:rPr>
              <w:t>
   1.8. закрытый сигнал – сигнал, оценка которого завершена в отчетный период составления периодического отчета по безопасности;</w:t>
            </w:r>
          </w:p>
          <w:p>
            <w:pPr>
              <w:spacing w:after="20"/>
              <w:ind w:left="20"/>
              <w:jc w:val="both"/>
            </w:pPr>
            <w:r>
              <w:rPr>
                <w:rFonts w:ascii="Times New Roman"/>
                <w:b w:val="false"/>
                <w:i w:val="false"/>
                <w:color w:val="000000"/>
                <w:sz w:val="20"/>
              </w:rPr>
              <w:t>
   1.9. идентифицированный риск – нежелательное последствие фармакотерапии, для которого получено адекватное доказательство наличия взаимосвязи с подозреваемым лекарственным препаратом;</w:t>
            </w:r>
          </w:p>
          <w:p>
            <w:pPr>
              <w:spacing w:after="20"/>
              <w:ind w:left="20"/>
              <w:jc w:val="both"/>
            </w:pPr>
            <w:r>
              <w:rPr>
                <w:rFonts w:ascii="Times New Roman"/>
                <w:b w:val="false"/>
                <w:i w:val="false"/>
                <w:color w:val="000000"/>
                <w:sz w:val="20"/>
              </w:rPr>
              <w:t>
   1.10. индивидуальное сообщение о нежелательной реакции (отчет о нежелательной реакции) на лекарственный препарат – форма и содержание отчета об одной или нескольких подозреваемых нежелательных реакциях на лекарственный препарат, возникающих у отдельного пациента в определенный момент времени;</w:t>
            </w:r>
          </w:p>
          <w:p>
            <w:pPr>
              <w:spacing w:after="20"/>
              <w:ind w:left="20"/>
              <w:jc w:val="both"/>
            </w:pPr>
            <w:r>
              <w:rPr>
                <w:rFonts w:ascii="Times New Roman"/>
                <w:b w:val="false"/>
                <w:i w:val="false"/>
                <w:color w:val="000000"/>
                <w:sz w:val="20"/>
              </w:rPr>
              <w:t>
   1.11. источники получения индивидуальных сообщений о нежелательных реакциях лекарственного препарата по запросу – организованные системы по сбору данных, включающие клинические исследования (испытания), реестры, пострегистрационные программы персонализированного использования лекарственного препарата, другие программы по поддержке пациентов и мониторингу заболеваний, опросу пациентов или лечащих врачей или сбор информации об эффективности терапии и приверженности пациентов лечению;</w:t>
            </w:r>
          </w:p>
          <w:p>
            <w:pPr>
              <w:spacing w:after="20"/>
              <w:ind w:left="20"/>
              <w:jc w:val="both"/>
            </w:pPr>
            <w:r>
              <w:rPr>
                <w:rFonts w:ascii="Times New Roman"/>
                <w:b w:val="false"/>
                <w:i w:val="false"/>
                <w:color w:val="000000"/>
                <w:sz w:val="20"/>
              </w:rPr>
              <w:t>
   1.12. качество системы фармаконадзора – все характеристики системы фармаконадзора, которые, в соответствии с оценкой вероятности, приводят к результатам, соответствующим целям системы фармаконадзора;</w:t>
            </w:r>
          </w:p>
          <w:p>
            <w:pPr>
              <w:spacing w:after="20"/>
              <w:ind w:left="20"/>
              <w:jc w:val="both"/>
            </w:pPr>
            <w:r>
              <w:rPr>
                <w:rFonts w:ascii="Times New Roman"/>
                <w:b w:val="false"/>
                <w:i w:val="false"/>
                <w:color w:val="000000"/>
                <w:sz w:val="20"/>
              </w:rPr>
              <w:t>
   1.13. клиническое исследование (испытание) – любое исследование (испытание), проводимое с участием человека в качестве субъекта для выявления или подтверждения клинических и (или) фармакологических эффектов исследуемых препаратов и (или) выявления нежелательных реакций на исследуемые препараты, и (или) изучения их всасывания, распределения, метаболизма и выведения с целью выполнения оценки безопасности и (или) эффективности;</w:t>
            </w:r>
          </w:p>
          <w:p>
            <w:pPr>
              <w:spacing w:after="20"/>
              <w:ind w:left="20"/>
              <w:jc w:val="both"/>
            </w:pPr>
            <w:r>
              <w:rPr>
                <w:rFonts w:ascii="Times New Roman"/>
                <w:b w:val="false"/>
                <w:i w:val="false"/>
                <w:color w:val="000000"/>
                <w:sz w:val="20"/>
              </w:rPr>
              <w:t>
   1.14. контроль и обеспечение качества системы фармаконадзора – мониторинг, оценка, обеспечение эффективности и соответствия установленным требованиям структурных элементов и процессов системы фармаконадзора;</w:t>
            </w:r>
          </w:p>
          <w:p>
            <w:pPr>
              <w:spacing w:after="20"/>
              <w:ind w:left="20"/>
              <w:jc w:val="both"/>
            </w:pPr>
            <w:r>
              <w:rPr>
                <w:rFonts w:ascii="Times New Roman"/>
                <w:b w:val="false"/>
                <w:i w:val="false"/>
                <w:color w:val="000000"/>
                <w:sz w:val="20"/>
              </w:rPr>
              <w:t>
   1.15. лекарственное средство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p>
          <w:p>
            <w:pPr>
              <w:spacing w:after="20"/>
              <w:ind w:left="20"/>
              <w:jc w:val="both"/>
            </w:pPr>
            <w:r>
              <w:rPr>
                <w:rFonts w:ascii="Times New Roman"/>
                <w:b w:val="false"/>
                <w:i w:val="false"/>
                <w:color w:val="000000"/>
                <w:sz w:val="20"/>
              </w:rPr>
              <w:t>
   1.16. лекарственный препарат - лекарственное средство в определенной лекарственной форме;</w:t>
            </w:r>
          </w:p>
          <w:p>
            <w:pPr>
              <w:spacing w:after="20"/>
              <w:ind w:left="20"/>
              <w:jc w:val="both"/>
            </w:pPr>
            <w:r>
              <w:rPr>
                <w:rFonts w:ascii="Times New Roman"/>
                <w:b w:val="false"/>
                <w:i w:val="false"/>
                <w:color w:val="000000"/>
                <w:sz w:val="20"/>
              </w:rPr>
              <w:t>
   1.17. ошибка применения лекарственного препарата – любая непреднамеренная ошибка работника системы здравоохранения, пациента или потребителя в назначении, отпуске, дозировке или введении (приеме) лекарственного препарата;</w:t>
            </w:r>
          </w:p>
          <w:p>
            <w:pPr>
              <w:spacing w:after="20"/>
              <w:ind w:left="20"/>
              <w:jc w:val="both"/>
            </w:pPr>
            <w:r>
              <w:rPr>
                <w:rFonts w:ascii="Times New Roman"/>
                <w:b w:val="false"/>
                <w:i w:val="false"/>
                <w:color w:val="000000"/>
                <w:sz w:val="20"/>
              </w:rPr>
              <w:t>
   1.18. международная дата одобрения разрабатываемого лекарственного препарата – дата первого одобрения (или авторизации) для проведения интервенционного клинического исследования (испытания) лекарственного препарата в любой из стран мира;</w:t>
            </w:r>
          </w:p>
          <w:p>
            <w:pPr>
              <w:spacing w:after="20"/>
              <w:ind w:left="20"/>
              <w:jc w:val="both"/>
            </w:pPr>
            <w:r>
              <w:rPr>
                <w:rFonts w:ascii="Times New Roman"/>
                <w:b w:val="false"/>
                <w:i w:val="false"/>
                <w:color w:val="000000"/>
                <w:sz w:val="20"/>
              </w:rPr>
              <w:t>
   1.19. международная дата регистрации – дата первой регистрации (одобрения к применению) в любой стране мира лекарственного препарата, содержащего определенное действующее вещество;</w:t>
            </w:r>
          </w:p>
          <w:p>
            <w:pPr>
              <w:spacing w:after="20"/>
              <w:ind w:left="20"/>
              <w:jc w:val="both"/>
            </w:pPr>
            <w:r>
              <w:rPr>
                <w:rFonts w:ascii="Times New Roman"/>
                <w:b w:val="false"/>
                <w:i w:val="false"/>
                <w:color w:val="000000"/>
                <w:sz w:val="20"/>
              </w:rPr>
              <w:t>
   1.20. надлежащая практика фармаконадзора Республики Казахстан – руководство по осуществлению фармаконадзора в Республике Казахстан, разработанное уполномоченным органом Республики Казахстан;</w:t>
            </w:r>
          </w:p>
          <w:p>
            <w:pPr>
              <w:spacing w:after="20"/>
              <w:ind w:left="20"/>
              <w:jc w:val="both"/>
            </w:pPr>
            <w:r>
              <w:rPr>
                <w:rFonts w:ascii="Times New Roman"/>
                <w:b w:val="false"/>
                <w:i w:val="false"/>
                <w:color w:val="000000"/>
                <w:sz w:val="20"/>
              </w:rPr>
              <w:t xml:space="preserve">
   1.21.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как минимум, возможной взаимосвязи с применением подозреваемого лекарственного (исследуемого) препарата. </w:t>
            </w:r>
          </w:p>
          <w:p>
            <w:pPr>
              <w:spacing w:after="20"/>
              <w:ind w:left="20"/>
              <w:jc w:val="both"/>
            </w:pPr>
            <w:r>
              <w:rPr>
                <w:rFonts w:ascii="Times New Roman"/>
                <w:b w:val="false"/>
                <w:i w:val="false"/>
                <w:color w:val="000000"/>
                <w:sz w:val="20"/>
              </w:rPr>
              <w:t xml:space="preserve">
   1.22. Нежелательное явление – любое неблагоприятное изменение в состоянии здоровья пациента или субъекта клинического исследования (испытания), которому назначался лекарственный (исследуемый) препарат, независимо от причинно-следственной связи с его применением. </w:t>
            </w:r>
          </w:p>
          <w:p>
            <w:pPr>
              <w:spacing w:after="20"/>
              <w:ind w:left="20"/>
              <w:jc w:val="both"/>
            </w:pPr>
            <w:r>
              <w:rPr>
                <w:rFonts w:ascii="Times New Roman"/>
                <w:b w:val="false"/>
                <w:i w:val="false"/>
                <w:color w:val="000000"/>
                <w:sz w:val="20"/>
              </w:rPr>
              <w:t>
   1.23. неинтервенционным исследованием является исследование, которое проводится после проведения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 утвержденной уполномоченным органом.</w:t>
            </w:r>
          </w:p>
          <w:p>
            <w:pPr>
              <w:spacing w:after="20"/>
              <w:ind w:left="20"/>
              <w:jc w:val="both"/>
            </w:pPr>
            <w:r>
              <w:rPr>
                <w:rFonts w:ascii="Times New Roman"/>
                <w:b w:val="false"/>
                <w:i w:val="false"/>
                <w:color w:val="000000"/>
                <w:sz w:val="20"/>
              </w:rPr>
              <w:t>
   1.24. непредвиденная нежелательная реакция – нежелательная реакция, характер, степень тяжести или исход которой не соответствует информации в действующей инструкции по медицинскому применению лекарственного препарата или в брошюре исследователя для незарегистрированного лекарственного препарата;</w:t>
            </w:r>
          </w:p>
          <w:p>
            <w:pPr>
              <w:spacing w:after="20"/>
              <w:ind w:left="20"/>
              <w:jc w:val="both"/>
            </w:pPr>
            <w:r>
              <w:rPr>
                <w:rFonts w:ascii="Times New Roman"/>
                <w:b w:val="false"/>
                <w:i w:val="false"/>
                <w:color w:val="000000"/>
                <w:sz w:val="20"/>
              </w:rPr>
              <w:t>
   1.25. неправильное применение – намеренное и ненадлежащее применение лекарственного препарата, которое не соответствует одобренному в инструкции по медицинскому применению;</w:t>
            </w:r>
          </w:p>
          <w:p>
            <w:pPr>
              <w:spacing w:after="20"/>
              <w:ind w:left="20"/>
              <w:jc w:val="both"/>
            </w:pPr>
            <w:r>
              <w:rPr>
                <w:rFonts w:ascii="Times New Roman"/>
                <w:b w:val="false"/>
                <w:i w:val="false"/>
                <w:color w:val="000000"/>
                <w:sz w:val="20"/>
              </w:rPr>
              <w:t>
   1.26. злоупотребление лекарственным препаратом – постоянное или разовое чрезмерное употребление лекарственного препарата, которое сопровождается неблагоприятными физиологическими или психологическими эффектами;</w:t>
            </w:r>
          </w:p>
          <w:p>
            <w:pPr>
              <w:spacing w:after="20"/>
              <w:ind w:left="20"/>
              <w:jc w:val="both"/>
            </w:pPr>
            <w:r>
              <w:rPr>
                <w:rFonts w:ascii="Times New Roman"/>
                <w:b w:val="false"/>
                <w:i w:val="false"/>
                <w:color w:val="000000"/>
                <w:sz w:val="20"/>
              </w:rPr>
              <w:t>
   1.27. новый идентифицированный сигнал – сигнал, впервые идентифицированный в течение отчетного периода периодического отчета по безопасности, с указаниями дальнейших действий для его оценки;</w:t>
            </w:r>
          </w:p>
          <w:p>
            <w:pPr>
              <w:spacing w:after="20"/>
              <w:ind w:left="20"/>
              <w:jc w:val="both"/>
            </w:pPr>
            <w:r>
              <w:rPr>
                <w:rFonts w:ascii="Times New Roman"/>
                <w:b w:val="false"/>
                <w:i w:val="false"/>
                <w:color w:val="000000"/>
                <w:sz w:val="20"/>
              </w:rPr>
              <w:t>
   1.28. мастер-файл системы фармаконадзора – подробное описание системы фармаконадзора, применяемой держателем регистрационного удостоверения по отношению к данным об одном или нескольких зарегистрированных лекарственных препаратах;</w:t>
            </w:r>
          </w:p>
          <w:p>
            <w:pPr>
              <w:spacing w:after="20"/>
              <w:ind w:left="20"/>
              <w:jc w:val="both"/>
            </w:pPr>
            <w:r>
              <w:rPr>
                <w:rFonts w:ascii="Times New Roman"/>
                <w:b w:val="false"/>
                <w:i w:val="false"/>
                <w:color w:val="000000"/>
                <w:sz w:val="20"/>
              </w:rPr>
              <w:t>
   1.29. отсутствующая информация - недостаток сведений по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p>
            <w:pPr>
              <w:spacing w:after="20"/>
              <w:ind w:left="20"/>
              <w:jc w:val="both"/>
            </w:pPr>
            <w:r>
              <w:rPr>
                <w:rFonts w:ascii="Times New Roman"/>
                <w:b w:val="false"/>
                <w:i w:val="false"/>
                <w:color w:val="000000"/>
                <w:sz w:val="20"/>
              </w:rPr>
              <w:t>
   1.30. отчет по безопасности разрабатываемого лекарственного препарата – формат и содержание периодического отчета по безопасности лекарственного препарата, находящегося на разработке;</w:t>
            </w:r>
          </w:p>
          <w:p>
            <w:pPr>
              <w:spacing w:after="20"/>
              <w:ind w:left="20"/>
              <w:jc w:val="both"/>
            </w:pPr>
            <w:r>
              <w:rPr>
                <w:rFonts w:ascii="Times New Roman"/>
                <w:b w:val="false"/>
                <w:i w:val="false"/>
                <w:color w:val="000000"/>
                <w:sz w:val="20"/>
              </w:rPr>
              <w:t xml:space="preserve">
   1.31. передозировка – применение лекарственного препарата за один прием либо в течение дня в количестве, которое превышает рекомендуемую максимальную суточную дозу в соответствии с одобренной инструкцией по медицинскому применению. </w:t>
            </w:r>
          </w:p>
          <w:p>
            <w:pPr>
              <w:spacing w:after="20"/>
              <w:ind w:left="20"/>
              <w:jc w:val="both"/>
            </w:pPr>
            <w:r>
              <w:rPr>
                <w:rFonts w:ascii="Times New Roman"/>
                <w:b w:val="false"/>
                <w:i w:val="false"/>
                <w:color w:val="000000"/>
                <w:sz w:val="20"/>
              </w:rPr>
              <w:t xml:space="preserve">
   1.32. периодический отчет по безопасности (далее - ПОБ) – форма и содержание отчета для представления оценки соотношения польза-риск лекарственного препарата держателем регистрационного удостоверения в определенные периоды времени в течение пострегистрационного этапа; </w:t>
            </w:r>
          </w:p>
          <w:p>
            <w:pPr>
              <w:spacing w:after="20"/>
              <w:ind w:left="20"/>
              <w:jc w:val="both"/>
            </w:pPr>
            <w:r>
              <w:rPr>
                <w:rFonts w:ascii="Times New Roman"/>
                <w:b w:val="false"/>
                <w:i w:val="false"/>
                <w:color w:val="000000"/>
                <w:sz w:val="20"/>
              </w:rPr>
              <w:t>
   1.33. план управления рисками – подробное описание системы управления рисками;</w:t>
            </w:r>
          </w:p>
          <w:p>
            <w:pPr>
              <w:spacing w:after="20"/>
              <w:ind w:left="20"/>
              <w:jc w:val="both"/>
            </w:pPr>
            <w:r>
              <w:rPr>
                <w:rFonts w:ascii="Times New Roman"/>
                <w:b w:val="false"/>
                <w:i w:val="false"/>
                <w:color w:val="000000"/>
                <w:sz w:val="20"/>
              </w:rPr>
              <w:t>
   1.34. пострегистрационное исследование безопасности (далее -ПРИБ) – любое исследование (испытание), имеющее отношение к зарегистрированному лекарственному препарату, проведенное с целью определения, характеристики или количественной оценки угрозы безопасности, подтверждения профиля безопасности лекарственного препарата или оценки эффективности мер по управлению рисками;</w:t>
            </w:r>
          </w:p>
          <w:p>
            <w:pPr>
              <w:spacing w:after="20"/>
              <w:ind w:left="20"/>
              <w:jc w:val="both"/>
            </w:pPr>
            <w:r>
              <w:rPr>
                <w:rFonts w:ascii="Times New Roman"/>
                <w:b w:val="false"/>
                <w:i w:val="false"/>
                <w:color w:val="000000"/>
                <w:sz w:val="20"/>
              </w:rPr>
              <w:t>
   1.35. потенциальный риск – нежелательное последствие фармакотерапии, в отношении которого имеются основания для подозрений по наличию взаимосвязи с лекарственным препаратом, однако данная взаимосвязь надлежащим образом не была подтверждена;</w:t>
            </w:r>
          </w:p>
          <w:p>
            <w:pPr>
              <w:spacing w:after="20"/>
              <w:ind w:left="20"/>
              <w:jc w:val="both"/>
            </w:pPr>
            <w:r>
              <w:rPr>
                <w:rFonts w:ascii="Times New Roman"/>
                <w:b w:val="false"/>
                <w:i w:val="false"/>
                <w:color w:val="000000"/>
                <w:sz w:val="20"/>
              </w:rPr>
              <w:t>
   1.36. потребитель – лицо, не являющееся работником системы здравоохранения, в частности, пациент, адвокат, друг или родственник (родитель (ребенок) пациента);</w:t>
            </w:r>
          </w:p>
          <w:p>
            <w:pPr>
              <w:spacing w:after="20"/>
              <w:ind w:left="20"/>
              <w:jc w:val="both"/>
            </w:pPr>
            <w:r>
              <w:rPr>
                <w:rFonts w:ascii="Times New Roman"/>
                <w:b w:val="false"/>
                <w:i w:val="false"/>
                <w:color w:val="000000"/>
                <w:sz w:val="20"/>
              </w:rPr>
              <w:t>
   1.37. применение "вне инструкции" – намеренное применение лекарственного препарата с медицинской целью не в соответствии с инструкцией по медицинскому применению;</w:t>
            </w:r>
          </w:p>
          <w:p>
            <w:pPr>
              <w:spacing w:after="20"/>
              <w:ind w:left="20"/>
              <w:jc w:val="both"/>
            </w:pPr>
            <w:r>
              <w:rPr>
                <w:rFonts w:ascii="Times New Roman"/>
                <w:b w:val="false"/>
                <w:i w:val="false"/>
                <w:color w:val="000000"/>
                <w:sz w:val="20"/>
              </w:rPr>
              <w:t>
   1.38. проблема по безопасности – важный идентифицируемый риск, важный потенциальный риск или важная отсутствующая информация;</w:t>
            </w:r>
          </w:p>
          <w:p>
            <w:pPr>
              <w:spacing w:after="20"/>
              <w:ind w:left="20"/>
              <w:jc w:val="both"/>
            </w:pPr>
            <w:r>
              <w:rPr>
                <w:rFonts w:ascii="Times New Roman"/>
                <w:b w:val="false"/>
                <w:i w:val="false"/>
                <w:color w:val="000000"/>
                <w:sz w:val="20"/>
              </w:rPr>
              <w:t>
   1.39. продолжающееся клиническое исследование – исследование (испытание), в которое началось включение пациентов, либо исследование (испытание) проводится на текущий момент времени, либо завершен анализ, но финального отчета о клиническом исследовании (испытании) не имеется;</w:t>
            </w:r>
          </w:p>
          <w:p>
            <w:pPr>
              <w:spacing w:after="20"/>
              <w:ind w:left="20"/>
              <w:jc w:val="both"/>
            </w:pPr>
            <w:r>
              <w:rPr>
                <w:rFonts w:ascii="Times New Roman"/>
                <w:b w:val="false"/>
                <w:i w:val="false"/>
                <w:color w:val="000000"/>
                <w:sz w:val="20"/>
              </w:rPr>
              <w:t>
   1.40. риски, связанные с применением лекарственного препарата – любой риск, связанный с качеством, безопасностью или эффективностью лекарственного препарата по отношению к здоровью пациентов или населения или любой риск, ведущий к нежелательному воздействию на окружающую среду;</w:t>
            </w:r>
          </w:p>
          <w:p>
            <w:pPr>
              <w:spacing w:after="20"/>
              <w:ind w:left="20"/>
              <w:jc w:val="both"/>
            </w:pPr>
            <w:r>
              <w:rPr>
                <w:rFonts w:ascii="Times New Roman"/>
                <w:b w:val="false"/>
                <w:i w:val="false"/>
                <w:color w:val="000000"/>
                <w:sz w:val="20"/>
              </w:rPr>
              <w:t>
   1.41. серьезная нежелательная реакция – 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 а также любая непреднамеренная подозреваемая передача через лекарственный препарат инфекционного агента;</w:t>
            </w:r>
          </w:p>
          <w:p>
            <w:pPr>
              <w:spacing w:after="20"/>
              <w:ind w:left="20"/>
              <w:jc w:val="both"/>
            </w:pPr>
            <w:r>
              <w:rPr>
                <w:rFonts w:ascii="Times New Roman"/>
                <w:b w:val="false"/>
                <w:i w:val="false"/>
                <w:color w:val="000000"/>
                <w:sz w:val="20"/>
              </w:rPr>
              <w:t xml:space="preserve">
   1.42. сигнал – 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 </w:t>
            </w:r>
          </w:p>
          <w:p>
            <w:pPr>
              <w:spacing w:after="20"/>
              <w:ind w:left="20"/>
              <w:jc w:val="both"/>
            </w:pPr>
            <w:r>
              <w:rPr>
                <w:rFonts w:ascii="Times New Roman"/>
                <w:b w:val="false"/>
                <w:i w:val="false"/>
                <w:color w:val="000000"/>
                <w:sz w:val="20"/>
              </w:rPr>
              <w:t>
   1.43. сигнал, по которому выполняется работа – сигнал, который был выявлен до отчетного периода периодического отчета по безопасности и на дату окончания сбора данных находился в процессе оценки;</w:t>
            </w:r>
          </w:p>
          <w:p>
            <w:pPr>
              <w:spacing w:after="20"/>
              <w:ind w:left="20"/>
              <w:jc w:val="both"/>
            </w:pPr>
            <w:r>
              <w:rPr>
                <w:rFonts w:ascii="Times New Roman"/>
                <w:b w:val="false"/>
                <w:i w:val="false"/>
                <w:color w:val="000000"/>
                <w:sz w:val="20"/>
              </w:rPr>
              <w:t>
   1.44. система качества системы фармаконадзора – организационная структура, обязанности, процедуры, процессы и ресурсы системы фармаконадзора, включая надлежащее управление ресурсами, документацией и соответствие требованиям законодательства Республики Казахстан;</w:t>
            </w:r>
          </w:p>
          <w:p>
            <w:pPr>
              <w:spacing w:after="20"/>
              <w:ind w:left="20"/>
              <w:jc w:val="both"/>
            </w:pPr>
            <w:r>
              <w:rPr>
                <w:rFonts w:ascii="Times New Roman"/>
                <w:b w:val="false"/>
                <w:i w:val="false"/>
                <w:color w:val="000000"/>
                <w:sz w:val="20"/>
              </w:rPr>
              <w:t>
   1.45. система управления рисками – комплекс действий и мероприятий по фармаконадзору, направленных на выявление, характеристику, предотвращение или минимизацию рисков, связанных с лекарственными препаратами, включая оценку эффективности данных мероприятий и деятельности;</w:t>
            </w:r>
          </w:p>
          <w:p>
            <w:pPr>
              <w:spacing w:after="20"/>
              <w:ind w:left="20"/>
              <w:jc w:val="both"/>
            </w:pPr>
            <w:r>
              <w:rPr>
                <w:rFonts w:ascii="Times New Roman"/>
                <w:b w:val="false"/>
                <w:i w:val="false"/>
                <w:color w:val="000000"/>
                <w:sz w:val="20"/>
              </w:rPr>
              <w:t>
   1.46. система фармаконадзора – система, организуемая держателем регистрационного удостоверения и уполномоченным органом для выполнения задач и обязанностей 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w:t>
            </w:r>
          </w:p>
          <w:p>
            <w:pPr>
              <w:spacing w:after="20"/>
              <w:ind w:left="20"/>
              <w:jc w:val="both"/>
            </w:pPr>
            <w:r>
              <w:rPr>
                <w:rFonts w:ascii="Times New Roman"/>
                <w:b w:val="false"/>
                <w:i w:val="false"/>
                <w:color w:val="000000"/>
                <w:sz w:val="20"/>
              </w:rPr>
              <w:t>
   1.47. соотношение польза-риск – оценка положительных терапевтических эффектов лекарственного препарата по отношению к рискам, связанным с его применением (понятие риска включает любой риск, связанный с качеством, безопасностью или эффективностью лекарственного препарата по отношению к здоровью пациента или населения);</w:t>
            </w:r>
          </w:p>
          <w:p>
            <w:pPr>
              <w:spacing w:after="20"/>
              <w:ind w:left="20"/>
              <w:jc w:val="both"/>
            </w:pPr>
            <w:r>
              <w:rPr>
                <w:rFonts w:ascii="Times New Roman"/>
                <w:b w:val="false"/>
                <w:i w:val="false"/>
                <w:color w:val="000000"/>
                <w:sz w:val="20"/>
              </w:rPr>
              <w:t>
   1.48. перечень основных данных по лекарственному препарату держателя регистрационного удостоверения – документ, разработанный держателем регистрационного удостоверения, наряду c информацией о безопасности, содержит материал, имеющий отношение к указаниям по применению, дозировке, фармакологическим свойствам и другой информации, касающейся лекарственного препарата;</w:t>
            </w:r>
          </w:p>
          <w:p>
            <w:pPr>
              <w:spacing w:after="20"/>
              <w:ind w:left="20"/>
              <w:jc w:val="both"/>
            </w:pPr>
            <w:r>
              <w:rPr>
                <w:rFonts w:ascii="Times New Roman"/>
                <w:b w:val="false"/>
                <w:i w:val="false"/>
                <w:color w:val="000000"/>
                <w:sz w:val="20"/>
              </w:rPr>
              <w:t>
   1.49. основная информация по безопасности держателя регистрационного удостоверения – вся информация, имеющая отношение к безопасности лекарственного препарата и содержащаяся в перечне основных данных по лекарственному препарату держателя регистрационного удостоверения, разработанная держателем регистрационного удостоверения, и которая, по заявлению держателя регистрационного удостоверения представляется в уполномоченный орган;.</w:t>
            </w:r>
          </w:p>
          <w:p>
            <w:pPr>
              <w:spacing w:after="20"/>
              <w:ind w:left="20"/>
              <w:jc w:val="both"/>
            </w:pPr>
            <w:r>
              <w:rPr>
                <w:rFonts w:ascii="Times New Roman"/>
                <w:b w:val="false"/>
                <w:i w:val="false"/>
                <w:color w:val="000000"/>
                <w:sz w:val="20"/>
              </w:rPr>
              <w:t>
   1.50. спонтанное сообщение (спонтанное извещение) – добровольная передача данных работником сферы здравоохранения или потребителем уполномоченному органу, уполномоченной организации, держателю регистрационного удостоверения или другой организации (региональным центрам фармаконадзора, токсикологическим центрам), которые содержат описание одной или нескольких нежелательных реакций у пациента, принимавшего один или несколько лекарственных препаратов, и которые не были получены в ходе проведения клинического исследования или любого иного метода организованного сбора данных;</w:t>
            </w:r>
          </w:p>
          <w:p>
            <w:pPr>
              <w:spacing w:after="20"/>
              <w:ind w:left="20"/>
              <w:jc w:val="both"/>
            </w:pPr>
            <w:r>
              <w:rPr>
                <w:rFonts w:ascii="Times New Roman"/>
                <w:b w:val="false"/>
                <w:i w:val="false"/>
                <w:color w:val="000000"/>
                <w:sz w:val="20"/>
              </w:rPr>
              <w:t>
   1.51. справочная информация по безопасности лекарственного препарата – информация, включенная в основную информацию по безопасности держателя регистрационного удостоверения;</w:t>
            </w:r>
          </w:p>
          <w:p>
            <w:pPr>
              <w:spacing w:after="20"/>
              <w:ind w:left="20"/>
              <w:jc w:val="both"/>
            </w:pPr>
            <w:r>
              <w:rPr>
                <w:rFonts w:ascii="Times New Roman"/>
                <w:b w:val="false"/>
                <w:i w:val="false"/>
                <w:color w:val="000000"/>
                <w:sz w:val="20"/>
              </w:rPr>
              <w:t>
   1.52. существенные изменения показаний к медицинскому применению – изменения показаний к применению, которые включают изменение разрешенного показания к применению лекарственного препарата, при котором новая целевая популяция существенно отличается от той, для которой первоначально было разрешено применение лекарственного препарата; включение нового нозологического показания к применению, новой возрастной группы (педиатрические показания), изменение степени тяжести показания от более тяжелого состояния к менее тяжелому; переход от второй линии терапии к первой линии и иные изменения, существенно влияющие на соотношение польза-риск лекарственного препарата;</w:t>
            </w:r>
          </w:p>
          <w:p>
            <w:pPr>
              <w:spacing w:after="20"/>
              <w:ind w:left="20"/>
              <w:jc w:val="both"/>
            </w:pPr>
            <w:r>
              <w:rPr>
                <w:rFonts w:ascii="Times New Roman"/>
                <w:b w:val="false"/>
                <w:i w:val="false"/>
                <w:color w:val="000000"/>
                <w:sz w:val="20"/>
              </w:rPr>
              <w:t>
   1.53. требования к уровню качества – характеристики системы качества, которые с определенной вероятностью приводят к достижению требуемых результатов или целей;</w:t>
            </w:r>
          </w:p>
          <w:p>
            <w:pPr>
              <w:spacing w:after="20"/>
              <w:ind w:left="20"/>
              <w:jc w:val="both"/>
            </w:pPr>
            <w:r>
              <w:rPr>
                <w:rFonts w:ascii="Times New Roman"/>
                <w:b w:val="false"/>
                <w:i w:val="false"/>
                <w:color w:val="000000"/>
                <w:sz w:val="20"/>
              </w:rPr>
              <w:t>
   1.54.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 медицинских изделий, контроля за качеством медицинских услуг;</w:t>
            </w:r>
          </w:p>
          <w:p>
            <w:pPr>
              <w:spacing w:after="20"/>
              <w:ind w:left="20"/>
              <w:jc w:val="both"/>
            </w:pPr>
            <w:r>
              <w:rPr>
                <w:rFonts w:ascii="Times New Roman"/>
                <w:b w:val="false"/>
                <w:i w:val="false"/>
                <w:color w:val="000000"/>
                <w:sz w:val="20"/>
              </w:rPr>
              <w:t>
   1.55. уполномоченная организация – организация, уполномоченная государственным органом в сфере обращения лекарственных средств и медицинских изделий на осуществление мониторинга безопасности лекарственных препаратов;</w:t>
            </w:r>
          </w:p>
          <w:p>
            <w:pPr>
              <w:spacing w:after="20"/>
              <w:ind w:left="20"/>
              <w:jc w:val="both"/>
            </w:pPr>
            <w:r>
              <w:rPr>
                <w:rFonts w:ascii="Times New Roman"/>
                <w:b w:val="false"/>
                <w:i w:val="false"/>
                <w:color w:val="000000"/>
                <w:sz w:val="20"/>
              </w:rPr>
              <w:t>
   1.56. фармаконадзор лекарственных средств – система наблюдения, анализа и оценки информации о безопасности зарегистрированных лекарственных средств;</w:t>
            </w:r>
          </w:p>
          <w:p>
            <w:pPr>
              <w:spacing w:after="20"/>
              <w:ind w:left="20"/>
              <w:jc w:val="both"/>
            </w:pPr>
            <w:r>
              <w:rPr>
                <w:rFonts w:ascii="Times New Roman"/>
                <w:b w:val="false"/>
                <w:i w:val="false"/>
                <w:color w:val="000000"/>
                <w:sz w:val="20"/>
              </w:rPr>
              <w:t>
   1.57. целевая популяция (лечение) (лечение целевой популяции) – пациенты, которым назначается лекарственный препарат в соответствии с одобренными показаниями к применению и противопоказаниями в действующей редакции инструкции по медицинскому применению.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Требования к системе качества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Система качества</w:t>
            </w:r>
          </w:p>
          <w:p>
            <w:pPr>
              <w:spacing w:after="20"/>
              <w:ind w:left="20"/>
              <w:jc w:val="both"/>
            </w:pPr>
            <w:r>
              <w:rPr>
                <w:rFonts w:ascii="Times New Roman"/>
                <w:b w:val="false"/>
                <w:i w:val="false"/>
                <w:color w:val="000000"/>
                <w:sz w:val="20"/>
              </w:rPr>
              <w:t>
   2.1.1 Система качества является неотъемлемой составляющей системы фармаконадзора. Система качества охватывает организационную структуру, область ответственности, процедуры, процессы и ресурсы системы фармаконадзора. Система качества направлена на обеспечение надлежащего управления ресурсами, контроль соответствия нормативным требованиям (нормам регулирования) и управления документацией.</w:t>
            </w:r>
          </w:p>
          <w:p>
            <w:pPr>
              <w:spacing w:after="20"/>
              <w:ind w:left="20"/>
              <w:jc w:val="both"/>
            </w:pPr>
            <w:r>
              <w:rPr>
                <w:rFonts w:ascii="Times New Roman"/>
                <w:b w:val="false"/>
                <w:i w:val="false"/>
                <w:color w:val="000000"/>
                <w:sz w:val="20"/>
              </w:rPr>
              <w:t>
   2.1.2 Система качества предусматривает:</w:t>
            </w:r>
          </w:p>
          <w:p>
            <w:pPr>
              <w:spacing w:after="20"/>
              <w:ind w:left="20"/>
              <w:jc w:val="both"/>
            </w:pPr>
            <w:r>
              <w:rPr>
                <w:rFonts w:ascii="Times New Roman"/>
                <w:b w:val="false"/>
                <w:i w:val="false"/>
                <w:color w:val="000000"/>
                <w:sz w:val="20"/>
              </w:rPr>
              <w:t>
   1) создание структуры системы и планирование интегрированных и согласованных процессов (планирование качества);</w:t>
            </w:r>
          </w:p>
          <w:p>
            <w:pPr>
              <w:spacing w:after="20"/>
              <w:ind w:left="20"/>
              <w:jc w:val="both"/>
            </w:pPr>
            <w:r>
              <w:rPr>
                <w:rFonts w:ascii="Times New Roman"/>
                <w:b w:val="false"/>
                <w:i w:val="false"/>
                <w:color w:val="000000"/>
                <w:sz w:val="20"/>
              </w:rPr>
              <w:t>
   2) выполнение задач и обязанностей системы качества (контроль качества);</w:t>
            </w:r>
          </w:p>
          <w:p>
            <w:pPr>
              <w:spacing w:after="20"/>
              <w:ind w:left="20"/>
              <w:jc w:val="both"/>
            </w:pPr>
            <w:r>
              <w:rPr>
                <w:rFonts w:ascii="Times New Roman"/>
                <w:b w:val="false"/>
                <w:i w:val="false"/>
                <w:color w:val="000000"/>
                <w:sz w:val="20"/>
              </w:rPr>
              <w:t>
   3) контроль и оценку эффективности работы структур и процессов системы качества (обеспечение качества);</w:t>
            </w:r>
          </w:p>
          <w:p>
            <w:pPr>
              <w:spacing w:after="20"/>
              <w:ind w:left="20"/>
              <w:jc w:val="both"/>
            </w:pPr>
            <w:r>
              <w:rPr>
                <w:rFonts w:ascii="Times New Roman"/>
                <w:b w:val="false"/>
                <w:i w:val="false"/>
                <w:color w:val="000000"/>
                <w:sz w:val="20"/>
              </w:rPr>
              <w:t>
   4) корректировку и улучшение структуры и процессов системы качества (улучшение качества).</w:t>
            </w:r>
          </w:p>
          <w:p>
            <w:pPr>
              <w:spacing w:after="20"/>
              <w:ind w:left="20"/>
              <w:jc w:val="both"/>
            </w:pPr>
            <w:r>
              <w:rPr>
                <w:rFonts w:ascii="Times New Roman"/>
                <w:b w:val="false"/>
                <w:i w:val="false"/>
                <w:color w:val="000000"/>
                <w:sz w:val="20"/>
              </w:rPr>
              <w:t>
   2.1.3. Общими целями системы качества в системе фармаконадзора являются:</w:t>
            </w:r>
          </w:p>
          <w:p>
            <w:pPr>
              <w:spacing w:after="20"/>
              <w:ind w:left="20"/>
              <w:jc w:val="both"/>
            </w:pPr>
            <w:r>
              <w:rPr>
                <w:rFonts w:ascii="Times New Roman"/>
                <w:b w:val="false"/>
                <w:i w:val="false"/>
                <w:color w:val="000000"/>
                <w:sz w:val="20"/>
              </w:rPr>
              <w:t>
   1) выполнение нормативных требований (норм регулирования) и обязанностей по фармаконадзору;</w:t>
            </w:r>
          </w:p>
          <w:p>
            <w:pPr>
              <w:spacing w:after="20"/>
              <w:ind w:left="20"/>
              <w:jc w:val="both"/>
            </w:pPr>
            <w:r>
              <w:rPr>
                <w:rFonts w:ascii="Times New Roman"/>
                <w:b w:val="false"/>
                <w:i w:val="false"/>
                <w:color w:val="000000"/>
                <w:sz w:val="20"/>
              </w:rPr>
              <w:t>
   3) предотвращение нежелательных последствий применения зарегистрированных лекарственных препаратов;</w:t>
            </w:r>
          </w:p>
          <w:p>
            <w:pPr>
              <w:spacing w:after="20"/>
              <w:ind w:left="20"/>
              <w:jc w:val="both"/>
            </w:pPr>
            <w:r>
              <w:rPr>
                <w:rFonts w:ascii="Times New Roman"/>
                <w:b w:val="false"/>
                <w:i w:val="false"/>
                <w:color w:val="000000"/>
                <w:sz w:val="20"/>
              </w:rPr>
              <w:t>
   4) обеспечение применения лекарственных препаратов при превышении пользы над риском;</w:t>
            </w:r>
          </w:p>
          <w:p>
            <w:pPr>
              <w:spacing w:after="20"/>
              <w:ind w:left="20"/>
              <w:jc w:val="both"/>
            </w:pPr>
            <w:r>
              <w:rPr>
                <w:rFonts w:ascii="Times New Roman"/>
                <w:b w:val="false"/>
                <w:i w:val="false"/>
                <w:color w:val="000000"/>
                <w:sz w:val="20"/>
              </w:rPr>
              <w:t>
   5) содействие защите здоровья пациентов и общественного здоровья.</w:t>
            </w:r>
          </w:p>
          <w:p>
            <w:pPr>
              <w:spacing w:after="20"/>
              <w:ind w:left="20"/>
              <w:jc w:val="both"/>
            </w:pPr>
            <w:r>
              <w:rPr>
                <w:rFonts w:ascii="Times New Roman"/>
                <w:b w:val="false"/>
                <w:i w:val="false"/>
                <w:color w:val="000000"/>
                <w:sz w:val="20"/>
              </w:rPr>
              <w:t>
   </w:t>
            </w:r>
            <w:r>
              <w:rPr>
                <w:rFonts w:ascii="Times New Roman"/>
                <w:b/>
                <w:i w:val="false"/>
                <w:color w:val="000000"/>
                <w:sz w:val="20"/>
              </w:rPr>
              <w:t>2.2. Принципы надлежащей практики фармаконадзора</w:t>
            </w:r>
          </w:p>
          <w:p>
            <w:pPr>
              <w:spacing w:after="20"/>
              <w:ind w:left="20"/>
              <w:jc w:val="both"/>
            </w:pPr>
            <w:r>
              <w:rPr>
                <w:rFonts w:ascii="Times New Roman"/>
                <w:b w:val="false"/>
                <w:i w:val="false"/>
                <w:color w:val="000000"/>
                <w:sz w:val="20"/>
              </w:rPr>
              <w:t>
   2.2.1. Для выполнения общих целей качества, изложенных в пункте 2.1.3., при разработке систем и процессов, а также выполнения всех задач и обязанностей используются принципы:</w:t>
            </w:r>
          </w:p>
          <w:p>
            <w:pPr>
              <w:spacing w:after="20"/>
              <w:ind w:left="20"/>
              <w:jc w:val="both"/>
            </w:pPr>
            <w:r>
              <w:rPr>
                <w:rFonts w:ascii="Times New Roman"/>
                <w:b w:val="false"/>
                <w:i w:val="false"/>
                <w:color w:val="000000"/>
                <w:sz w:val="20"/>
              </w:rPr>
              <w:t>
   1) обеспечения удовлетворения требований пациентов, медицинских работников и общества в целом в отношении безопасности лекарственных препаратов;</w:t>
            </w:r>
          </w:p>
          <w:p>
            <w:pPr>
              <w:spacing w:after="20"/>
              <w:ind w:left="20"/>
              <w:jc w:val="both"/>
            </w:pPr>
            <w:r>
              <w:rPr>
                <w:rFonts w:ascii="Times New Roman"/>
                <w:b w:val="false"/>
                <w:i w:val="false"/>
                <w:color w:val="000000"/>
                <w:sz w:val="20"/>
              </w:rPr>
              <w:t>
   2) обеспечения эффективного руководства по внедрению системы качества и мотивации персонала;</w:t>
            </w:r>
          </w:p>
          <w:p>
            <w:pPr>
              <w:spacing w:after="20"/>
              <w:ind w:left="20"/>
              <w:jc w:val="both"/>
            </w:pPr>
            <w:r>
              <w:rPr>
                <w:rFonts w:ascii="Times New Roman"/>
                <w:b w:val="false"/>
                <w:i w:val="false"/>
                <w:color w:val="000000"/>
                <w:sz w:val="20"/>
              </w:rPr>
              <w:t>
   3) вовлечения всех сотрудников организации (предприятия) в процесс поддержки системы фармаконадзора на уровне возложенных на них обязанностей;</w:t>
            </w:r>
          </w:p>
          <w:p>
            <w:pPr>
              <w:spacing w:after="20"/>
              <w:ind w:left="20"/>
              <w:jc w:val="both"/>
            </w:pPr>
            <w:r>
              <w:rPr>
                <w:rFonts w:ascii="Times New Roman"/>
                <w:b w:val="false"/>
                <w:i w:val="false"/>
                <w:color w:val="000000"/>
                <w:sz w:val="20"/>
              </w:rPr>
              <w:t>
   4) вовлечения всех сотрудников организации (предприятия) в постоянный процесс повышения качества системы фармаконадзора;</w:t>
            </w:r>
          </w:p>
          <w:p>
            <w:pPr>
              <w:spacing w:after="20"/>
              <w:ind w:left="20"/>
              <w:jc w:val="both"/>
            </w:pPr>
            <w:r>
              <w:rPr>
                <w:rFonts w:ascii="Times New Roman"/>
                <w:b w:val="false"/>
                <w:i w:val="false"/>
                <w:color w:val="000000"/>
                <w:sz w:val="20"/>
              </w:rPr>
              <w:t>
   5) организации ресурсной базы и поставленных перед системой фармаконадзора задач в форму структур и процессов для обеспечения активной, соответствующей уровню риска, непрерывной работы по фармаконадзору;</w:t>
            </w:r>
          </w:p>
          <w:p>
            <w:pPr>
              <w:spacing w:after="20"/>
              <w:ind w:left="20"/>
              <w:jc w:val="both"/>
            </w:pPr>
            <w:r>
              <w:rPr>
                <w:rFonts w:ascii="Times New Roman"/>
                <w:b w:val="false"/>
                <w:i w:val="false"/>
                <w:color w:val="000000"/>
                <w:sz w:val="20"/>
              </w:rPr>
              <w:t>
   6) учета, рассмотрения и оценки всех имеющихся доказательных данных по соотношению польза-риск и всех данных, оказывающих влияние на данное соотношение и применение лекарственного препарата для принятия дальнейших решений;</w:t>
            </w:r>
          </w:p>
          <w:p>
            <w:pPr>
              <w:spacing w:after="20"/>
              <w:ind w:left="20"/>
              <w:jc w:val="both"/>
            </w:pPr>
            <w:r>
              <w:rPr>
                <w:rFonts w:ascii="Times New Roman"/>
                <w:b w:val="false"/>
                <w:i w:val="false"/>
                <w:color w:val="000000"/>
                <w:sz w:val="20"/>
              </w:rPr>
              <w:t>
   7) содействия развитию эффективного сотрудничества между разработчиками, держателем регистрационного удостоверения, уполномоченным органом, уполномоченной организацией, учреждениями здравоохранения, пациентами, медицинскими работниками, научными организациями и другими государствами в соответствии с условиями действующего законодательства.</w:t>
            </w:r>
          </w:p>
          <w:p>
            <w:pPr>
              <w:spacing w:after="20"/>
              <w:ind w:left="20"/>
              <w:jc w:val="both"/>
            </w:pPr>
            <w:r>
              <w:rPr>
                <w:rFonts w:ascii="Times New Roman"/>
                <w:b w:val="false"/>
                <w:i w:val="false"/>
                <w:color w:val="000000"/>
                <w:sz w:val="20"/>
              </w:rPr>
              <w:t>
   </w:t>
            </w:r>
            <w:r>
              <w:rPr>
                <w:rFonts w:ascii="Times New Roman"/>
                <w:b/>
                <w:i w:val="false"/>
                <w:color w:val="000000"/>
                <w:sz w:val="20"/>
              </w:rPr>
              <w:t>2.3. Ответственные за систему качества</w:t>
            </w:r>
          </w:p>
          <w:p>
            <w:pPr>
              <w:spacing w:after="20"/>
              <w:ind w:left="20"/>
              <w:jc w:val="both"/>
            </w:pPr>
            <w:r>
              <w:rPr>
                <w:rFonts w:ascii="Times New Roman"/>
                <w:b w:val="false"/>
                <w:i w:val="false"/>
                <w:color w:val="000000"/>
                <w:sz w:val="20"/>
              </w:rPr>
              <w:t xml:space="preserve">
   2.3.1. Обеспечение работы системы фармаконадзора в соответствии с требованиями к системе качества осуществляется всеми специалистами, выполняющими работу по организации системы качества. Организация (предприятие) обеспечивает достаточное количество компетентных и обученных специалистов, имеющих соответствующую профессиональную подготовку, для выполнения требуемого объема работ по фармаконадзору на надлежащем уровне. </w:t>
            </w:r>
          </w:p>
          <w:p>
            <w:pPr>
              <w:spacing w:after="20"/>
              <w:ind w:left="20"/>
              <w:jc w:val="both"/>
            </w:pPr>
            <w:r>
              <w:rPr>
                <w:rFonts w:ascii="Times New Roman"/>
                <w:b w:val="false"/>
                <w:i w:val="false"/>
                <w:color w:val="000000"/>
                <w:sz w:val="20"/>
              </w:rPr>
              <w:t>
   2.3.2. Руководство организации (предприятия) ответственен за:</w:t>
            </w:r>
          </w:p>
          <w:p>
            <w:pPr>
              <w:spacing w:after="20"/>
              <w:ind w:left="20"/>
              <w:jc w:val="both"/>
            </w:pPr>
            <w:r>
              <w:rPr>
                <w:rFonts w:ascii="Times New Roman"/>
                <w:b w:val="false"/>
                <w:i w:val="false"/>
                <w:color w:val="000000"/>
                <w:sz w:val="20"/>
              </w:rPr>
              <w:t>
   1) обеспечение документирования системы качества в соответствии с настоящим Стандартом;</w:t>
            </w:r>
          </w:p>
          <w:p>
            <w:pPr>
              <w:spacing w:after="20"/>
              <w:ind w:left="20"/>
              <w:jc w:val="both"/>
            </w:pPr>
            <w:r>
              <w:rPr>
                <w:rFonts w:ascii="Times New Roman"/>
                <w:b w:val="false"/>
                <w:i w:val="false"/>
                <w:color w:val="000000"/>
                <w:sz w:val="20"/>
              </w:rPr>
              <w:t>
   2) обеспечение надлежащего контроля и документирования всех изменений в системе фармаконадзора и системе качества фармаконадзора;</w:t>
            </w:r>
          </w:p>
          <w:p>
            <w:pPr>
              <w:spacing w:after="20"/>
              <w:ind w:left="20"/>
              <w:jc w:val="both"/>
            </w:pPr>
            <w:r>
              <w:rPr>
                <w:rFonts w:ascii="Times New Roman"/>
                <w:b w:val="false"/>
                <w:i w:val="false"/>
                <w:color w:val="000000"/>
                <w:sz w:val="20"/>
              </w:rPr>
              <w:t>
   3) обеспечение возможности обучения;</w:t>
            </w:r>
          </w:p>
          <w:p>
            <w:pPr>
              <w:spacing w:after="20"/>
              <w:ind w:left="20"/>
              <w:jc w:val="both"/>
            </w:pPr>
            <w:r>
              <w:rPr>
                <w:rFonts w:ascii="Times New Roman"/>
                <w:b w:val="false"/>
                <w:i w:val="false"/>
                <w:color w:val="000000"/>
                <w:sz w:val="20"/>
              </w:rPr>
              <w:t>
   4) обеспечение требуемыми ресурсами (необходимыми помещениями, оборудованием);</w:t>
            </w:r>
          </w:p>
          <w:p>
            <w:pPr>
              <w:spacing w:after="20"/>
              <w:ind w:left="20"/>
              <w:jc w:val="both"/>
            </w:pPr>
            <w:r>
              <w:rPr>
                <w:rFonts w:ascii="Times New Roman"/>
                <w:b w:val="false"/>
                <w:i w:val="false"/>
                <w:color w:val="000000"/>
                <w:sz w:val="20"/>
              </w:rPr>
              <w:t>
   4) выполнение регулярной оценки работы системы фармаконадзора, включая интегрированную систему качества, с подтверждением ее эффективности. По мере необходимости реализуются требуемые корректирующие и предупреждающие мероприятия;</w:t>
            </w:r>
          </w:p>
          <w:p>
            <w:pPr>
              <w:spacing w:after="20"/>
              <w:ind w:left="20"/>
              <w:jc w:val="both"/>
            </w:pPr>
            <w:r>
              <w:rPr>
                <w:rFonts w:ascii="Times New Roman"/>
                <w:b w:val="false"/>
                <w:i w:val="false"/>
                <w:color w:val="000000"/>
                <w:sz w:val="20"/>
              </w:rPr>
              <w:t>
   5) обеспечение наличия эффективного механизма реализации соответствующих мер в случае выявления изменений профиля безопасности разрабатываемых (выпускаемых) лекарственных препаратов;</w:t>
            </w:r>
          </w:p>
          <w:p>
            <w:pPr>
              <w:spacing w:after="20"/>
              <w:ind w:left="20"/>
              <w:jc w:val="both"/>
            </w:pPr>
            <w:r>
              <w:rPr>
                <w:rFonts w:ascii="Times New Roman"/>
                <w:b w:val="false"/>
                <w:i w:val="false"/>
                <w:color w:val="000000"/>
                <w:sz w:val="20"/>
              </w:rPr>
              <w:t>
   6) обеспечение своевременного выявления и принятия по мере необходимости корректирующих и предупреждающих мер в случае несоблюдения требований к качеству системы фармаконадзора;</w:t>
            </w:r>
          </w:p>
          <w:p>
            <w:pPr>
              <w:spacing w:after="20"/>
              <w:ind w:left="20"/>
              <w:jc w:val="both"/>
            </w:pPr>
            <w:r>
              <w:rPr>
                <w:rFonts w:ascii="Times New Roman"/>
                <w:b w:val="false"/>
                <w:i w:val="false"/>
                <w:color w:val="000000"/>
                <w:sz w:val="20"/>
              </w:rPr>
              <w:t>
   7) обеспечение проведения регулярных аудитов системы.</w:t>
            </w:r>
          </w:p>
          <w:p>
            <w:pPr>
              <w:spacing w:after="20"/>
              <w:ind w:left="20"/>
              <w:jc w:val="both"/>
            </w:pPr>
            <w:r>
              <w:rPr>
                <w:rFonts w:ascii="Times New Roman"/>
                <w:b w:val="false"/>
                <w:i w:val="false"/>
                <w:color w:val="000000"/>
                <w:sz w:val="20"/>
              </w:rPr>
              <w:t>
   </w:t>
            </w:r>
            <w:r>
              <w:rPr>
                <w:rFonts w:ascii="Times New Roman"/>
                <w:b/>
                <w:i w:val="false"/>
                <w:color w:val="000000"/>
                <w:sz w:val="20"/>
              </w:rPr>
              <w:t>2.4. Обучение персонала</w:t>
            </w:r>
          </w:p>
          <w:p>
            <w:pPr>
              <w:spacing w:after="20"/>
              <w:ind w:left="20"/>
              <w:jc w:val="both"/>
            </w:pPr>
            <w:r>
              <w:rPr>
                <w:rFonts w:ascii="Times New Roman"/>
                <w:b w:val="false"/>
                <w:i w:val="false"/>
                <w:color w:val="000000"/>
                <w:sz w:val="20"/>
              </w:rPr>
              <w:t>
   2.4.1. Возможность обеспечения требуемого качества выполнения процессов по фармаконадзору и получаемых результатов непосредственно связана с наличием достаточного количества компетентного, квалифицированного и обученного персонала.</w:t>
            </w:r>
          </w:p>
          <w:p>
            <w:pPr>
              <w:spacing w:after="20"/>
              <w:ind w:left="20"/>
              <w:jc w:val="both"/>
            </w:pPr>
            <w:r>
              <w:rPr>
                <w:rFonts w:ascii="Times New Roman"/>
                <w:b w:val="false"/>
                <w:i w:val="false"/>
                <w:color w:val="000000"/>
                <w:sz w:val="20"/>
              </w:rPr>
              <w:t>
   2.4.2. Организация (предприятие) разрабатывает и выполняет план обучения специалистов по фармаконадзору. Обучение включает вводное обучение и последующее обучение на протяжении всего периода работы в соответствии с выполняемыми функциями и поставленными задачами. Обучение предусматривает повышение соответствующих профессиональных навыков, внедрение научных достижений в практику и выполняемые процедуры, обеспечение соответствия всех специалистов требованиям к квалификации, профессиональным навыкам, знаниям и пониманию выполняемых процедур по фармаконадзору. Все специалисты обучаются выполнению процедур, предусмотренных при выявлении изменений профиля безопасности лекарственных препаратов.</w:t>
            </w:r>
          </w:p>
          <w:p>
            <w:pPr>
              <w:spacing w:after="20"/>
              <w:ind w:left="20"/>
              <w:jc w:val="both"/>
            </w:pPr>
            <w:r>
              <w:rPr>
                <w:rFonts w:ascii="Times New Roman"/>
                <w:b w:val="false"/>
                <w:i w:val="false"/>
                <w:color w:val="000000"/>
                <w:sz w:val="20"/>
              </w:rPr>
              <w:t>
   2.4.3. Действующие в организации (предприятии) процессы по проведению обучения предусматривают обеспечение контроля результатов обучения по достижению требуемого понимания и выполнения функций по фармаконадзору.</w:t>
            </w:r>
          </w:p>
          <w:p>
            <w:pPr>
              <w:spacing w:after="20"/>
              <w:ind w:left="20"/>
              <w:jc w:val="both"/>
            </w:pPr>
            <w:r>
              <w:rPr>
                <w:rFonts w:ascii="Times New Roman"/>
                <w:b w:val="false"/>
                <w:i w:val="false"/>
                <w:color w:val="000000"/>
                <w:sz w:val="20"/>
              </w:rPr>
              <w:t>
   2.4.4. В организации (предприятии) обеспечивается проведение соответствующего обучения определенным аспектам фармаконадзора специалистов других подразделений, деятельность которых оказывает влияние на показатели системы фармаконадзора и выполнение функций по фармаконадзору. Указанная деятельность включает, но не ограничивается следующими видами: проведение клинических исследований (испытаний), работа с жалобами, подготовка медицинской информации, продажа и маркетинг, подготовка регистрационных документов, правовые вопросы и аудит.</w:t>
            </w:r>
          </w:p>
          <w:p>
            <w:pPr>
              <w:spacing w:after="20"/>
              <w:ind w:left="20"/>
              <w:jc w:val="both"/>
            </w:pPr>
            <w:r>
              <w:rPr>
                <w:rFonts w:ascii="Times New Roman"/>
                <w:b w:val="false"/>
                <w:i w:val="false"/>
                <w:color w:val="000000"/>
                <w:sz w:val="20"/>
              </w:rPr>
              <w:t>
   </w:t>
            </w:r>
            <w:r>
              <w:rPr>
                <w:rFonts w:ascii="Times New Roman"/>
                <w:b/>
                <w:i w:val="false"/>
                <w:color w:val="000000"/>
                <w:sz w:val="20"/>
              </w:rPr>
              <w:t>2.5. Средства и оборудование для фармаконадзора</w:t>
            </w:r>
          </w:p>
          <w:p>
            <w:pPr>
              <w:spacing w:after="20"/>
              <w:ind w:left="20"/>
              <w:jc w:val="both"/>
            </w:pPr>
            <w:r>
              <w:rPr>
                <w:rFonts w:ascii="Times New Roman"/>
                <w:b w:val="false"/>
                <w:i w:val="false"/>
                <w:color w:val="000000"/>
                <w:sz w:val="20"/>
              </w:rPr>
              <w:t xml:space="preserve">
   2.5.1. Достижение требуемого уровня качества в осуществлении процессов фармаконадзора и получаемых результатах связано и с обеспечением системы необходимыми средствами и оборудованием, используемыми в этих процессах. </w:t>
            </w:r>
          </w:p>
          <w:p>
            <w:pPr>
              <w:spacing w:after="20"/>
              <w:ind w:left="20"/>
              <w:jc w:val="both"/>
            </w:pPr>
            <w:r>
              <w:rPr>
                <w:rFonts w:ascii="Times New Roman"/>
                <w:b w:val="false"/>
                <w:i w:val="false"/>
                <w:color w:val="000000"/>
                <w:sz w:val="20"/>
              </w:rPr>
              <w:t>
   2.5.2. Средства и оборудование располагаются, конструируются, адаптируются и обслуживаются в соответствии с поставленными целями в фармаконадзоре. Средства, оборудование и их функциональные свойства, важные для осуществления фармаконадзора, подлежат проверке, квалификации и (или) валидации для подтверждения соответствия предназначенной цели. Для определения масштаба проверки, квалификации или валидации следует использовать документированную оценку риска. Этот метод управления рисками применяют в течение всего срока эксплуатации средств и оборудования, с учетом таких факторов, как влияние на безопасность пациента и качество данных, а также сложность соответствующих средств и оборудования.</w:t>
            </w:r>
          </w:p>
          <w:p>
            <w:pPr>
              <w:spacing w:after="20"/>
              <w:ind w:left="20"/>
              <w:jc w:val="both"/>
            </w:pPr>
            <w:r>
              <w:rPr>
                <w:rFonts w:ascii="Times New Roman"/>
                <w:b w:val="false"/>
                <w:i w:val="false"/>
                <w:color w:val="000000"/>
                <w:sz w:val="20"/>
              </w:rPr>
              <w:t>
   </w:t>
            </w:r>
            <w:r>
              <w:rPr>
                <w:rFonts w:ascii="Times New Roman"/>
                <w:b/>
                <w:i w:val="false"/>
                <w:color w:val="000000"/>
                <w:sz w:val="20"/>
              </w:rPr>
              <w:t>2.6. Обеспечение соответствия нормативным требованиям держателем регистрационного удостоверения</w:t>
            </w:r>
          </w:p>
          <w:p>
            <w:pPr>
              <w:spacing w:after="20"/>
              <w:ind w:left="20"/>
              <w:jc w:val="both"/>
            </w:pPr>
            <w:r>
              <w:rPr>
                <w:rFonts w:ascii="Times New Roman"/>
                <w:b w:val="false"/>
                <w:i w:val="false"/>
                <w:color w:val="000000"/>
                <w:sz w:val="20"/>
              </w:rPr>
              <w:t>
   2.6.1. В целях обеспечения соответствия нормативным требованиям держателем регистрационного удостоверения выполняются специальные процессы по обеспечению качества системы, целью которых является:</w:t>
            </w:r>
          </w:p>
          <w:p>
            <w:pPr>
              <w:spacing w:after="20"/>
              <w:ind w:left="20"/>
              <w:jc w:val="both"/>
            </w:pPr>
            <w:r>
              <w:rPr>
                <w:rFonts w:ascii="Times New Roman"/>
                <w:b w:val="false"/>
                <w:i w:val="false"/>
                <w:color w:val="000000"/>
                <w:sz w:val="20"/>
              </w:rPr>
              <w:t>
   1) выполнение постоянного мониторинга данных по фармаконадзору, разработка и внедрение мер минимизации риска при определении их необходимости, надлежащая оценка данных по безопасности вне зависимости от источника их получения (со стороны пациентов, медицинских и фармацевтических работников, опубликованных в медицинской литературе, выявленных в ходе пострегистрационных исследований);</w:t>
            </w:r>
          </w:p>
          <w:p>
            <w:pPr>
              <w:spacing w:after="20"/>
              <w:ind w:left="20"/>
              <w:jc w:val="both"/>
            </w:pPr>
            <w:r>
              <w:rPr>
                <w:rFonts w:ascii="Times New Roman"/>
                <w:b w:val="false"/>
                <w:i w:val="false"/>
                <w:color w:val="000000"/>
                <w:sz w:val="20"/>
              </w:rPr>
              <w:t>
   2) выполнение научной оценки всей информации по профилю безопасности лекарственного препарата, включая информацию о нежелательных реакциях, развившихся при применении не в соответствии с утвержденной инструкцией по медицинскому применению;</w:t>
            </w:r>
          </w:p>
          <w:p>
            <w:pPr>
              <w:spacing w:after="20"/>
              <w:ind w:left="20"/>
              <w:jc w:val="both"/>
            </w:pPr>
            <w:r>
              <w:rPr>
                <w:rFonts w:ascii="Times New Roman"/>
                <w:b w:val="false"/>
                <w:i w:val="false"/>
                <w:color w:val="000000"/>
                <w:sz w:val="20"/>
              </w:rPr>
              <w:t>
   3) выполнение требований законодательства Республики Казахстан по представлению в уполномоченную организацию информации о нежелательных реакциях и иной информации по безопасности. С целью надлежащего выполнения данной функции и обеспечения качества, целостности и полноты представляемой информации, надлежащей валидации сигналов, а также исключения дублирования сообщений, разрабатываются и внедряются соответствующие стандартные операционные процедуры;</w:t>
            </w:r>
          </w:p>
          <w:p>
            <w:pPr>
              <w:spacing w:after="20"/>
              <w:ind w:left="20"/>
              <w:jc w:val="both"/>
            </w:pPr>
            <w:r>
              <w:rPr>
                <w:rFonts w:ascii="Times New Roman"/>
                <w:b w:val="false"/>
                <w:i w:val="false"/>
                <w:color w:val="000000"/>
                <w:sz w:val="20"/>
              </w:rPr>
              <w:t>
   4) обеспечение эффективной взаимосвязи с уполномоченным органом, уполномоченной организацией, включая информирование об изменениях профиля безопасности лекарственных препаратов и новых рисках, мастер-файле системы фармаконадзора, системы управления рисками, мер минимизации риска, ПОБ, корректирующих и предупреждающих мерах, пострегистрационных исследованиях по безопасности;</w:t>
            </w:r>
          </w:p>
          <w:p>
            <w:pPr>
              <w:spacing w:after="20"/>
              <w:ind w:left="20"/>
              <w:jc w:val="both"/>
            </w:pPr>
            <w:r>
              <w:rPr>
                <w:rFonts w:ascii="Times New Roman"/>
                <w:b w:val="false"/>
                <w:i w:val="false"/>
                <w:color w:val="000000"/>
                <w:sz w:val="20"/>
              </w:rPr>
              <w:t>
   5) обеспечение соответствия информации по лекарственным препаратам (инструкции по медицинскому применению, листка-вкладыша) современному уровню научных знаний;</w:t>
            </w:r>
          </w:p>
          <w:p>
            <w:pPr>
              <w:spacing w:after="20"/>
              <w:ind w:left="20"/>
              <w:jc w:val="both"/>
            </w:pPr>
            <w:r>
              <w:rPr>
                <w:rFonts w:ascii="Times New Roman"/>
                <w:b w:val="false"/>
                <w:i w:val="false"/>
                <w:color w:val="000000"/>
                <w:sz w:val="20"/>
              </w:rPr>
              <w:t xml:space="preserve">
   6) обеспечение медицинских работников и пациентов соответствующей информацией по безопасности. </w:t>
            </w:r>
          </w:p>
          <w:p>
            <w:pPr>
              <w:spacing w:after="20"/>
              <w:ind w:left="20"/>
              <w:jc w:val="both"/>
            </w:pPr>
            <w:r>
              <w:rPr>
                <w:rFonts w:ascii="Times New Roman"/>
                <w:b w:val="false"/>
                <w:i w:val="false"/>
                <w:color w:val="000000"/>
                <w:sz w:val="20"/>
              </w:rPr>
              <w:t>
   </w:t>
            </w:r>
            <w:r>
              <w:rPr>
                <w:rFonts w:ascii="Times New Roman"/>
                <w:b/>
                <w:i w:val="false"/>
                <w:color w:val="000000"/>
                <w:sz w:val="20"/>
              </w:rPr>
              <w:t>2.7. Обеспечение соответствия нормативным требованиям уполномоченным органом, уполномоченной организацией</w:t>
            </w:r>
          </w:p>
          <w:p>
            <w:pPr>
              <w:spacing w:after="20"/>
              <w:ind w:left="20"/>
              <w:jc w:val="both"/>
            </w:pPr>
            <w:r>
              <w:rPr>
                <w:rFonts w:ascii="Times New Roman"/>
                <w:b w:val="false"/>
                <w:i w:val="false"/>
                <w:color w:val="000000"/>
                <w:sz w:val="20"/>
              </w:rPr>
              <w:t>
   2.7.1. Уполномоченный орган, уполномоченная организация обеспечивают соответствующую систему обеспечения качества процессов с целью осуществления:</w:t>
            </w:r>
          </w:p>
          <w:p>
            <w:pPr>
              <w:spacing w:after="20"/>
              <w:ind w:left="20"/>
              <w:jc w:val="both"/>
            </w:pPr>
            <w:r>
              <w:rPr>
                <w:rFonts w:ascii="Times New Roman"/>
                <w:b w:val="false"/>
                <w:i w:val="false"/>
                <w:color w:val="000000"/>
                <w:sz w:val="20"/>
              </w:rPr>
              <w:t>
   1) оценки качества представляемых данных по фармаконадзору;</w:t>
            </w:r>
          </w:p>
          <w:p>
            <w:pPr>
              <w:spacing w:after="20"/>
              <w:ind w:left="20"/>
              <w:jc w:val="both"/>
            </w:pPr>
            <w:r>
              <w:rPr>
                <w:rFonts w:ascii="Times New Roman"/>
                <w:b w:val="false"/>
                <w:i w:val="false"/>
                <w:color w:val="000000"/>
                <w:sz w:val="20"/>
              </w:rPr>
              <w:t>
   2) оценки и обработки данных по фармаконадзору в соответствии с действующим законодательством Республики Казахстан;</w:t>
            </w:r>
          </w:p>
          <w:p>
            <w:pPr>
              <w:spacing w:after="20"/>
              <w:ind w:left="20"/>
              <w:jc w:val="both"/>
            </w:pPr>
            <w:r>
              <w:rPr>
                <w:rFonts w:ascii="Times New Roman"/>
                <w:b w:val="false"/>
                <w:i w:val="false"/>
                <w:color w:val="000000"/>
                <w:sz w:val="20"/>
              </w:rPr>
              <w:t>
   3) гарантированной независимости в выполнении деятельности по фармаконадзору;</w:t>
            </w:r>
          </w:p>
          <w:p>
            <w:pPr>
              <w:spacing w:after="20"/>
              <w:ind w:left="20"/>
              <w:jc w:val="both"/>
            </w:pPr>
            <w:r>
              <w:rPr>
                <w:rFonts w:ascii="Times New Roman"/>
                <w:b w:val="false"/>
                <w:i w:val="false"/>
                <w:color w:val="000000"/>
                <w:sz w:val="20"/>
              </w:rPr>
              <w:t>
   4) эффективного информирования пациентов, медицинских работников, держателей регистрационных удостоверений и общества в целом;</w:t>
            </w:r>
          </w:p>
          <w:p>
            <w:pPr>
              <w:spacing w:after="20"/>
              <w:ind w:left="20"/>
              <w:jc w:val="both"/>
            </w:pPr>
            <w:r>
              <w:rPr>
                <w:rFonts w:ascii="Times New Roman"/>
                <w:b w:val="false"/>
                <w:i w:val="false"/>
                <w:color w:val="000000"/>
                <w:sz w:val="20"/>
              </w:rPr>
              <w:t>
   5) проведения инспекций, включая дорегистрационное инспектирование.</w:t>
            </w:r>
          </w:p>
          <w:p>
            <w:pPr>
              <w:spacing w:after="20"/>
              <w:ind w:left="20"/>
              <w:jc w:val="both"/>
            </w:pPr>
            <w:r>
              <w:rPr>
                <w:rFonts w:ascii="Times New Roman"/>
                <w:b w:val="false"/>
                <w:i w:val="false"/>
                <w:color w:val="000000"/>
                <w:sz w:val="20"/>
              </w:rPr>
              <w:t>
   2.7.2. Независимость в выполнении деятельности по фармаконадзору определяется принятием всех уполномоченных решений только в интересах здоровья пациента и общественного здоровья.</w:t>
            </w:r>
          </w:p>
          <w:p>
            <w:pPr>
              <w:spacing w:after="20"/>
              <w:ind w:left="20"/>
              <w:jc w:val="both"/>
            </w:pPr>
            <w:r>
              <w:rPr>
                <w:rFonts w:ascii="Times New Roman"/>
                <w:b w:val="false"/>
                <w:i w:val="false"/>
                <w:color w:val="000000"/>
                <w:sz w:val="20"/>
              </w:rPr>
              <w:t>
   </w:t>
            </w:r>
            <w:r>
              <w:rPr>
                <w:rFonts w:ascii="Times New Roman"/>
                <w:b/>
                <w:i w:val="false"/>
                <w:color w:val="000000"/>
                <w:sz w:val="20"/>
              </w:rPr>
              <w:t>2.8. Управление документацией</w:t>
            </w:r>
          </w:p>
          <w:p>
            <w:pPr>
              <w:spacing w:after="20"/>
              <w:ind w:left="20"/>
              <w:jc w:val="both"/>
            </w:pPr>
            <w:r>
              <w:rPr>
                <w:rFonts w:ascii="Times New Roman"/>
                <w:b w:val="false"/>
                <w:i w:val="false"/>
                <w:color w:val="000000"/>
                <w:sz w:val="20"/>
              </w:rPr>
              <w:t xml:space="preserve">
   2.8.1. Система управления документацией является частью системы качества, распространяется на все документы системы фармаконадзора и обеспечивает возможность поиска данных и прослеживаемость выполняемых процедур, включая процедуры по оценке новых данных по безопасности в отношении времени выполнения оценки и принятых решений. </w:t>
            </w:r>
          </w:p>
          <w:p>
            <w:pPr>
              <w:spacing w:after="20"/>
              <w:ind w:left="20"/>
              <w:jc w:val="both"/>
            </w:pPr>
            <w:r>
              <w:rPr>
                <w:rFonts w:ascii="Times New Roman"/>
                <w:b w:val="false"/>
                <w:i w:val="false"/>
                <w:color w:val="000000"/>
                <w:sz w:val="20"/>
              </w:rPr>
              <w:t>
   2.8.2. Система управления документацией обеспечивает:</w:t>
            </w:r>
          </w:p>
          <w:p>
            <w:pPr>
              <w:spacing w:after="20"/>
              <w:ind w:left="20"/>
              <w:jc w:val="both"/>
            </w:pPr>
            <w:r>
              <w:rPr>
                <w:rFonts w:ascii="Times New Roman"/>
                <w:b w:val="false"/>
                <w:i w:val="false"/>
                <w:color w:val="000000"/>
                <w:sz w:val="20"/>
              </w:rPr>
              <w:t>
   1) качество данных по фармаконадзору, включая полноту, точность и целостность;</w:t>
            </w:r>
          </w:p>
          <w:p>
            <w:pPr>
              <w:spacing w:after="20"/>
              <w:ind w:left="20"/>
              <w:jc w:val="both"/>
            </w:pPr>
            <w:r>
              <w:rPr>
                <w:rFonts w:ascii="Times New Roman"/>
                <w:b w:val="false"/>
                <w:i w:val="false"/>
                <w:color w:val="000000"/>
                <w:sz w:val="20"/>
              </w:rPr>
              <w:t>
   2) эффективную внутреннюю и внешнюю передачу данных;</w:t>
            </w:r>
          </w:p>
          <w:p>
            <w:pPr>
              <w:spacing w:after="20"/>
              <w:ind w:left="20"/>
              <w:jc w:val="both"/>
            </w:pPr>
            <w:r>
              <w:rPr>
                <w:rFonts w:ascii="Times New Roman"/>
                <w:b w:val="false"/>
                <w:i w:val="false"/>
                <w:color w:val="000000"/>
                <w:sz w:val="20"/>
              </w:rPr>
              <w:t>
   3) сохранение документов, имеющих отношение к системам фармаконадзора и осуществления фармаконадзора по каждому из лекарственных препаратов, согласно применимым срокам хранения.</w:t>
            </w:r>
          </w:p>
          <w:p>
            <w:pPr>
              <w:spacing w:after="20"/>
              <w:ind w:left="20"/>
              <w:jc w:val="both"/>
            </w:pPr>
            <w:r>
              <w:rPr>
                <w:rFonts w:ascii="Times New Roman"/>
                <w:b w:val="false"/>
                <w:i w:val="false"/>
                <w:color w:val="000000"/>
                <w:sz w:val="20"/>
              </w:rPr>
              <w:t>
   2.8.3. Держатель регистрационного удостоверения обеспечивает надлежащее документирование, обращение и хранение всей информации по фармаконадзору с целью выполнения процедур репортирования, интерпретации и верификации данных. Держателем регистрационного удостоверения обеспечивается функционирование системы прослеживаемости и последующей оценки сообщений о нежелательных реакциях.</w:t>
            </w:r>
          </w:p>
          <w:p>
            <w:pPr>
              <w:spacing w:after="20"/>
              <w:ind w:left="20"/>
              <w:jc w:val="both"/>
            </w:pPr>
            <w:r>
              <w:rPr>
                <w:rFonts w:ascii="Times New Roman"/>
                <w:b w:val="false"/>
                <w:i w:val="false"/>
                <w:color w:val="000000"/>
                <w:sz w:val="20"/>
              </w:rPr>
              <w:t xml:space="preserve">
   2.8.4. Система управления документацией включает комплекс мер по обеспечению безопасности и конфиденциальности данных в целях выполнения требований по защите персональных данных пациентов в соответствии с действующими требованиями законодательства. Указанные меры включают строгое ограничение доступа к документации и базам данных только уполномоченных лиц. </w:t>
            </w:r>
          </w:p>
          <w:p>
            <w:pPr>
              <w:spacing w:after="20"/>
              <w:ind w:left="20"/>
              <w:jc w:val="both"/>
            </w:pPr>
            <w:r>
              <w:rPr>
                <w:rFonts w:ascii="Times New Roman"/>
                <w:b w:val="false"/>
                <w:i w:val="false"/>
                <w:color w:val="000000"/>
                <w:sz w:val="20"/>
              </w:rPr>
              <w:t>
   2.8.5. Система управления документацией включают процессы обеспечения защиты информации по фармаконадзору от потери и разрушения.</w:t>
            </w:r>
          </w:p>
          <w:p>
            <w:pPr>
              <w:spacing w:after="20"/>
              <w:ind w:left="20"/>
              <w:jc w:val="both"/>
            </w:pPr>
            <w:r>
              <w:rPr>
                <w:rFonts w:ascii="Times New Roman"/>
                <w:b w:val="false"/>
                <w:i w:val="false"/>
                <w:color w:val="000000"/>
                <w:sz w:val="20"/>
              </w:rPr>
              <w:t>
   </w:t>
            </w:r>
            <w:r>
              <w:rPr>
                <w:rFonts w:ascii="Times New Roman"/>
                <w:b/>
                <w:i w:val="false"/>
                <w:color w:val="000000"/>
                <w:sz w:val="20"/>
              </w:rPr>
              <w:t>2.9. Документация системы качества</w:t>
            </w:r>
          </w:p>
          <w:p>
            <w:pPr>
              <w:spacing w:after="20"/>
              <w:ind w:left="20"/>
              <w:jc w:val="both"/>
            </w:pPr>
            <w:r>
              <w:rPr>
                <w:rFonts w:ascii="Times New Roman"/>
                <w:b w:val="false"/>
                <w:i w:val="false"/>
                <w:color w:val="000000"/>
                <w:sz w:val="20"/>
              </w:rPr>
              <w:t>
   2.9.1. Все элементы, требования и положения системы качества документируются и систематизируются соответствующим образом в форме письменных руководств и процедур (план по качеству, руководство по качеству и отчеты по качеству).</w:t>
            </w:r>
          </w:p>
          <w:p>
            <w:pPr>
              <w:spacing w:after="20"/>
              <w:ind w:left="20"/>
              <w:jc w:val="both"/>
            </w:pPr>
            <w:r>
              <w:rPr>
                <w:rFonts w:ascii="Times New Roman"/>
                <w:b w:val="false"/>
                <w:i w:val="false"/>
                <w:color w:val="000000"/>
                <w:sz w:val="20"/>
              </w:rPr>
              <w:t>
   2.9.2. План по качеству определяет основные цели системы качества и процессы, которые направлены для достижения поставленных целей. Процедуры по качеству представляют собой описание установленного порядка выполнения процессов и имеют форму стандартных операционных процедур и других форм рабочих инструкций или руководств. Руководство по качеству определяет область распространения системы качества, процессы системы качества и их взаимосвязь. Отчеты по качеству включают полученные результаты работы системы либо подтверждения выполняемой деятельности.</w:t>
            </w:r>
          </w:p>
          <w:p>
            <w:pPr>
              <w:spacing w:after="20"/>
              <w:ind w:left="20"/>
              <w:jc w:val="both"/>
            </w:pPr>
            <w:r>
              <w:rPr>
                <w:rFonts w:ascii="Times New Roman"/>
                <w:b w:val="false"/>
                <w:i w:val="false"/>
                <w:color w:val="000000"/>
                <w:sz w:val="20"/>
              </w:rPr>
              <w:t>
   2.9.3. Система качества отражается в следующих документах:</w:t>
            </w:r>
          </w:p>
          <w:p>
            <w:pPr>
              <w:spacing w:after="20"/>
              <w:ind w:left="20"/>
              <w:jc w:val="both"/>
            </w:pPr>
            <w:r>
              <w:rPr>
                <w:rFonts w:ascii="Times New Roman"/>
                <w:b w:val="false"/>
                <w:i w:val="false"/>
                <w:color w:val="000000"/>
                <w:sz w:val="20"/>
              </w:rPr>
              <w:t>
   1) документация по организационной структуре и обязанностям персонала;</w:t>
            </w:r>
          </w:p>
          <w:p>
            <w:pPr>
              <w:spacing w:after="20"/>
              <w:ind w:left="20"/>
              <w:jc w:val="both"/>
            </w:pPr>
            <w:r>
              <w:rPr>
                <w:rFonts w:ascii="Times New Roman"/>
                <w:b w:val="false"/>
                <w:i w:val="false"/>
                <w:color w:val="000000"/>
                <w:sz w:val="20"/>
              </w:rPr>
              <w:t>
   2) план обучения и отчеты по проведенному обучению;</w:t>
            </w:r>
          </w:p>
          <w:p>
            <w:pPr>
              <w:spacing w:after="20"/>
              <w:ind w:left="20"/>
              <w:jc w:val="both"/>
            </w:pPr>
            <w:r>
              <w:rPr>
                <w:rFonts w:ascii="Times New Roman"/>
                <w:b w:val="false"/>
                <w:i w:val="false"/>
                <w:color w:val="000000"/>
                <w:sz w:val="20"/>
              </w:rPr>
              <w:t>
   3) инструкции по соответствию процессов управления;</w:t>
            </w:r>
          </w:p>
          <w:p>
            <w:pPr>
              <w:spacing w:after="20"/>
              <w:ind w:left="20"/>
              <w:jc w:val="both"/>
            </w:pPr>
            <w:r>
              <w:rPr>
                <w:rFonts w:ascii="Times New Roman"/>
                <w:b w:val="false"/>
                <w:i w:val="false"/>
                <w:color w:val="000000"/>
                <w:sz w:val="20"/>
              </w:rPr>
              <w:t>
   4) инструкции по критическим процессам фармаконадзора, включая обеспечение непрерывности процесса;</w:t>
            </w:r>
          </w:p>
          <w:p>
            <w:pPr>
              <w:spacing w:after="20"/>
              <w:ind w:left="20"/>
              <w:jc w:val="both"/>
            </w:pPr>
            <w:r>
              <w:rPr>
                <w:rFonts w:ascii="Times New Roman"/>
                <w:b w:val="false"/>
                <w:i w:val="false"/>
                <w:color w:val="000000"/>
                <w:sz w:val="20"/>
              </w:rPr>
              <w:t>
   5) индикаторы выполнения процессов, которые используются для постоянного мониторирования надлежащего выполнения функций по фармаконадзору;</w:t>
            </w:r>
          </w:p>
          <w:p>
            <w:pPr>
              <w:spacing w:after="20"/>
              <w:ind w:left="20"/>
              <w:jc w:val="both"/>
            </w:pPr>
            <w:r>
              <w:rPr>
                <w:rFonts w:ascii="Times New Roman"/>
                <w:b w:val="false"/>
                <w:i w:val="false"/>
                <w:color w:val="000000"/>
                <w:sz w:val="20"/>
              </w:rPr>
              <w:t>
   6) отчеты по аудиту и последующему аудиту системы качества, включая полученные данные и результаты.</w:t>
            </w:r>
          </w:p>
          <w:p>
            <w:pPr>
              <w:spacing w:after="20"/>
              <w:ind w:left="20"/>
              <w:jc w:val="both"/>
            </w:pPr>
            <w:r>
              <w:rPr>
                <w:rFonts w:ascii="Times New Roman"/>
                <w:b w:val="false"/>
                <w:i w:val="false"/>
                <w:color w:val="000000"/>
                <w:sz w:val="20"/>
              </w:rPr>
              <w:t>
   Документация по системе качества также включает:</w:t>
            </w:r>
          </w:p>
          <w:p>
            <w:pPr>
              <w:spacing w:after="20"/>
              <w:ind w:left="20"/>
              <w:jc w:val="both"/>
            </w:pPr>
            <w:r>
              <w:rPr>
                <w:rFonts w:ascii="Times New Roman"/>
                <w:b w:val="false"/>
                <w:i w:val="false"/>
                <w:color w:val="000000"/>
                <w:sz w:val="20"/>
              </w:rPr>
              <w:t>
   1) методы мониторирования эффективности функционирования системы качества и, в частности, ее способность выполнения задач системы качества;</w:t>
            </w:r>
          </w:p>
          <w:p>
            <w:pPr>
              <w:spacing w:after="20"/>
              <w:ind w:left="20"/>
              <w:jc w:val="both"/>
            </w:pPr>
            <w:r>
              <w:rPr>
                <w:rFonts w:ascii="Times New Roman"/>
                <w:b w:val="false"/>
                <w:i w:val="false"/>
                <w:color w:val="000000"/>
                <w:sz w:val="20"/>
              </w:rPr>
              <w:t>
   2) отчеты по результатам выполненных процедур по фармаконадзору, подтверждающие выполнение всех предусмотренных этапов и действий;</w:t>
            </w:r>
          </w:p>
          <w:p>
            <w:pPr>
              <w:spacing w:after="20"/>
              <w:ind w:left="20"/>
              <w:jc w:val="both"/>
            </w:pPr>
            <w:r>
              <w:rPr>
                <w:rFonts w:ascii="Times New Roman"/>
                <w:b w:val="false"/>
                <w:i w:val="false"/>
                <w:color w:val="000000"/>
                <w:sz w:val="20"/>
              </w:rPr>
              <w:t>
   3) документы и отчеты по средствам и оборудованию, включая проверку функциональных свойств, деятельность по квалификации и валидации, которые подтверждают выполнение всех стадий соответствующих требований, протоколов и процедур;</w:t>
            </w:r>
          </w:p>
          <w:p>
            <w:pPr>
              <w:spacing w:after="20"/>
              <w:ind w:left="20"/>
              <w:jc w:val="both"/>
            </w:pPr>
            <w:r>
              <w:rPr>
                <w:rFonts w:ascii="Times New Roman"/>
                <w:b w:val="false"/>
                <w:i w:val="false"/>
                <w:color w:val="000000"/>
                <w:sz w:val="20"/>
              </w:rPr>
              <w:t>
   4) отчеты, подтверждающие контроль отклонений от установленной системы качества, принятие корректирующих и предупреждающих мероприятий, оценку эффективности принятых мер.</w:t>
            </w:r>
          </w:p>
          <w:p>
            <w:pPr>
              <w:spacing w:after="20"/>
              <w:ind w:left="20"/>
              <w:jc w:val="both"/>
            </w:pPr>
            <w:r>
              <w:rPr>
                <w:rFonts w:ascii="Times New Roman"/>
                <w:b w:val="false"/>
                <w:i w:val="false"/>
                <w:color w:val="000000"/>
                <w:sz w:val="20"/>
              </w:rPr>
              <w:t>
   </w:t>
            </w:r>
            <w:r>
              <w:rPr>
                <w:rFonts w:ascii="Times New Roman"/>
                <w:b/>
                <w:i w:val="false"/>
                <w:color w:val="000000"/>
                <w:sz w:val="20"/>
              </w:rPr>
              <w:t>2.10. Дополнительная документация по системе качества держателя регистрационного удостоверения</w:t>
            </w:r>
          </w:p>
          <w:p>
            <w:pPr>
              <w:spacing w:after="20"/>
              <w:ind w:left="20"/>
              <w:jc w:val="both"/>
            </w:pPr>
            <w:r>
              <w:rPr>
                <w:rFonts w:ascii="Times New Roman"/>
                <w:b w:val="false"/>
                <w:i w:val="false"/>
                <w:color w:val="000000"/>
                <w:sz w:val="20"/>
              </w:rPr>
              <w:t>
   В дополнение к требуемой документации по системе качества держатель регистрационного удостоверения документирует организационную структуру, определяющую иерархическую взаимосвязь управляющего и контролирующего персонала, а также обязанности и функции персонала, систему управления ресурсами.</w:t>
            </w:r>
          </w:p>
          <w:p>
            <w:pPr>
              <w:spacing w:after="20"/>
              <w:ind w:left="20"/>
              <w:jc w:val="both"/>
            </w:pPr>
            <w:r>
              <w:rPr>
                <w:rFonts w:ascii="Times New Roman"/>
                <w:b w:val="false"/>
                <w:i w:val="false"/>
                <w:color w:val="000000"/>
                <w:sz w:val="20"/>
              </w:rPr>
              <w:t>
   </w:t>
            </w:r>
            <w:r>
              <w:rPr>
                <w:rFonts w:ascii="Times New Roman"/>
                <w:b/>
                <w:i w:val="false"/>
                <w:color w:val="000000"/>
                <w:sz w:val="20"/>
              </w:rPr>
              <w:t>2.11.</w:t>
            </w:r>
            <w:r>
              <w:rPr>
                <w:rFonts w:ascii="Times New Roman"/>
                <w:b w:val="false"/>
                <w:i w:val="false"/>
                <w:color w:val="000000"/>
                <w:sz w:val="20"/>
              </w:rPr>
              <w:t> </w:t>
            </w:r>
            <w:r>
              <w:rPr>
                <w:rFonts w:ascii="Times New Roman"/>
                <w:b/>
                <w:i w:val="false"/>
                <w:color w:val="000000"/>
                <w:sz w:val="20"/>
              </w:rPr>
              <w:t>Дополнительная документация по системе качества уполномоченного органа</w:t>
            </w:r>
          </w:p>
          <w:p>
            <w:pPr>
              <w:spacing w:after="20"/>
              <w:ind w:left="20"/>
              <w:jc w:val="both"/>
            </w:pPr>
            <w:r>
              <w:rPr>
                <w:rFonts w:ascii="Times New Roman"/>
                <w:b w:val="false"/>
                <w:i w:val="false"/>
                <w:color w:val="000000"/>
                <w:sz w:val="20"/>
              </w:rPr>
              <w:t>
   В дополнение к требуемой документации по системе качества, уполномоченный орган документирует организационную структуру, распределение задач и ответственности всего персонала, а также определяет контактные лица для обеспечения взаимодействия между уполномоченным органом, держателем регистрационного удостоверения и лицами, представляющими информацию по рискам, связанным с лекарственными препаратами.</w:t>
            </w:r>
          </w:p>
          <w:p>
            <w:pPr>
              <w:spacing w:after="20"/>
              <w:ind w:left="20"/>
              <w:jc w:val="both"/>
            </w:pPr>
            <w:r>
              <w:rPr>
                <w:rFonts w:ascii="Times New Roman"/>
                <w:b w:val="false"/>
                <w:i w:val="false"/>
                <w:color w:val="000000"/>
                <w:sz w:val="20"/>
              </w:rPr>
              <w:t>
   </w:t>
            </w:r>
            <w:r>
              <w:rPr>
                <w:rFonts w:ascii="Times New Roman"/>
                <w:b/>
                <w:i w:val="false"/>
                <w:color w:val="000000"/>
                <w:sz w:val="20"/>
              </w:rPr>
              <w:t>2.12. Критические процессы в фармаконадзоре</w:t>
            </w:r>
          </w:p>
          <w:p>
            <w:pPr>
              <w:spacing w:after="20"/>
              <w:ind w:left="20"/>
              <w:jc w:val="both"/>
            </w:pPr>
            <w:r>
              <w:rPr>
                <w:rFonts w:ascii="Times New Roman"/>
                <w:b w:val="false"/>
                <w:i w:val="false"/>
                <w:color w:val="000000"/>
                <w:sz w:val="20"/>
              </w:rPr>
              <w:t>
   2.12.1. Критические процессы в фармаконадзоре включают:</w:t>
            </w:r>
          </w:p>
          <w:p>
            <w:pPr>
              <w:spacing w:after="20"/>
              <w:ind w:left="20"/>
              <w:jc w:val="both"/>
            </w:pPr>
            <w:r>
              <w:rPr>
                <w:rFonts w:ascii="Times New Roman"/>
                <w:b w:val="false"/>
                <w:i w:val="false"/>
                <w:color w:val="000000"/>
                <w:sz w:val="20"/>
              </w:rPr>
              <w:t>
   1) непрерывный мониторинг профиля безопасности и соотношения польза-риск зарегистрированных лекарственных препаратов;</w:t>
            </w:r>
          </w:p>
          <w:p>
            <w:pPr>
              <w:spacing w:after="20"/>
              <w:ind w:left="20"/>
              <w:jc w:val="both"/>
            </w:pPr>
            <w:r>
              <w:rPr>
                <w:rFonts w:ascii="Times New Roman"/>
                <w:b w:val="false"/>
                <w:i w:val="false"/>
                <w:color w:val="000000"/>
                <w:sz w:val="20"/>
              </w:rPr>
              <w:t>
   2) внедрение, реализацию и оценку системы управления рисками с оценкой эффективности мер минимизации риска;</w:t>
            </w:r>
          </w:p>
          <w:p>
            <w:pPr>
              <w:spacing w:after="20"/>
              <w:ind w:left="20"/>
              <w:jc w:val="both"/>
            </w:pPr>
            <w:r>
              <w:rPr>
                <w:rFonts w:ascii="Times New Roman"/>
                <w:b w:val="false"/>
                <w:i w:val="false"/>
                <w:color w:val="000000"/>
                <w:sz w:val="20"/>
              </w:rPr>
              <w:t>
   3) процедуры работы с индивидуальными сообщениями о нежелательных реакциях: сбор, обработка, управление, контроль качества, получение недостающих данных, присвоение номера, классификация, выявление повторных сообщений, оценка и своевременное представление;</w:t>
            </w:r>
          </w:p>
          <w:p>
            <w:pPr>
              <w:spacing w:after="20"/>
              <w:ind w:left="20"/>
              <w:jc w:val="both"/>
            </w:pPr>
            <w:r>
              <w:rPr>
                <w:rFonts w:ascii="Times New Roman"/>
                <w:b w:val="false"/>
                <w:i w:val="false"/>
                <w:color w:val="000000"/>
                <w:sz w:val="20"/>
              </w:rPr>
              <w:t>
   4) выявление, изучение и оценка сигналов;</w:t>
            </w:r>
          </w:p>
          <w:p>
            <w:pPr>
              <w:spacing w:after="20"/>
              <w:ind w:left="20"/>
              <w:jc w:val="both"/>
            </w:pPr>
            <w:r>
              <w:rPr>
                <w:rFonts w:ascii="Times New Roman"/>
                <w:b w:val="false"/>
                <w:i w:val="false"/>
                <w:color w:val="000000"/>
                <w:sz w:val="20"/>
              </w:rPr>
              <w:t>
   5) разработка, подготовка (включая оценку данных и контроль качества), представление и оценка периодических отчетов по безопасности;</w:t>
            </w:r>
          </w:p>
          <w:p>
            <w:pPr>
              <w:spacing w:after="20"/>
              <w:ind w:left="20"/>
              <w:jc w:val="both"/>
            </w:pPr>
            <w:r>
              <w:rPr>
                <w:rFonts w:ascii="Times New Roman"/>
                <w:b w:val="false"/>
                <w:i w:val="false"/>
                <w:color w:val="000000"/>
                <w:sz w:val="20"/>
              </w:rPr>
              <w:t>
   6) выполнение обязательств при вызове уполномоченным органом и представление ответов на запросы уполномоченного органа, включая представление в уполномоченный орган правильной и полной информации;</w:t>
            </w:r>
          </w:p>
          <w:p>
            <w:pPr>
              <w:spacing w:after="20"/>
              <w:ind w:left="20"/>
              <w:jc w:val="both"/>
            </w:pPr>
            <w:r>
              <w:rPr>
                <w:rFonts w:ascii="Times New Roman"/>
                <w:b w:val="false"/>
                <w:i w:val="false"/>
                <w:color w:val="000000"/>
                <w:sz w:val="20"/>
              </w:rPr>
              <w:t>
   7) обеспечение взаимодействия между фармаконадзором и системой контроля качества лекарственных препаратов;</w:t>
            </w:r>
          </w:p>
          <w:p>
            <w:pPr>
              <w:spacing w:after="20"/>
              <w:ind w:left="20"/>
              <w:jc w:val="both"/>
            </w:pPr>
            <w:r>
              <w:rPr>
                <w:rFonts w:ascii="Times New Roman"/>
                <w:b w:val="false"/>
                <w:i w:val="false"/>
                <w:color w:val="000000"/>
                <w:sz w:val="20"/>
              </w:rPr>
              <w:t>
   8) информирование уполномоченного органа обо всех изменениях в оценке соотношения польза-риск зарегистрированных лекарственных препаратов;</w:t>
            </w:r>
          </w:p>
          <w:p>
            <w:pPr>
              <w:spacing w:after="20"/>
              <w:ind w:left="20"/>
              <w:jc w:val="both"/>
            </w:pPr>
            <w:r>
              <w:rPr>
                <w:rFonts w:ascii="Times New Roman"/>
                <w:b w:val="false"/>
                <w:i w:val="false"/>
                <w:color w:val="000000"/>
                <w:sz w:val="20"/>
              </w:rPr>
              <w:t>
   9) информирование медицинских и фармацевтических работников, пациентов обо всех изменениях в оценке соотношения польза-риск с целью обеспечения безопасного и эффективного применения лекарственных препаратов;</w:t>
            </w:r>
          </w:p>
          <w:p>
            <w:pPr>
              <w:spacing w:after="20"/>
              <w:ind w:left="20"/>
              <w:jc w:val="both"/>
            </w:pPr>
            <w:r>
              <w:rPr>
                <w:rFonts w:ascii="Times New Roman"/>
                <w:b w:val="false"/>
                <w:i w:val="false"/>
                <w:color w:val="000000"/>
                <w:sz w:val="20"/>
              </w:rPr>
              <w:t>
   10) обеспечение поддержания информации по лекарственному препарату, включая инструкцию по медицинскому применению, в соответствии с современным уровнем научных медицинских знаний, включая сделанные заключения по оценке и рекомендации уполномоченного органа;</w:t>
            </w:r>
          </w:p>
          <w:p>
            <w:pPr>
              <w:spacing w:after="20"/>
              <w:ind w:left="20"/>
              <w:jc w:val="both"/>
            </w:pPr>
            <w:r>
              <w:rPr>
                <w:rFonts w:ascii="Times New Roman"/>
                <w:b w:val="false"/>
                <w:i w:val="false"/>
                <w:color w:val="000000"/>
                <w:sz w:val="20"/>
              </w:rPr>
              <w:t>
   11) выполнение всех требуемых действий в случае изменения регистрационного статуса по причине пересмотра профиля безопасности.</w:t>
            </w:r>
          </w:p>
          <w:p>
            <w:pPr>
              <w:spacing w:after="20"/>
              <w:ind w:left="20"/>
              <w:jc w:val="both"/>
            </w:pPr>
            <w:r>
              <w:rPr>
                <w:rFonts w:ascii="Times New Roman"/>
                <w:b w:val="false"/>
                <w:i w:val="false"/>
                <w:color w:val="000000"/>
                <w:sz w:val="20"/>
              </w:rPr>
              <w:t>
   2.12.2. План обеспечения непрерывности процесса включает:</w:t>
            </w:r>
          </w:p>
          <w:p>
            <w:pPr>
              <w:spacing w:after="20"/>
              <w:ind w:left="20"/>
              <w:jc w:val="both"/>
            </w:pPr>
            <w:r>
              <w:rPr>
                <w:rFonts w:ascii="Times New Roman"/>
                <w:b w:val="false"/>
                <w:i w:val="false"/>
                <w:color w:val="000000"/>
                <w:sz w:val="20"/>
              </w:rPr>
              <w:t>
   1) определение событий, которые могут существенно повлиять на персонал организации (предприятия) в целом либо на структуры и процессы фармаконадзора в частности;</w:t>
            </w:r>
          </w:p>
          <w:p>
            <w:pPr>
              <w:spacing w:after="20"/>
              <w:ind w:left="20"/>
              <w:jc w:val="both"/>
            </w:pPr>
            <w:r>
              <w:rPr>
                <w:rFonts w:ascii="Times New Roman"/>
                <w:b w:val="false"/>
                <w:i w:val="false"/>
                <w:color w:val="000000"/>
                <w:sz w:val="20"/>
              </w:rPr>
              <w:t>
   2) резервные системы на случай необходимости экстренного обмена информацией внутри организации (предприятия), с другими организациями, распределяющими выполнение функций по фармаконадзору, с другими разработчиками (держателями) регистрационных удостоверений и уполномоченным органом.</w:t>
            </w:r>
          </w:p>
          <w:p>
            <w:pPr>
              <w:spacing w:after="20"/>
              <w:ind w:left="20"/>
              <w:jc w:val="both"/>
            </w:pPr>
            <w:r>
              <w:rPr>
                <w:rFonts w:ascii="Times New Roman"/>
                <w:b w:val="false"/>
                <w:i w:val="false"/>
                <w:color w:val="000000"/>
                <w:sz w:val="20"/>
              </w:rPr>
              <w:t>
   </w:t>
            </w:r>
            <w:r>
              <w:rPr>
                <w:rFonts w:ascii="Times New Roman"/>
                <w:b/>
                <w:i w:val="false"/>
                <w:color w:val="000000"/>
                <w:sz w:val="20"/>
              </w:rPr>
              <w:t>2.13. Контроль функционирования и эффективности системы фармаконадзора и ее системы качества</w:t>
            </w:r>
          </w:p>
          <w:p>
            <w:pPr>
              <w:spacing w:after="20"/>
              <w:ind w:left="20"/>
              <w:jc w:val="both"/>
            </w:pPr>
            <w:r>
              <w:rPr>
                <w:rFonts w:ascii="Times New Roman"/>
                <w:b w:val="false"/>
                <w:i w:val="false"/>
                <w:color w:val="000000"/>
                <w:sz w:val="20"/>
              </w:rPr>
              <w:t>
   2.13.1. Методы контроля деятельности и эффективности системы фармаконадзора включают:</w:t>
            </w:r>
          </w:p>
          <w:p>
            <w:pPr>
              <w:spacing w:after="20"/>
              <w:ind w:left="20"/>
              <w:jc w:val="both"/>
            </w:pPr>
            <w:r>
              <w:rPr>
                <w:rFonts w:ascii="Times New Roman"/>
                <w:b w:val="false"/>
                <w:i w:val="false"/>
                <w:color w:val="000000"/>
                <w:sz w:val="20"/>
              </w:rPr>
              <w:t>
   1) обзор и анализ системы лицами, ответственными за управление системой;</w:t>
            </w:r>
          </w:p>
          <w:p>
            <w:pPr>
              <w:spacing w:after="20"/>
              <w:ind w:left="20"/>
              <w:jc w:val="both"/>
            </w:pPr>
            <w:r>
              <w:rPr>
                <w:rFonts w:ascii="Times New Roman"/>
                <w:b w:val="false"/>
                <w:i w:val="false"/>
                <w:color w:val="000000"/>
                <w:sz w:val="20"/>
              </w:rPr>
              <w:t>
   2) аудиты;</w:t>
            </w:r>
          </w:p>
          <w:p>
            <w:pPr>
              <w:spacing w:after="20"/>
              <w:ind w:left="20"/>
              <w:jc w:val="both"/>
            </w:pPr>
            <w:r>
              <w:rPr>
                <w:rFonts w:ascii="Times New Roman"/>
                <w:b w:val="false"/>
                <w:i w:val="false"/>
                <w:color w:val="000000"/>
                <w:sz w:val="20"/>
              </w:rPr>
              <w:t>
   3) контроль соответствия требованиям;</w:t>
            </w:r>
          </w:p>
          <w:p>
            <w:pPr>
              <w:spacing w:after="20"/>
              <w:ind w:left="20"/>
              <w:jc w:val="both"/>
            </w:pPr>
            <w:r>
              <w:rPr>
                <w:rFonts w:ascii="Times New Roman"/>
                <w:b w:val="false"/>
                <w:i w:val="false"/>
                <w:color w:val="000000"/>
                <w:sz w:val="20"/>
              </w:rPr>
              <w:t>
   4) инспекции;</w:t>
            </w:r>
          </w:p>
          <w:p>
            <w:pPr>
              <w:spacing w:after="20"/>
              <w:ind w:left="20"/>
              <w:jc w:val="both"/>
            </w:pPr>
            <w:r>
              <w:rPr>
                <w:rFonts w:ascii="Times New Roman"/>
                <w:b w:val="false"/>
                <w:i w:val="false"/>
                <w:color w:val="000000"/>
                <w:sz w:val="20"/>
              </w:rPr>
              <w:t>
   5) оценка эффективности принятых мер по минимизации риска и обеспечения безопасного и эффективного применения лекарственных препаратов.</w:t>
            </w:r>
          </w:p>
          <w:p>
            <w:pPr>
              <w:spacing w:after="20"/>
              <w:ind w:left="20"/>
              <w:jc w:val="both"/>
            </w:pPr>
            <w:r>
              <w:rPr>
                <w:rFonts w:ascii="Times New Roman"/>
                <w:b w:val="false"/>
                <w:i w:val="false"/>
                <w:color w:val="000000"/>
                <w:sz w:val="20"/>
              </w:rPr>
              <w:t>
   2.13.2. В целях выполнения мониторинга в организации (предприятии) заранее определяются индикаторы, по которым выполняется оценка эффективности функционирования системы фармаконадзора с точки зрения требований системы качества.</w:t>
            </w:r>
          </w:p>
          <w:p>
            <w:pPr>
              <w:spacing w:after="20"/>
              <w:ind w:left="20"/>
              <w:jc w:val="both"/>
            </w:pPr>
            <w:r>
              <w:rPr>
                <w:rFonts w:ascii="Times New Roman"/>
                <w:b w:val="false"/>
                <w:i w:val="false"/>
                <w:color w:val="000000"/>
                <w:sz w:val="20"/>
              </w:rPr>
              <w:t>
   2.13.3. Аудит системы качества, основанный на оценке риска, выполняется регулярно через определенные интервалы времени с целью подтверждения соответствия установленным требованиям к качеству и определения эффективности. Аудит системы качества включает аудит системы фармакондзора, имеющей интегрированную систему качества. Аудит выполняется специалистами, не вовлеченными в выполнение функций и процедур, подлежащих аудиту. По результатам каждого аудита системы качества и последующего аудита составляется отчет, подлежащий оценке лицами, ответственными за организацию соответствующих аудируемых процессов. В случае необходимости по результатам аудита предпринимаются корректирующие и предупреждающие мероприятия.</w:t>
            </w:r>
          </w:p>
          <w:p>
            <w:pPr>
              <w:spacing w:after="20"/>
              <w:ind w:left="20"/>
              <w:jc w:val="both"/>
            </w:pPr>
            <w:r>
              <w:rPr>
                <w:rFonts w:ascii="Times New Roman"/>
                <w:b w:val="false"/>
                <w:i w:val="false"/>
                <w:color w:val="000000"/>
                <w:sz w:val="20"/>
              </w:rPr>
              <w:t>
   2.13.4. Уполномоченный орган обеспечивает мониторинг выполнения держателем регистрационного удостоверения определяемых действующим законодательством функций и обязанностей по фармаконадзору. В число мер по обеспечению мониторинга входит выполнение инспектирования держателя регистрационного удостоверения со стороны уполномоченного органа.</w:t>
            </w:r>
          </w:p>
          <w:p>
            <w:pPr>
              <w:spacing w:after="20"/>
              <w:ind w:left="20"/>
              <w:jc w:val="both"/>
            </w:pPr>
            <w:r>
              <w:rPr>
                <w:rFonts w:ascii="Times New Roman"/>
                <w:b w:val="false"/>
                <w:i w:val="false"/>
                <w:color w:val="000000"/>
                <w:sz w:val="20"/>
              </w:rPr>
              <w:t>
   </w:t>
            </w:r>
            <w:r>
              <w:rPr>
                <w:rFonts w:ascii="Times New Roman"/>
                <w:b/>
                <w:i w:val="false"/>
                <w:color w:val="000000"/>
                <w:sz w:val="20"/>
              </w:rPr>
              <w:t>2.14. Уполномоченное лицо по фармаконадзору</w:t>
            </w:r>
          </w:p>
          <w:p>
            <w:pPr>
              <w:spacing w:after="20"/>
              <w:ind w:left="20"/>
              <w:jc w:val="both"/>
            </w:pPr>
            <w:r>
              <w:rPr>
                <w:rFonts w:ascii="Times New Roman"/>
                <w:b w:val="false"/>
                <w:i w:val="false"/>
                <w:color w:val="000000"/>
                <w:sz w:val="20"/>
              </w:rPr>
              <w:t>
   2.14.1. Держатель регистрационного удостоверения назначает и имеет в постоянном распоряжении уполномоченное лицо по фармаконадзору (далее - УЛФ) в Республике Казахстан, обладающее требуемой квалификацией. Держатель регистрационного удостоверения сообщает фамилию и контактную информацию УЛФ в уполномоченную организацию. При изменении данной информации держатель регистрационного удостоверения информирует уполномоченную организацию в срок, устанавливаемый действующим законодательством Республики Казахтан.</w:t>
            </w:r>
          </w:p>
          <w:p>
            <w:pPr>
              <w:spacing w:after="20"/>
              <w:ind w:left="20"/>
              <w:jc w:val="both"/>
            </w:pPr>
            <w:r>
              <w:rPr>
                <w:rFonts w:ascii="Times New Roman"/>
                <w:b w:val="false"/>
                <w:i w:val="false"/>
                <w:color w:val="000000"/>
                <w:sz w:val="20"/>
              </w:rPr>
              <w:t xml:space="preserve">
   2.14.2. В каждой системе фармаконадзора обеспечивается наличие только одного УЛФ. Держатель регистрационного удостоверения, в общих или отдельных системах фармаконадзора, использует услуги одного УЛФ или лица в состоянии выполнять функции УЛФ более чем для одной системы фармаконадзора, при условии, что УЛФ в состоянии выполнять все свои обязанности. В дополнение к УЛФ, уполномоченная организация имеет полномочия направлять запрос о назначения контактного лица по фармаконадзору, находящегося на территории Республики Казахстан, подотчетного УЛФ. Контактное лицо, находящееся на территории Республики Казахстан, имеет право действовать как УЛФ. </w:t>
            </w:r>
          </w:p>
          <w:p>
            <w:pPr>
              <w:spacing w:after="20"/>
              <w:ind w:left="20"/>
              <w:jc w:val="both"/>
            </w:pPr>
            <w:r>
              <w:rPr>
                <w:rFonts w:ascii="Times New Roman"/>
                <w:b w:val="false"/>
                <w:i w:val="false"/>
                <w:color w:val="000000"/>
                <w:sz w:val="20"/>
              </w:rPr>
              <w:t>
   2.14.3. Обязанности УЛФ определяются в должностной инструкции.</w:t>
            </w:r>
          </w:p>
          <w:p>
            <w:pPr>
              <w:spacing w:after="20"/>
              <w:ind w:left="20"/>
              <w:jc w:val="both"/>
            </w:pPr>
            <w:r>
              <w:rPr>
                <w:rFonts w:ascii="Times New Roman"/>
                <w:b w:val="false"/>
                <w:i w:val="false"/>
                <w:color w:val="000000"/>
                <w:sz w:val="20"/>
              </w:rPr>
              <w:t>
   2.14.4. Держателем регистрационного удостоверения предоставляются УЛФ достаточные полномочия по управлению деятельностью по фармаконадзору и системой качества. Держателем регистрационного удостоверения предоставляется УЛФ доступ к мастер-файлу системы фармаконадзора, а также полномочия по нему и обеспечивается возможность получения информации о любых изменениях в мастер-файле. Полномочия по системе фармаконадзора и мастер-файлу системы фармаконадзора позволяют УЛФ вносить изменения в систему, планы управления рисками, а также в подготовку регулирующих действий в ответ на чрезвычайные ситуации по изменению профиля безопасности.</w:t>
            </w:r>
          </w:p>
          <w:p>
            <w:pPr>
              <w:spacing w:after="20"/>
              <w:ind w:left="20"/>
              <w:jc w:val="both"/>
            </w:pPr>
            <w:r>
              <w:rPr>
                <w:rFonts w:ascii="Times New Roman"/>
                <w:b w:val="false"/>
                <w:i w:val="false"/>
                <w:color w:val="000000"/>
                <w:sz w:val="20"/>
              </w:rPr>
              <w:t xml:space="preserve">
   2.14.5. Держателем регистрационного удостоверения обеспечивается наличие всех систем и процессов, позволяющих УЛФ выполнять возложенные на него обязанности. С этой целью держателем регистрационного удостоверения разрабатываются механизмы, при помощи которых УЛФ обеспечивается возможностью получения всей необходимой информацию и доступа ко всем данным, которые ему могут потребоваться: </w:t>
            </w:r>
          </w:p>
          <w:p>
            <w:pPr>
              <w:spacing w:after="20"/>
              <w:ind w:left="20"/>
              <w:jc w:val="both"/>
            </w:pPr>
            <w:r>
              <w:rPr>
                <w:rFonts w:ascii="Times New Roman"/>
                <w:b w:val="false"/>
                <w:i w:val="false"/>
                <w:color w:val="000000"/>
                <w:sz w:val="20"/>
              </w:rPr>
              <w:t>
   1) чрезвычайные ситуации по изменениям профиля безопасности и вся другая информация в отношении оценки соотношения польза-риск лекарственных препаратов, на которые распространяется система фармаконадзора;</w:t>
            </w:r>
          </w:p>
          <w:p>
            <w:pPr>
              <w:spacing w:after="20"/>
              <w:ind w:left="20"/>
              <w:jc w:val="both"/>
            </w:pPr>
            <w:r>
              <w:rPr>
                <w:rFonts w:ascii="Times New Roman"/>
                <w:b w:val="false"/>
                <w:i w:val="false"/>
                <w:color w:val="000000"/>
                <w:sz w:val="20"/>
              </w:rPr>
              <w:t>
   2) продолжающиеся и закончившиеся клинические исследования (испытания) и прочие исследования (испытания), о которых знает держатель регистрационного удостоверения и которые могут иметь отношение к безопасности лекарственных препаратов;</w:t>
            </w:r>
          </w:p>
          <w:p>
            <w:pPr>
              <w:spacing w:after="20"/>
              <w:ind w:left="20"/>
              <w:jc w:val="both"/>
            </w:pPr>
            <w:r>
              <w:rPr>
                <w:rFonts w:ascii="Times New Roman"/>
                <w:b w:val="false"/>
                <w:i w:val="false"/>
                <w:color w:val="000000"/>
                <w:sz w:val="20"/>
              </w:rPr>
              <w:t xml:space="preserve">
   3) информация из иных источников, кроме источников держателя регистрационного удостоверения, в частности, источники, с которыми держатель регистрационного удостоверения имеет контрактные договоренности; </w:t>
            </w:r>
          </w:p>
          <w:p>
            <w:pPr>
              <w:spacing w:after="20"/>
              <w:ind w:left="20"/>
              <w:jc w:val="both"/>
            </w:pPr>
            <w:r>
              <w:rPr>
                <w:rFonts w:ascii="Times New Roman"/>
                <w:b w:val="false"/>
                <w:i w:val="false"/>
                <w:color w:val="000000"/>
                <w:sz w:val="20"/>
              </w:rPr>
              <w:t>
   4) процедуры фармаконадзора, которые разрабатывает держатель регистрационного удостоверения на каждом уровне с целью обеспечения согласованности и соблюдения требований в пределах организации.</w:t>
            </w:r>
          </w:p>
          <w:p>
            <w:pPr>
              <w:spacing w:after="20"/>
              <w:ind w:left="20"/>
              <w:jc w:val="both"/>
            </w:pPr>
            <w:r>
              <w:rPr>
                <w:rFonts w:ascii="Times New Roman"/>
                <w:b w:val="false"/>
                <w:i w:val="false"/>
                <w:color w:val="000000"/>
                <w:sz w:val="20"/>
              </w:rPr>
              <w:t xml:space="preserve">
   2.14.6. УЛФ получает информацию от руководящего персонала по результатам постоянных обзоров системы качества и предпринятым мерам, данные по соответствию требованиям, намеченным аудитам системы фармаконадзора. УЛФ имеет полномочия инициировать аудит в случае необходимости. Руководящий персонал предоставляет УЛФ копию плана корректирующих и предупреждающих мероприятий после каждого аудита, так чтобы УЛФ могло убедиться в принятии соответствующих корректирующих мероприятий. </w:t>
            </w:r>
          </w:p>
          <w:p>
            <w:pPr>
              <w:spacing w:after="20"/>
              <w:ind w:left="20"/>
              <w:jc w:val="both"/>
            </w:pPr>
            <w:r>
              <w:rPr>
                <w:rFonts w:ascii="Times New Roman"/>
                <w:b w:val="false"/>
                <w:i w:val="false"/>
                <w:color w:val="000000"/>
                <w:sz w:val="20"/>
              </w:rPr>
              <w:t xml:space="preserve">
   2.14.7. Держателем регистрационного удостоверения обеспечивается возможность получения информации УЛФ из базы данных нежелательных реакций, имеющейся в его распоряжении. </w:t>
            </w:r>
          </w:p>
          <w:p>
            <w:pPr>
              <w:spacing w:after="20"/>
              <w:ind w:left="20"/>
              <w:jc w:val="both"/>
            </w:pPr>
            <w:r>
              <w:rPr>
                <w:rFonts w:ascii="Times New Roman"/>
                <w:b w:val="false"/>
                <w:i w:val="false"/>
                <w:color w:val="000000"/>
                <w:sz w:val="20"/>
              </w:rPr>
              <w:t>
   </w:t>
            </w:r>
            <w:r>
              <w:rPr>
                <w:rFonts w:ascii="Times New Roman"/>
                <w:b/>
                <w:i w:val="false"/>
                <w:color w:val="000000"/>
                <w:sz w:val="20"/>
              </w:rPr>
              <w:t>2.15. Квалификация лица, уполномоченного по фармаконадзору в Республике Казахстан</w:t>
            </w:r>
          </w:p>
          <w:p>
            <w:pPr>
              <w:spacing w:after="20"/>
              <w:ind w:left="20"/>
              <w:jc w:val="both"/>
            </w:pPr>
            <w:r>
              <w:rPr>
                <w:rFonts w:ascii="Times New Roman"/>
                <w:b w:val="false"/>
                <w:i w:val="false"/>
                <w:color w:val="000000"/>
                <w:sz w:val="20"/>
              </w:rPr>
              <w:t xml:space="preserve">
   2.15.1 УЛФ имеет соответствующие теоретические и практические знания по осуществлению деятельности по фармаконадзору. УЛФ имеет навыки управления системами фармаконадзора, а также проведения экспертизы или имеет доступ к проведению экспертизы в таких областях, как медицина, фармацевтические науки, а также эпидемиология и биостатистика. </w:t>
            </w:r>
          </w:p>
          <w:p>
            <w:pPr>
              <w:spacing w:after="20"/>
              <w:ind w:left="20"/>
              <w:jc w:val="both"/>
            </w:pPr>
            <w:r>
              <w:rPr>
                <w:rFonts w:ascii="Times New Roman"/>
                <w:b w:val="false"/>
                <w:i w:val="false"/>
                <w:color w:val="000000"/>
                <w:sz w:val="20"/>
              </w:rPr>
              <w:t>
   2.15.2. Держателем регистрационного удостоверения проводится обучение УЛФ в области своей системы фармаконадзора до того как УЛФ займет должность уполномоченного лица. Обучение и его результаты надлежащим образом документируются.</w:t>
            </w:r>
          </w:p>
          <w:p>
            <w:pPr>
              <w:spacing w:after="20"/>
              <w:ind w:left="20"/>
              <w:jc w:val="both"/>
            </w:pPr>
            <w:r>
              <w:rPr>
                <w:rFonts w:ascii="Times New Roman"/>
                <w:b w:val="false"/>
                <w:i w:val="false"/>
                <w:color w:val="000000"/>
                <w:sz w:val="20"/>
              </w:rPr>
              <w:t>
   </w:t>
            </w:r>
            <w:r>
              <w:rPr>
                <w:rFonts w:ascii="Times New Roman"/>
                <w:b/>
                <w:i w:val="false"/>
                <w:color w:val="000000"/>
                <w:sz w:val="20"/>
              </w:rPr>
              <w:t>2.16. Функции лица, уполномоченного по фармаконадзору в Республике Казахстан</w:t>
            </w:r>
          </w:p>
          <w:p>
            <w:pPr>
              <w:spacing w:after="20"/>
              <w:ind w:left="20"/>
              <w:jc w:val="both"/>
            </w:pPr>
            <w:r>
              <w:rPr>
                <w:rFonts w:ascii="Times New Roman"/>
                <w:b w:val="false"/>
                <w:i w:val="false"/>
                <w:color w:val="000000"/>
                <w:sz w:val="20"/>
              </w:rPr>
              <w:t>
   2.16.1. Квалифицированное лицо, уполномоченное по фармаконадзору в Республике Казахстан, является физическим лицом.</w:t>
            </w:r>
          </w:p>
          <w:p>
            <w:pPr>
              <w:spacing w:after="20"/>
              <w:ind w:left="20"/>
              <w:jc w:val="both"/>
            </w:pPr>
            <w:r>
              <w:rPr>
                <w:rFonts w:ascii="Times New Roman"/>
                <w:b w:val="false"/>
                <w:i w:val="false"/>
                <w:color w:val="000000"/>
                <w:sz w:val="20"/>
              </w:rPr>
              <w:t>
   2.16.2. УЛФ, назначенное держателем регистрационного удостоверения, имеет соответствующую квалификацию и находится постоянном распоряжении держателя регистрационного удостоверения. На должность УЛФ назначается лицо, проживающее и работающее в Республике Казахстан. УЛФ отвечает за создание и функционирование системы фармаконадзора держателя регистрационного удостоверения и обладает полномочиями и ответственностью в отношении мастер-файла системы фармаконадзора для обеспечения и соблюдения требований законодательства Республики Казахстан.</w:t>
            </w:r>
          </w:p>
          <w:p>
            <w:pPr>
              <w:spacing w:after="20"/>
              <w:ind w:left="20"/>
              <w:jc w:val="both"/>
            </w:pPr>
            <w:r>
              <w:rPr>
                <w:rFonts w:ascii="Times New Roman"/>
                <w:b w:val="false"/>
                <w:i w:val="false"/>
                <w:color w:val="000000"/>
                <w:sz w:val="20"/>
              </w:rPr>
              <w:t>
   2.16.3. В отношении лекарственных препаратов, на которые распространяется система фармаконадзора держателя регистрационного удостоверения, УЛФ имеет следующие обязанности:</w:t>
            </w:r>
          </w:p>
          <w:p>
            <w:pPr>
              <w:spacing w:after="20"/>
              <w:ind w:left="20"/>
              <w:jc w:val="both"/>
            </w:pPr>
            <w:r>
              <w:rPr>
                <w:rFonts w:ascii="Times New Roman"/>
                <w:b w:val="false"/>
                <w:i w:val="false"/>
                <w:color w:val="000000"/>
                <w:sz w:val="20"/>
              </w:rPr>
              <w:t>
   1) выполнять обзор профиля безопасности лекарственных препаратов и чрезвычайных ситуаций по изменению профилей безопасности;</w:t>
            </w:r>
          </w:p>
          <w:p>
            <w:pPr>
              <w:spacing w:after="20"/>
              <w:ind w:left="20"/>
              <w:jc w:val="both"/>
            </w:pPr>
            <w:r>
              <w:rPr>
                <w:rFonts w:ascii="Times New Roman"/>
                <w:b w:val="false"/>
                <w:i w:val="false"/>
                <w:color w:val="000000"/>
                <w:sz w:val="20"/>
              </w:rPr>
              <w:t>
   2) владеть полной информацией об условиях и обязанностях, установленных при выдаче регистрационных удостоверений и других обязательствах, имеющих отношение к безопасности или безопасному применению лекарственных препаратов;</w:t>
            </w:r>
          </w:p>
          <w:p>
            <w:pPr>
              <w:spacing w:after="20"/>
              <w:ind w:left="20"/>
              <w:jc w:val="both"/>
            </w:pPr>
            <w:r>
              <w:rPr>
                <w:rFonts w:ascii="Times New Roman"/>
                <w:b w:val="false"/>
                <w:i w:val="false"/>
                <w:color w:val="000000"/>
                <w:sz w:val="20"/>
              </w:rPr>
              <w:t>
   3) владеть полной информацией о мерах по минимизации рисков;</w:t>
            </w:r>
          </w:p>
          <w:p>
            <w:pPr>
              <w:spacing w:after="20"/>
              <w:ind w:left="20"/>
              <w:jc w:val="both"/>
            </w:pPr>
            <w:r>
              <w:rPr>
                <w:rFonts w:ascii="Times New Roman"/>
                <w:b w:val="false"/>
                <w:i w:val="false"/>
                <w:color w:val="000000"/>
                <w:sz w:val="20"/>
              </w:rPr>
              <w:t>
   4) принимать участие в изучении и утверждении протоколов пострегистрационных исследований безопасности;</w:t>
            </w:r>
          </w:p>
          <w:p>
            <w:pPr>
              <w:spacing w:after="20"/>
              <w:ind w:left="20"/>
              <w:jc w:val="both"/>
            </w:pPr>
            <w:r>
              <w:rPr>
                <w:rFonts w:ascii="Times New Roman"/>
                <w:b w:val="false"/>
                <w:i w:val="false"/>
                <w:color w:val="000000"/>
                <w:sz w:val="20"/>
              </w:rPr>
              <w:t>
   5) владеть полной информацией о пострегистрационных исследованиях по безопасности лекарственных препаратов, проведение которых назначено уполномоченным органом, включая результаты таких исследований;</w:t>
            </w:r>
          </w:p>
          <w:p>
            <w:pPr>
              <w:spacing w:after="20"/>
              <w:ind w:left="20"/>
              <w:jc w:val="both"/>
            </w:pPr>
            <w:r>
              <w:rPr>
                <w:rFonts w:ascii="Times New Roman"/>
                <w:b w:val="false"/>
                <w:i w:val="false"/>
                <w:color w:val="000000"/>
                <w:sz w:val="20"/>
              </w:rPr>
              <w:t>
   6) дополнять планы управления рисками;</w:t>
            </w:r>
          </w:p>
          <w:p>
            <w:pPr>
              <w:spacing w:after="20"/>
              <w:ind w:left="20"/>
              <w:jc w:val="both"/>
            </w:pPr>
            <w:r>
              <w:rPr>
                <w:rFonts w:ascii="Times New Roman"/>
                <w:b w:val="false"/>
                <w:i w:val="false"/>
                <w:color w:val="000000"/>
                <w:sz w:val="20"/>
              </w:rPr>
              <w:t>
   7) обеспечивать выполнение функций по фармаконадзору и предоставлять в уполномоченный орган все документы, имеющие отношение к фармаконадзору, согласно требованиям законодательства Республики Казахстан и настоящего Стандарта;</w:t>
            </w:r>
          </w:p>
          <w:p>
            <w:pPr>
              <w:spacing w:after="20"/>
              <w:ind w:left="20"/>
              <w:jc w:val="both"/>
            </w:pPr>
            <w:r>
              <w:rPr>
                <w:rFonts w:ascii="Times New Roman"/>
                <w:b w:val="false"/>
                <w:i w:val="false"/>
                <w:color w:val="000000"/>
                <w:sz w:val="20"/>
              </w:rPr>
              <w:t>
   8) обеспечивать необходимое качество, включая точность и полноту данных по фармаконадзору, представляемых в уполномоченный орган;</w:t>
            </w:r>
          </w:p>
          <w:p>
            <w:pPr>
              <w:spacing w:after="20"/>
              <w:ind w:left="20"/>
              <w:jc w:val="both"/>
            </w:pPr>
            <w:r>
              <w:rPr>
                <w:rFonts w:ascii="Times New Roman"/>
                <w:b w:val="false"/>
                <w:i w:val="false"/>
                <w:color w:val="000000"/>
                <w:sz w:val="20"/>
              </w:rPr>
              <w:t>
   9) предоставлять полные и своевременные ответы на запросы уполномоченного органа о предоставлении дополнительной информации, необходимой для оценки соотношения польза-риск лекарственных препаратов;</w:t>
            </w:r>
          </w:p>
          <w:p>
            <w:pPr>
              <w:spacing w:after="20"/>
              <w:ind w:left="20"/>
              <w:jc w:val="both"/>
            </w:pPr>
            <w:r>
              <w:rPr>
                <w:rFonts w:ascii="Times New Roman"/>
                <w:b w:val="false"/>
                <w:i w:val="false"/>
                <w:color w:val="000000"/>
                <w:sz w:val="20"/>
              </w:rPr>
              <w:t>
   10) предоставлять любую информацию, имеющую отношение к оценке соотношения польза-риск в уполномоченный орган или в уполномоченную организацию;</w:t>
            </w:r>
          </w:p>
          <w:p>
            <w:pPr>
              <w:spacing w:after="20"/>
              <w:ind w:left="20"/>
              <w:jc w:val="both"/>
            </w:pPr>
            <w:r>
              <w:rPr>
                <w:rFonts w:ascii="Times New Roman"/>
                <w:b w:val="false"/>
                <w:i w:val="false"/>
                <w:color w:val="000000"/>
                <w:sz w:val="20"/>
              </w:rPr>
              <w:t>
   11) оказывать помощь в подготовке уполномоченных мер в ответ на чрезвычайные ситуации безопасности (изменения в рекомендациях по медицинскому применению, срочные ограничения и доведение информации до пациентов и медицинских работников);</w:t>
            </w:r>
          </w:p>
          <w:p>
            <w:pPr>
              <w:spacing w:after="20"/>
              <w:ind w:left="20"/>
              <w:jc w:val="both"/>
            </w:pPr>
            <w:r>
              <w:rPr>
                <w:rFonts w:ascii="Times New Roman"/>
                <w:b w:val="false"/>
                <w:i w:val="false"/>
                <w:color w:val="000000"/>
                <w:sz w:val="20"/>
              </w:rPr>
              <w:t>
   12) функционировать в качестве единого контактного лица по фармаконадзору для уполномоченного органа, а также в качестве контактного лица для инспекций по фармаконадзору с обеспечением 24-часового доступа.</w:t>
            </w:r>
          </w:p>
          <w:p>
            <w:pPr>
              <w:spacing w:after="20"/>
              <w:ind w:left="20"/>
              <w:jc w:val="both"/>
            </w:pPr>
            <w:r>
              <w:rPr>
                <w:rFonts w:ascii="Times New Roman"/>
                <w:b w:val="false"/>
                <w:i w:val="false"/>
                <w:color w:val="000000"/>
                <w:sz w:val="20"/>
              </w:rPr>
              <w:t>
   2.16.4. УЛФ осуществляет контроль функционирования всех аспектов системы фармаконадзора, включая систему качества (стандартные операционные процедуры, контрактные договоренности, операции по базе данных, выполнение требований системы качества, соблюдение требований к представлению данных в части полноты и своевременности, представление периодических отчетов о безопасности, отчетов об аудитах и обучению персонала по фармаконадзору). УЛФ располагает информацией о валидационном статусе базы данных нежелательных реакций на лекарственные препараты, включая все выявленные в ходе валидации недочеты и предпринятые корректирующие действия. УЛФ располагает информацией обо всех существенных изменениях, внесенных в базу данных (изменения, которые могут оказать влияние на деятельность фармаконадзора).</w:t>
            </w:r>
          </w:p>
          <w:p>
            <w:pPr>
              <w:spacing w:after="20"/>
              <w:ind w:left="20"/>
              <w:jc w:val="both"/>
            </w:pPr>
            <w:r>
              <w:rPr>
                <w:rFonts w:ascii="Times New Roman"/>
                <w:b w:val="false"/>
                <w:i w:val="false"/>
                <w:color w:val="000000"/>
                <w:sz w:val="20"/>
              </w:rPr>
              <w:t>
   УЛФ по мере необходимости делегирует выполнение специфических заданий (осуществление деятельности в качестве экспертов по безопасности определенных лекарственных препаратов), лицам с соответствующей квалификацией и обучением, осуществляя при этом контроль за функционированием всей системы и профилей безопасности всех лекарственных препаратов. Такое делегирование выполняемых функций надлежащим образом документируется.</w:t>
            </w:r>
          </w:p>
          <w:p>
            <w:pPr>
              <w:spacing w:after="20"/>
              <w:ind w:left="20"/>
              <w:jc w:val="both"/>
            </w:pPr>
            <w:r>
              <w:rPr>
                <w:rFonts w:ascii="Times New Roman"/>
                <w:b w:val="false"/>
                <w:i w:val="false"/>
                <w:color w:val="000000"/>
                <w:sz w:val="20"/>
              </w:rPr>
              <w:t>
   </w:t>
            </w:r>
            <w:r>
              <w:rPr>
                <w:rFonts w:ascii="Times New Roman"/>
                <w:b/>
                <w:i w:val="false"/>
                <w:color w:val="000000"/>
                <w:sz w:val="20"/>
              </w:rPr>
              <w:t>2.17. Специфические процессы системы качества у держателя регистрационного удостоверения в Республике Казахстан</w:t>
            </w:r>
          </w:p>
          <w:p>
            <w:pPr>
              <w:spacing w:after="20"/>
              <w:ind w:left="20"/>
              <w:jc w:val="both"/>
            </w:pPr>
            <w:r>
              <w:rPr>
                <w:rFonts w:ascii="Times New Roman"/>
                <w:b w:val="false"/>
                <w:i w:val="false"/>
                <w:color w:val="000000"/>
                <w:sz w:val="20"/>
              </w:rPr>
              <w:t>
   2.17.1. Держатель регистрационного удостоверения разрабатывает дополнительные специальные процессы системы качества с целью:</w:t>
            </w:r>
          </w:p>
          <w:p>
            <w:pPr>
              <w:spacing w:after="20"/>
              <w:ind w:left="20"/>
              <w:jc w:val="both"/>
            </w:pPr>
            <w:r>
              <w:rPr>
                <w:rFonts w:ascii="Times New Roman"/>
                <w:b w:val="false"/>
                <w:i w:val="false"/>
                <w:color w:val="000000"/>
                <w:sz w:val="20"/>
              </w:rPr>
              <w:t>
   1) предоставления данных о нежелательных реакциях в государственные базы данных Республики Казахстан в пределах сроков, устанавливаемых действующим законодательством Республики Казахстан;</w:t>
            </w:r>
          </w:p>
          <w:p>
            <w:pPr>
              <w:spacing w:after="20"/>
              <w:ind w:left="20"/>
              <w:jc w:val="both"/>
            </w:pPr>
            <w:r>
              <w:rPr>
                <w:rFonts w:ascii="Times New Roman"/>
                <w:b w:val="false"/>
                <w:i w:val="false"/>
                <w:color w:val="000000"/>
                <w:sz w:val="20"/>
              </w:rPr>
              <w:t>
   2) сохранения документов, в которых описана система фармаконадзора, в течение не менее 5 лет после прекращения существования системы фармаконадзора, описанной в мастер-файле;</w:t>
            </w:r>
          </w:p>
          <w:p>
            <w:pPr>
              <w:spacing w:after="20"/>
              <w:ind w:left="20"/>
              <w:jc w:val="both"/>
            </w:pPr>
            <w:r>
              <w:rPr>
                <w:rFonts w:ascii="Times New Roman"/>
                <w:b w:val="false"/>
                <w:i w:val="false"/>
                <w:color w:val="000000"/>
                <w:sz w:val="20"/>
              </w:rPr>
              <w:t>
   3) сохранения данных по фармаконадзору и документов, имеющих отношение к зарегистрированным лекарственным препаратам в течение не менее 10 лет после прекращения действия удостоверений о государственной регистрации;</w:t>
            </w:r>
          </w:p>
          <w:p>
            <w:pPr>
              <w:spacing w:after="20"/>
              <w:ind w:left="20"/>
              <w:jc w:val="both"/>
            </w:pPr>
            <w:r>
              <w:rPr>
                <w:rFonts w:ascii="Times New Roman"/>
                <w:b w:val="false"/>
                <w:i w:val="false"/>
                <w:color w:val="000000"/>
                <w:sz w:val="20"/>
              </w:rPr>
              <w:t>
   4) обновления информации о лекарственных препаратах согласно последним научным знаниям, включая оценку профиля безопасности и соотношения польза-риск, а также рекомендациям, размещенным на веб-портале уполномоченного органа. С этой целью держатель регистрационного удостоверения постоянно осуществляет проверку веб-портала уполномоченного органа на предмет наличия соответствующих изменений в оценке профиля безопасности и соотношения польза-риск, включая изменения в рекомендациях по медицинскому применению и иные меры уполномоченного характера.</w:t>
            </w:r>
          </w:p>
          <w:p>
            <w:pPr>
              <w:spacing w:after="20"/>
              <w:ind w:left="20"/>
              <w:jc w:val="both"/>
            </w:pPr>
            <w:r>
              <w:rPr>
                <w:rFonts w:ascii="Times New Roman"/>
                <w:b w:val="false"/>
                <w:i w:val="false"/>
                <w:color w:val="000000"/>
                <w:sz w:val="20"/>
              </w:rPr>
              <w:t>
   2.17.2. В течение периода сохранения документации держатель регистрационного удостоверения обеспечивает восстанавливаемость документов.</w:t>
            </w:r>
          </w:p>
          <w:p>
            <w:pPr>
              <w:spacing w:after="20"/>
              <w:ind w:left="20"/>
              <w:jc w:val="both"/>
            </w:pPr>
            <w:r>
              <w:rPr>
                <w:rFonts w:ascii="Times New Roman"/>
                <w:b w:val="false"/>
                <w:i w:val="false"/>
                <w:color w:val="000000"/>
                <w:sz w:val="20"/>
              </w:rPr>
              <w:t>
   2.17.3. Документы хранятся в электронном формате, при условии надлежащей валидации электронной системы и существования договоренностей по защите системы, доступу и резервному копированию данных. В случае перевода документов из бумажного формата в электронный, в процессе перевода гарантируется сохранение всей информации в оригинальном формате в читаемом виде и обеспечение сохранения читаемости на протяжении всего времени хранения средствами, используемыми для хранения.</w:t>
            </w:r>
          </w:p>
          <w:p>
            <w:pPr>
              <w:spacing w:after="20"/>
              <w:ind w:left="20"/>
              <w:jc w:val="both"/>
            </w:pPr>
            <w:r>
              <w:rPr>
                <w:rFonts w:ascii="Times New Roman"/>
                <w:b w:val="false"/>
                <w:i w:val="false"/>
                <w:color w:val="000000"/>
                <w:sz w:val="20"/>
              </w:rPr>
              <w:t>
   2.17.4. В случае поглощения другой организацией бизнеса держателя регистрационного удостоверения, все документы передаются и сохраняются в полном объеме.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2.18. Требования к системе качества при делегировании держателем регистрационного удостоверения выполняемых функций по фармаконадзору </w:t>
            </w:r>
          </w:p>
          <w:p>
            <w:pPr>
              <w:spacing w:after="20"/>
              <w:ind w:left="20"/>
              <w:jc w:val="both"/>
            </w:pPr>
            <w:r>
              <w:rPr>
                <w:rFonts w:ascii="Times New Roman"/>
                <w:b w:val="false"/>
                <w:i w:val="false"/>
                <w:color w:val="000000"/>
                <w:sz w:val="20"/>
              </w:rPr>
              <w:t>
   2.18.1. Держатель регистрационного удостоверения по мере необходимости делегирует все или часть своих задач по фармаконадзору, включая функции УЛФ, другой организации или лицу (если к такому лицу могут быть применены одинаковые требования, как к организации). При этом выполнение задач и обязанностей по фармаконадзору, обеспечение качества и целостности системы фармаконадзора является задачей держателя регистрационного удостоверения.</w:t>
            </w:r>
          </w:p>
          <w:p>
            <w:pPr>
              <w:spacing w:after="20"/>
              <w:ind w:left="20"/>
              <w:jc w:val="both"/>
            </w:pPr>
            <w:r>
              <w:rPr>
                <w:rFonts w:ascii="Times New Roman"/>
                <w:b w:val="false"/>
                <w:i w:val="false"/>
                <w:color w:val="000000"/>
                <w:sz w:val="20"/>
              </w:rPr>
              <w:t>
   2.18.2. В случае делегирования определенных задач по фармаконадзору держателем регистрационного удостоверения другой организации, держатель регистрационного удостоверения сохраняет за собой ответственность за применение эффективной системы качества исполнения данных задач. Требования к системе фармаконадзора, определяемые надлежащей практикой фармаконадзора, также применяются к другой организации, которой делегированы задачи.</w:t>
            </w:r>
          </w:p>
          <w:p>
            <w:pPr>
              <w:spacing w:after="20"/>
              <w:ind w:left="20"/>
              <w:jc w:val="both"/>
            </w:pPr>
            <w:r>
              <w:rPr>
                <w:rFonts w:ascii="Times New Roman"/>
                <w:b w:val="false"/>
                <w:i w:val="false"/>
                <w:color w:val="000000"/>
                <w:sz w:val="20"/>
              </w:rPr>
              <w:t>
   2.18.3. При делегировании задач другой организации держатель регистрационного удостоверения обеспечивает подробное, четкое и постоянно обновляемое документальное оформление контрактных договоренностей между держателем регистрационного удостоверения и другой организацией, с описанием договоренностей по делегированным задачам и ответственности каждой из сторон. Описание делегированной деятельности и (или) услуг включается в мастер-файл системы фармаконадзора. Другая организация при необходимости подвергается проверкам по усмотрению уполномоченного органа на основании рекомендаций уполномоченной организации.</w:t>
            </w:r>
          </w:p>
          <w:p>
            <w:pPr>
              <w:spacing w:after="20"/>
              <w:ind w:left="20"/>
              <w:jc w:val="both"/>
            </w:pPr>
            <w:r>
              <w:rPr>
                <w:rFonts w:ascii="Times New Roman"/>
                <w:b w:val="false"/>
                <w:i w:val="false"/>
                <w:color w:val="000000"/>
                <w:sz w:val="20"/>
              </w:rPr>
              <w:t>
   2.18.4. В целях контроля выполнения контрактных договоренностей по фармаконадзору рекомендуется выполнение держателем регистрационного удостоверения регулярных аудитов организаций, которым были делегированы функции по фармаконадзору.</w:t>
            </w:r>
          </w:p>
          <w:p>
            <w:pPr>
              <w:spacing w:after="20"/>
              <w:ind w:left="20"/>
              <w:jc w:val="both"/>
            </w:pPr>
            <w:r>
              <w:rPr>
                <w:rFonts w:ascii="Times New Roman"/>
                <w:b w:val="false"/>
                <w:i w:val="false"/>
                <w:color w:val="000000"/>
                <w:sz w:val="20"/>
              </w:rPr>
              <w:t>
   </w:t>
            </w:r>
            <w:r>
              <w:rPr>
                <w:rFonts w:ascii="Times New Roman"/>
                <w:b/>
                <w:i w:val="false"/>
                <w:color w:val="000000"/>
                <w:sz w:val="20"/>
              </w:rPr>
              <w:t>2.19. Общие обязанности по фармаконадзору в рамках действующего законодательства Республики Казахстан</w:t>
            </w:r>
          </w:p>
          <w:p>
            <w:pPr>
              <w:spacing w:after="20"/>
              <w:ind w:left="20"/>
              <w:jc w:val="both"/>
            </w:pPr>
            <w:r>
              <w:rPr>
                <w:rFonts w:ascii="Times New Roman"/>
                <w:b w:val="false"/>
                <w:i w:val="false"/>
                <w:color w:val="000000"/>
                <w:sz w:val="20"/>
              </w:rPr>
              <w:t>
   2.19.1 Уполномоченный орган, уполномоченная организация обеспечивают выполнение задач по фармаконадзору, возлагаемых на них в соответствии с нормативными требованиями. С этой целью уполномоченный орган обеспечивает функционирование системы фармаконадзора, создает и применяет надлежащую эффективную систему качества осуществляемой деятельности по фармаконадзору.</w:t>
            </w:r>
          </w:p>
          <w:p>
            <w:pPr>
              <w:spacing w:after="20"/>
              <w:ind w:left="20"/>
              <w:jc w:val="both"/>
            </w:pPr>
            <w:r>
              <w:rPr>
                <w:rFonts w:ascii="Times New Roman"/>
                <w:b w:val="false"/>
                <w:i w:val="false"/>
                <w:color w:val="000000"/>
                <w:sz w:val="20"/>
              </w:rPr>
              <w:t>
   2.19.2. Уполномоченный орган сотрудничает с уполномоченными органами других государств с целью постоянного совершенствования системы фармаконадзора и достижения высоких стандартов защиты общественного здоровья.</w:t>
            </w:r>
          </w:p>
          <w:p>
            <w:pPr>
              <w:spacing w:after="20"/>
              <w:ind w:left="20"/>
              <w:jc w:val="both"/>
            </w:pPr>
            <w:r>
              <w:rPr>
                <w:rFonts w:ascii="Times New Roman"/>
                <w:b w:val="false"/>
                <w:i w:val="false"/>
                <w:color w:val="000000"/>
                <w:sz w:val="20"/>
              </w:rPr>
              <w:t>
   2.19.3. Уполномоченный орган определяет контактные пункты с целью упрощения взаимодействия уполномоченной организации, держателя регистрационного удостоверения и лиц, представляющих информацию по фармаконадзору.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2.20. Функции уполномоченного органа, уполномоченной организации </w:t>
            </w:r>
          </w:p>
          <w:p>
            <w:pPr>
              <w:spacing w:after="0"/>
              <w:ind w:left="0"/>
              <w:jc w:val="both"/>
            </w:pPr>
            <w:r>
              <w:rPr>
                <w:rFonts w:ascii="Times New Roman"/>
                <w:b w:val="false"/>
                <w:i w:val="false"/>
                <w:color w:val="000000"/>
                <w:sz w:val="20"/>
              </w:rPr>
              <w:t>
   2.20.1. Уполномоченным органом, ответственным за создание и функционирование системы фармаконадзора, является государственный орган в сфере обращения лекарственных средств и медицинских изделий.</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Уполномоченный орган обеспечивает внедрение системы фармаконадзора лекарственных препаратов для сбора и оценки информации, касающейся соотношения польза-риск лекарственных препаратов с осуществлением контроля безопасности каждого лекарственного препарата, зарегистрированного на территории Республики Казахстан.</w:t>
            </w:r>
          </w:p>
          <w:p>
            <w:pPr>
              <w:spacing w:after="0"/>
              <w:ind w:left="0"/>
              <w:jc w:val="both"/>
            </w:pPr>
            <w:r>
              <w:rPr>
                <w:rFonts w:ascii="Times New Roman"/>
                <w:b w:val="false"/>
                <w:i w:val="false"/>
                <w:color w:val="000000"/>
                <w:sz w:val="20"/>
              </w:rPr>
              <w:t>
   2.20.2. Уполномоченной организацией, ответственной за осуществление фармаконадзора является экспертная организация в сфере обращения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Уполномоченная организация осуществляет мониторинг безопасности лекарственных препаратов, находящихся в обращении на рынке Республики Казахстан с целью непрерывной оценки соотношения польза-риск на протяжении всего периода нахождения в обращении лекарственных препаратов, повышения безопасности пациентов и обеспечения защиты здоровья населения.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Уполномоченная организация обеспечивает предоставление всех данных по каждой из процедур по фармаконадзору в уполномоченный орган в соответствии с действующим законодательством Республики Казахстан и настоящим Стандартом.</w:t>
            </w:r>
          </w:p>
          <w:p>
            <w:pPr>
              <w:spacing w:after="20"/>
              <w:ind w:left="20"/>
              <w:jc w:val="both"/>
            </w:pPr>
            <w:r>
              <w:rPr>
                <w:rFonts w:ascii="Times New Roman"/>
                <w:b w:val="false"/>
                <w:i w:val="false"/>
                <w:color w:val="000000"/>
                <w:sz w:val="20"/>
              </w:rPr>
              <w:t xml:space="preserve">
   2.20.3. Задачи и обязанности уполномоченного органа и уполномоченной организации по фармаконадзору включают сотрудничество с международными организациями по вопросам безопасности лекарственных препаратов и внедрение мер по минимизации риска при принятии соответствующих решений. </w:t>
            </w:r>
          </w:p>
          <w:p>
            <w:pPr>
              <w:spacing w:after="20"/>
              <w:ind w:left="20"/>
              <w:jc w:val="both"/>
            </w:pPr>
            <w:r>
              <w:rPr>
                <w:rFonts w:ascii="Times New Roman"/>
                <w:b w:val="false"/>
                <w:i w:val="false"/>
                <w:color w:val="000000"/>
                <w:sz w:val="20"/>
              </w:rPr>
              <w:t>
   2.20.4. Уполномоченный орган, уполномоченная организация проводят проверку осуществления держателем регистрационного удостоверения фармаконадзора лекарственных препаратов на территории Республики Казахстан, включая инспекции систем фармаконадзора держателя регистрационного удостоверения.</w:t>
            </w:r>
          </w:p>
          <w:p>
            <w:pPr>
              <w:spacing w:after="20"/>
              <w:ind w:left="20"/>
              <w:jc w:val="both"/>
            </w:pPr>
            <w:r>
              <w:rPr>
                <w:rFonts w:ascii="Times New Roman"/>
                <w:b w:val="false"/>
                <w:i w:val="false"/>
                <w:color w:val="000000"/>
                <w:sz w:val="20"/>
              </w:rPr>
              <w:t>
   </w:t>
            </w:r>
            <w:r>
              <w:rPr>
                <w:rFonts w:ascii="Times New Roman"/>
                <w:b/>
                <w:i w:val="false"/>
                <w:color w:val="000000"/>
                <w:sz w:val="20"/>
              </w:rPr>
              <w:t>2.21. Планирование готовности к фармаконадзору при экстренных ситуациях в общественном здравоохранении</w:t>
            </w:r>
          </w:p>
          <w:p>
            <w:pPr>
              <w:spacing w:after="20"/>
              <w:ind w:left="20"/>
              <w:jc w:val="both"/>
            </w:pPr>
            <w:r>
              <w:rPr>
                <w:rFonts w:ascii="Times New Roman"/>
                <w:b w:val="false"/>
                <w:i w:val="false"/>
                <w:color w:val="000000"/>
                <w:sz w:val="20"/>
              </w:rPr>
              <w:t>
   2.21.1. Системы фармаконадзора держателя регистрационного удостоверения и уполномоченного органа, уполномоченной организации адаптируются к экстренным ситуациям в общественном здравоохранении. По мере необходимости обеспечивается разработка планов готовности.</w:t>
            </w:r>
          </w:p>
          <w:p>
            <w:pPr>
              <w:spacing w:after="20"/>
              <w:ind w:left="20"/>
              <w:jc w:val="both"/>
            </w:pPr>
            <w:r>
              <w:rPr>
                <w:rFonts w:ascii="Times New Roman"/>
                <w:b w:val="false"/>
                <w:i w:val="false"/>
                <w:color w:val="000000"/>
                <w:sz w:val="20"/>
              </w:rPr>
              <w:t>
   Требования фармаконадзора к экстренным ситуациям в общественном здравоохранении оценивает уполномоченный орган на индивидуальной основе. О требованиях фармаконадзора сообщают держателю регистрационного удостоверения и общественности. Уполномоченный орган обеспечивает публикацию уведомления об экстренных ситуациях на официальном веб-портале.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Мастер-файл системы фармаконадзора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Структуры и процессы</w:t>
            </w:r>
          </w:p>
          <w:p>
            <w:pPr>
              <w:spacing w:after="20"/>
              <w:ind w:left="20"/>
              <w:jc w:val="both"/>
            </w:pPr>
            <w:r>
              <w:rPr>
                <w:rFonts w:ascii="Times New Roman"/>
                <w:b w:val="false"/>
                <w:i w:val="false"/>
                <w:color w:val="000000"/>
                <w:sz w:val="20"/>
              </w:rPr>
              <w:t>
   3.1.1. Мастер-файл системы фармаконадзора предназначен для описания системы фармаконадзора и документированного подтверждения ее соответствия требованиям действующего законодательства Республики Казахстан. Мастер-файл позволяет надлежащим образом осуществить планирование и выполнение аудитов системы фармаконадзора держателем регистрационного удостоверения, а также инспектирований уполномоченным органом. Мастер-файл включает обзор системы фармаконадзора держателя регистрационного удостоверения, что позволяет сделать ее общую оценку уполномоченными органами на регистрационном и пострегистрационном этапах.</w:t>
            </w:r>
          </w:p>
          <w:p>
            <w:pPr>
              <w:spacing w:after="20"/>
              <w:ind w:left="20"/>
              <w:jc w:val="both"/>
            </w:pPr>
            <w:r>
              <w:rPr>
                <w:rFonts w:ascii="Times New Roman"/>
                <w:b w:val="false"/>
                <w:i w:val="false"/>
                <w:color w:val="000000"/>
                <w:sz w:val="20"/>
              </w:rPr>
              <w:t xml:space="preserve">
   3.1.2. Составление мастер-файла и поддержание информации в нем на актуальном уровне позволяет держателю регистрационного удостоверения и уполномоченному лицу по фармаконадзору: </w:t>
            </w:r>
          </w:p>
          <w:p>
            <w:pPr>
              <w:spacing w:after="20"/>
              <w:ind w:left="20"/>
              <w:jc w:val="both"/>
            </w:pPr>
            <w:r>
              <w:rPr>
                <w:rFonts w:ascii="Times New Roman"/>
                <w:b w:val="false"/>
                <w:i w:val="false"/>
                <w:color w:val="000000"/>
                <w:sz w:val="20"/>
              </w:rPr>
              <w:t>
   1) убедиться в том, что система фармаконадзора внедрена согласно требованиям действующего законодательства Республики Казахстан и настоящего Стандарта;</w:t>
            </w:r>
          </w:p>
          <w:p>
            <w:pPr>
              <w:spacing w:after="20"/>
              <w:ind w:left="20"/>
              <w:jc w:val="both"/>
            </w:pPr>
            <w:r>
              <w:rPr>
                <w:rFonts w:ascii="Times New Roman"/>
                <w:b w:val="false"/>
                <w:i w:val="false"/>
                <w:color w:val="000000"/>
                <w:sz w:val="20"/>
              </w:rPr>
              <w:t>
   2) подтвердить соответствие системы действующим требованиям;</w:t>
            </w:r>
          </w:p>
          <w:p>
            <w:pPr>
              <w:spacing w:after="20"/>
              <w:ind w:left="20"/>
              <w:jc w:val="both"/>
            </w:pPr>
            <w:r>
              <w:rPr>
                <w:rFonts w:ascii="Times New Roman"/>
                <w:b w:val="false"/>
                <w:i w:val="false"/>
                <w:color w:val="000000"/>
                <w:sz w:val="20"/>
              </w:rPr>
              <w:t>
   3) получить информацию о недостатках системы или выявить несоблюдение требований;</w:t>
            </w:r>
          </w:p>
          <w:p>
            <w:pPr>
              <w:spacing w:after="20"/>
              <w:ind w:left="20"/>
              <w:jc w:val="both"/>
            </w:pPr>
            <w:r>
              <w:rPr>
                <w:rFonts w:ascii="Times New Roman"/>
                <w:b w:val="false"/>
                <w:i w:val="false"/>
                <w:color w:val="000000"/>
                <w:sz w:val="20"/>
              </w:rPr>
              <w:t>
   4) получить информацию о рисках или неэффективности выполнения определенных направлений деятельности по фармаконадзору.</w:t>
            </w:r>
          </w:p>
          <w:p>
            <w:pPr>
              <w:spacing w:after="20"/>
              <w:ind w:left="20"/>
              <w:jc w:val="both"/>
            </w:pPr>
            <w:r>
              <w:rPr>
                <w:rFonts w:ascii="Times New Roman"/>
                <w:b w:val="false"/>
                <w:i w:val="false"/>
                <w:color w:val="000000"/>
                <w:sz w:val="20"/>
              </w:rPr>
              <w:t>
   3.1.3. Использование информации мастер-файла способствует оптимизации процесса надлежащего управления системой, а также совершенствования системы фармаконадзора. Требования к представлению краткого описания системы фармаконадзора держателя регистрационного удостоверения в форме мастер-файла, а также хронология внесения изменений соответствующим органом облегчают планирование и эффективное проведение инспекций уполномоченным органом на основании метода оценки рисков.</w:t>
            </w:r>
          </w:p>
          <w:p>
            <w:pPr>
              <w:spacing w:after="20"/>
              <w:ind w:left="20"/>
              <w:jc w:val="both"/>
            </w:pPr>
            <w:r>
              <w:rPr>
                <w:rFonts w:ascii="Times New Roman"/>
                <w:b w:val="false"/>
                <w:i w:val="false"/>
                <w:color w:val="000000"/>
                <w:sz w:val="20"/>
              </w:rPr>
              <w:t>
   </w:t>
            </w:r>
            <w:r>
              <w:rPr>
                <w:rFonts w:ascii="Times New Roman"/>
                <w:b/>
                <w:i w:val="false"/>
                <w:color w:val="000000"/>
                <w:sz w:val="20"/>
              </w:rPr>
              <w:t>3.2. Регистрация и поддержание мастер-файла</w:t>
            </w:r>
          </w:p>
          <w:p>
            <w:pPr>
              <w:spacing w:after="20"/>
              <w:ind w:left="20"/>
              <w:jc w:val="both"/>
            </w:pPr>
            <w:r>
              <w:rPr>
                <w:rFonts w:ascii="Times New Roman"/>
                <w:b w:val="false"/>
                <w:i w:val="false"/>
                <w:color w:val="000000"/>
                <w:sz w:val="20"/>
              </w:rPr>
              <w:t>
   3.2.1. Местонахождение</w:t>
            </w:r>
          </w:p>
          <w:p>
            <w:pPr>
              <w:spacing w:after="20"/>
              <w:ind w:left="20"/>
              <w:jc w:val="both"/>
            </w:pPr>
            <w:r>
              <w:rPr>
                <w:rFonts w:ascii="Times New Roman"/>
                <w:b w:val="false"/>
                <w:i w:val="false"/>
                <w:color w:val="000000"/>
                <w:sz w:val="20"/>
              </w:rPr>
              <w:t>
   Мастер-файл системы фармаконадзора находится в пределах Республики Казахстан либо в месте выполнения основной деятельности по фармаконадзору, либо в месте, в котором квалифицированное лицо отвечает за осуществление фармаконадзора, независимо от формата (бумажный или электронный). Уполномоченная организация информируется о месте расположения мастер-файла, а также незамедлительно информируется о любых изменениях в его расположении. Требуемая информация по расположению мастер-файла включает указание физического адреса офиса держателя регистрационного удостоверения или третьей стороны по контракту. Допускается отличие этого адреса от адреса заявителя (держателя) регистрационного удостоверения (другой офис держателя регистрационного удостоверения) или в случае выполнения основной деятельности третьей стороной по контракту. При определении основного места осуществления деятельности по фармаконадзору держатель регистрационного удостоверения учитывает наиболее значимое местонахождение для системы фармаконадзора в целом. Держатель регистрационного удостоверения имеет соответствующее обоснование принятия решения о расположении мастер-файла. В ситуации, когда основная деятельность осуществляется за пределами Республики Казахстан или невозможно определить основное местонахождение, по умолчанию местонахождением мастер-файла является место осуществления деятельности уполномоченного лица по фармаконадзору.</w:t>
            </w:r>
          </w:p>
          <w:p>
            <w:pPr>
              <w:spacing w:after="20"/>
              <w:ind w:left="20"/>
              <w:jc w:val="both"/>
            </w:pPr>
            <w:r>
              <w:rPr>
                <w:rFonts w:ascii="Times New Roman"/>
                <w:b w:val="false"/>
                <w:i w:val="false"/>
                <w:color w:val="000000"/>
                <w:sz w:val="20"/>
              </w:rPr>
              <w:t>
   </w:t>
            </w:r>
            <w:r>
              <w:rPr>
                <w:rFonts w:ascii="Times New Roman"/>
                <w:b/>
                <w:i w:val="false"/>
                <w:color w:val="000000"/>
                <w:sz w:val="20"/>
              </w:rPr>
              <w:t>3.2.2. Передача обязанностей по мастер-файлу системы фармаконадзора</w:t>
            </w:r>
          </w:p>
          <w:p>
            <w:pPr>
              <w:spacing w:after="20"/>
              <w:ind w:left="20"/>
              <w:jc w:val="both"/>
            </w:pPr>
            <w:r>
              <w:rPr>
                <w:rFonts w:ascii="Times New Roman"/>
                <w:b w:val="false"/>
                <w:i w:val="false"/>
                <w:color w:val="000000"/>
                <w:sz w:val="20"/>
              </w:rPr>
              <w:t>
   3.2.2.1. Передача или делегирование обязанностей и деятельности по мастер-файлу системы фармаконадзора оформляется документально и контролируется с целью подтверждения выполнения держателем регистрационного удостоверения своих обязанностей. Уполномоченное лица по фармаконадзору информируется об изменениях, вносимых в мастер-файл системы фармаконадзора в целях выполнения им полномочий по внесению изменений с целью совершенствования системы. Типы изменений, о которых незамедлительно информируется уполномоченное лицо по фармаконадзору:</w:t>
            </w:r>
          </w:p>
          <w:p>
            <w:pPr>
              <w:spacing w:after="20"/>
              <w:ind w:left="20"/>
              <w:jc w:val="both"/>
            </w:pPr>
            <w:r>
              <w:rPr>
                <w:rFonts w:ascii="Times New Roman"/>
                <w:b w:val="false"/>
                <w:i w:val="false"/>
                <w:color w:val="000000"/>
                <w:sz w:val="20"/>
              </w:rPr>
              <w:t>
   1) изменения в мастер-файле системы фармаконадзора или изменение его местонахождения сообщаются в уполномоченный орган;</w:t>
            </w:r>
          </w:p>
          <w:p>
            <w:pPr>
              <w:spacing w:after="20"/>
              <w:ind w:left="20"/>
              <w:jc w:val="both"/>
            </w:pPr>
            <w:r>
              <w:rPr>
                <w:rFonts w:ascii="Times New Roman"/>
                <w:b w:val="false"/>
                <w:i w:val="false"/>
                <w:color w:val="000000"/>
                <w:sz w:val="20"/>
              </w:rPr>
              <w:t>
   2) добавление корректирующих и (или) предупреждающих мероприятий в мастер-файл системы фармаконадзора (по результатам аудитов и инспекций) и управление отклонениями от процессов, указанных в системе управления качеством системы фармаконадзора;</w:t>
            </w:r>
          </w:p>
          <w:p>
            <w:pPr>
              <w:spacing w:after="20"/>
              <w:ind w:left="20"/>
              <w:jc w:val="both"/>
            </w:pPr>
            <w:r>
              <w:rPr>
                <w:rFonts w:ascii="Times New Roman"/>
                <w:b w:val="false"/>
                <w:i w:val="false"/>
                <w:color w:val="000000"/>
                <w:sz w:val="20"/>
              </w:rPr>
              <w:t>
   3) изменения информации в мастер-файле, которые удовлетворяют критериям надлежащего контроля системы фармаконадзора (в рамках мощности системы, функционирования и соблюдения требований);</w:t>
            </w:r>
          </w:p>
          <w:p>
            <w:pPr>
              <w:spacing w:after="20"/>
              <w:ind w:left="20"/>
              <w:jc w:val="both"/>
            </w:pPr>
            <w:r>
              <w:rPr>
                <w:rFonts w:ascii="Times New Roman"/>
                <w:b w:val="false"/>
                <w:i w:val="false"/>
                <w:color w:val="000000"/>
                <w:sz w:val="20"/>
              </w:rPr>
              <w:t>
   4) изменения в установленной договоренности о представлении мастер-файла системы фармаконадзора в уполномоченный орган.</w:t>
            </w:r>
          </w:p>
          <w:p>
            <w:pPr>
              <w:spacing w:after="20"/>
              <w:ind w:left="20"/>
              <w:jc w:val="both"/>
            </w:pPr>
            <w:r>
              <w:rPr>
                <w:rFonts w:ascii="Times New Roman"/>
                <w:b w:val="false"/>
                <w:i w:val="false"/>
                <w:color w:val="000000"/>
                <w:sz w:val="20"/>
              </w:rPr>
              <w:t>
   3.2.2.2. Уполномоченное лицо по фармаконадзору обеспечивает в письменном виде подтверждение его уведомления в отношении следующих изменений:</w:t>
            </w:r>
          </w:p>
          <w:p>
            <w:pPr>
              <w:spacing w:after="20"/>
              <w:ind w:left="20"/>
              <w:jc w:val="both"/>
            </w:pPr>
            <w:r>
              <w:rPr>
                <w:rFonts w:ascii="Times New Roman"/>
                <w:b w:val="false"/>
                <w:i w:val="false"/>
                <w:color w:val="000000"/>
                <w:sz w:val="20"/>
              </w:rPr>
              <w:t>
   1) включение лекарственных препаратов в систему фармаконадзора, за которую отвечает уполномоченное лицо в фармаконадзору;</w:t>
            </w:r>
          </w:p>
          <w:p>
            <w:pPr>
              <w:spacing w:after="20"/>
              <w:ind w:left="20"/>
              <w:jc w:val="both"/>
            </w:pPr>
            <w:r>
              <w:rPr>
                <w:rFonts w:ascii="Times New Roman"/>
                <w:b w:val="false"/>
                <w:i w:val="false"/>
                <w:color w:val="000000"/>
                <w:sz w:val="20"/>
              </w:rPr>
              <w:t>
   2) передача обязанностей по системе фармаконадзора уполномоченному лицу по фармаконадзору.</w:t>
            </w:r>
          </w:p>
          <w:p>
            <w:pPr>
              <w:spacing w:after="20"/>
              <w:ind w:left="20"/>
              <w:jc w:val="both"/>
            </w:pPr>
            <w:r>
              <w:rPr>
                <w:rFonts w:ascii="Times New Roman"/>
                <w:b w:val="false"/>
                <w:i w:val="false"/>
                <w:color w:val="000000"/>
                <w:sz w:val="20"/>
              </w:rPr>
              <w:t>
   </w:t>
            </w:r>
            <w:r>
              <w:rPr>
                <w:rFonts w:ascii="Times New Roman"/>
                <w:b/>
                <w:i w:val="false"/>
                <w:color w:val="000000"/>
                <w:sz w:val="20"/>
              </w:rPr>
              <w:t>3.3. Описание систем фармаконадзора</w:t>
            </w:r>
          </w:p>
          <w:p>
            <w:pPr>
              <w:spacing w:after="20"/>
              <w:ind w:left="20"/>
              <w:jc w:val="both"/>
            </w:pPr>
            <w:r>
              <w:rPr>
                <w:rFonts w:ascii="Times New Roman"/>
                <w:b w:val="false"/>
                <w:i w:val="false"/>
                <w:color w:val="000000"/>
                <w:sz w:val="20"/>
              </w:rPr>
              <w:t>
   В мастер-файле системы фармаконадзора описывается система фармаконадзора одного или более лекарственных препаратов держателя регистрационного удостоверения. К разным категориям лекарственных препаратов держателя регистрационного удостоверения применяется разная система фармаконадзора. Каждая такая система описывается в отдельном мастер-файле системы фармаконадзора. Данные мастер-файлы охватывают все лекарственные препараты держателя регистрационного удостоверения, на которые выдано удостоверение о государственной регистрации.</w:t>
            </w:r>
          </w:p>
          <w:p>
            <w:pPr>
              <w:spacing w:after="20"/>
              <w:ind w:left="20"/>
              <w:jc w:val="both"/>
            </w:pPr>
            <w:r>
              <w:rPr>
                <w:rFonts w:ascii="Times New Roman"/>
                <w:b w:val="false"/>
                <w:i w:val="false"/>
                <w:color w:val="000000"/>
                <w:sz w:val="20"/>
              </w:rPr>
              <w:t>
   1) в случае если у держателя регистрационного удостоверения функционирует более одной системы фармаконадзора (специфические системы фармаконадзора для определенных видов лекарственных препаратов - вакцины, санитарно-гигиеническая продукция) или система фармаконадзора охватывает лекарственные препараты более одного держателя регистрационного удостоверения, представляется один мастер-файл системы фармаконадзора, описывающий каждую систему.</w:t>
            </w:r>
          </w:p>
          <w:p>
            <w:pPr>
              <w:spacing w:after="20"/>
              <w:ind w:left="20"/>
              <w:jc w:val="both"/>
            </w:pPr>
            <w:r>
              <w:rPr>
                <w:rFonts w:ascii="Times New Roman"/>
                <w:b w:val="false"/>
                <w:i w:val="false"/>
                <w:color w:val="000000"/>
                <w:sz w:val="20"/>
              </w:rPr>
              <w:t>
   2) держателем регистрационного удостоверения назначается уполномоченное лицо по фармаконадзору, ответственное за создание и ведение системы фармаконадзора, описанной в мастер-файле системы фармаконадзора.</w:t>
            </w:r>
          </w:p>
          <w:p>
            <w:pPr>
              <w:spacing w:after="20"/>
              <w:ind w:left="20"/>
              <w:jc w:val="both"/>
            </w:pPr>
            <w:r>
              <w:rPr>
                <w:rFonts w:ascii="Times New Roman"/>
                <w:b w:val="false"/>
                <w:i w:val="false"/>
                <w:color w:val="000000"/>
                <w:sz w:val="20"/>
              </w:rPr>
              <w:t xml:space="preserve">
   3) если одна система фармаконадзора используется несколькими держателями регистрационного удостоверения, каждый держатель регистрационного удостоверения обеспечивает ответственность за наличие мастер-файла системы фармаконадзора, в котором описана система фармаконадзора выпускаемой им продукции. Держатель регистрационного удостоверения имеет право делегировать через письменное соглашение (партнеру по лицензии или субподрядчику) часть или всю деятельность по фармаконадзору, за надлежащее выполнение которой несет ответственность держатель регистрационного удостоверения. В этом случае мастер-файл системы фармаконадзора держателя регистрационного удостоверения имеет перекрестную ссылку на весь или часть мастер-файла системы фармаконадзора, управляемого системой стороны, которой была делегирована деятельность на основании соглашения о доступе к данной информации о системе со стороны держателя регистрационного удостоверения и уполномоченного органа. Держатель регистрационного удостоверения обеспечивает соответствие содержания ссылочного файла системе фармаконадзора, применимой к лекарственному препарату. </w:t>
            </w:r>
          </w:p>
          <w:p>
            <w:pPr>
              <w:spacing w:after="20"/>
              <w:ind w:left="20"/>
              <w:jc w:val="both"/>
            </w:pPr>
            <w:r>
              <w:rPr>
                <w:rFonts w:ascii="Times New Roman"/>
                <w:b w:val="false"/>
                <w:i w:val="false"/>
                <w:color w:val="000000"/>
                <w:sz w:val="20"/>
              </w:rPr>
              <w:t>
   4) в соответствующих случаях в приложении указывается перечень всех мастер-файлов системы фармаконадзора, поддерживаемых одним держателем регистрационного удостоверения. В прилагаемую информацию включаются данные по местонахождению мастер-файла, информация об уполномоченном лице по фармаконадзору и соответствующем лекарственном препарате.</w:t>
            </w:r>
          </w:p>
          <w:p>
            <w:pPr>
              <w:spacing w:after="20"/>
              <w:ind w:left="20"/>
              <w:jc w:val="both"/>
            </w:pPr>
            <w:r>
              <w:rPr>
                <w:rFonts w:ascii="Times New Roman"/>
                <w:b w:val="false"/>
                <w:i w:val="false"/>
                <w:color w:val="000000"/>
                <w:sz w:val="20"/>
              </w:rPr>
              <w:t xml:space="preserve">
   5) в краткой информации, представляемой в уполномоченную организацию, не указывается несколько местонахождений одного мастер-файла системы фармаконадзора. </w:t>
            </w:r>
          </w:p>
          <w:p>
            <w:pPr>
              <w:spacing w:after="20"/>
              <w:ind w:left="20"/>
              <w:jc w:val="both"/>
            </w:pPr>
            <w:r>
              <w:rPr>
                <w:rFonts w:ascii="Times New Roman"/>
                <w:b w:val="false"/>
                <w:i w:val="false"/>
                <w:color w:val="000000"/>
                <w:sz w:val="20"/>
              </w:rPr>
              <w:t>
   6) при делегировании деятельности по системе фармаконадзора и ее мастер-файлу держатель регистрационного удостоверения сохраняет за собой полную ответственность за систему фармаконадзора, представление информации о расположении мастер-файла системы фармаконадзора, ведении мастер-файла системы фармаконадзора и его представлении в уполномоченный орган по запросу. Кроме того, предоставляются письменные соглашения с описанием функций и обязанностей по мастер-файлу системы фармаконадзора, его представлению и поддержанию, а также осуществлению фармаконадзора согласно требованиям действующего законодательства Республики Казахстан.</w:t>
            </w:r>
          </w:p>
          <w:p>
            <w:pPr>
              <w:spacing w:after="20"/>
              <w:ind w:left="20"/>
              <w:jc w:val="both"/>
            </w:pPr>
            <w:r>
              <w:rPr>
                <w:rFonts w:ascii="Times New Roman"/>
                <w:b w:val="false"/>
                <w:i w:val="false"/>
                <w:color w:val="000000"/>
                <w:sz w:val="20"/>
              </w:rPr>
              <w:t>
   7) при использовании системы фармаконадзора несколькими держателями регистрационного удостоверения рекомендуется согласование партнеров о совместном ведении соответствующих разделов в рамках своих собственных мастер-файлов в системе. О доступности мастер-файла системы фармаконадзора для всех соответствующих держателей регистрационного удостоверения и его представлении в уполномоченную организацию указывается в письменных соглашениях. Держатель регистрационного удостоверения обязан убедиться в выполнении всех соответствующих требований системы фармаконадзора, распространяемой на его продукцию.</w:t>
            </w:r>
          </w:p>
          <w:p>
            <w:pPr>
              <w:spacing w:after="20"/>
              <w:ind w:left="20"/>
              <w:jc w:val="both"/>
            </w:pPr>
            <w:r>
              <w:rPr>
                <w:rFonts w:ascii="Times New Roman"/>
                <w:b w:val="false"/>
                <w:i w:val="false"/>
                <w:color w:val="000000"/>
                <w:sz w:val="20"/>
              </w:rPr>
              <w:t>
   </w:t>
            </w:r>
            <w:r>
              <w:rPr>
                <w:rFonts w:ascii="Times New Roman"/>
                <w:b/>
                <w:i w:val="false"/>
                <w:color w:val="000000"/>
                <w:sz w:val="20"/>
              </w:rPr>
              <w:t>3.4. Обязательная информация в мастер-файле системы фармаконадзора</w:t>
            </w:r>
          </w:p>
          <w:p>
            <w:pPr>
              <w:spacing w:after="20"/>
              <w:ind w:left="20"/>
              <w:jc w:val="both"/>
            </w:pPr>
            <w:r>
              <w:rPr>
                <w:rFonts w:ascii="Times New Roman"/>
                <w:b w:val="false"/>
                <w:i w:val="false"/>
                <w:color w:val="000000"/>
                <w:sz w:val="20"/>
              </w:rPr>
              <w:t>
   Мастер-файл системы фармаконадзора включает соответствующие документы с описанием системы фармаконадзора. Содержание мастер-файла системы фармаконадзора отражает глобальную доступность информации о безопасности лекарственных препаратов, зарегистрированных в Республике Казахстан. Содержание имеет оглавление с целью обеспечения возможности быстро ориентироваться в документе.</w:t>
            </w:r>
          </w:p>
          <w:p>
            <w:pPr>
              <w:spacing w:after="20"/>
              <w:ind w:left="20"/>
              <w:jc w:val="both"/>
            </w:pPr>
            <w:r>
              <w:rPr>
                <w:rFonts w:ascii="Times New Roman"/>
                <w:b w:val="false"/>
                <w:i w:val="false"/>
                <w:color w:val="000000"/>
                <w:sz w:val="20"/>
              </w:rPr>
              <w:t>
   3.4.1. Раздел мастер-файла об уполномоченном лице по фармаконадзору.</w:t>
            </w:r>
          </w:p>
          <w:p>
            <w:pPr>
              <w:spacing w:after="20"/>
              <w:ind w:left="20"/>
              <w:jc w:val="both"/>
            </w:pPr>
            <w:r>
              <w:rPr>
                <w:rFonts w:ascii="Times New Roman"/>
                <w:b w:val="false"/>
                <w:i w:val="false"/>
                <w:color w:val="000000"/>
                <w:sz w:val="20"/>
              </w:rPr>
              <w:t>
   Информация по уполномоченному лицу по фармаконадзору в мастер-файле включает:</w:t>
            </w:r>
          </w:p>
          <w:p>
            <w:pPr>
              <w:spacing w:after="20"/>
              <w:ind w:left="20"/>
              <w:jc w:val="both"/>
            </w:pPr>
            <w:r>
              <w:rPr>
                <w:rFonts w:ascii="Times New Roman"/>
                <w:b w:val="false"/>
                <w:i w:val="false"/>
                <w:color w:val="000000"/>
                <w:sz w:val="20"/>
              </w:rPr>
              <w:t>
   1) описание обязанностей, гарантирующих наличие у уполномоченного лица по фармаконадзору соответствующих полномочий по системе фармаконадзора с целью обеспечения, содействия и повышения уровня соответствия требованиям;</w:t>
            </w:r>
          </w:p>
          <w:p>
            <w:pPr>
              <w:spacing w:after="20"/>
              <w:ind w:left="20"/>
              <w:jc w:val="both"/>
            </w:pPr>
            <w:r>
              <w:rPr>
                <w:rFonts w:ascii="Times New Roman"/>
                <w:b w:val="false"/>
                <w:i w:val="false"/>
                <w:color w:val="000000"/>
                <w:sz w:val="20"/>
              </w:rPr>
              <w:t>
   2) краткое резюме с ключевой информацией по роли уполномоченного лица по фармаконадзору;</w:t>
            </w:r>
          </w:p>
          <w:p>
            <w:pPr>
              <w:spacing w:after="20"/>
              <w:ind w:left="20"/>
              <w:jc w:val="both"/>
            </w:pPr>
            <w:r>
              <w:rPr>
                <w:rFonts w:ascii="Times New Roman"/>
                <w:b w:val="false"/>
                <w:i w:val="false"/>
                <w:color w:val="000000"/>
                <w:sz w:val="20"/>
              </w:rPr>
              <w:t>
   3) контактную информацию по уполномоченному лицу по фармаконадзору. Представленная контактная информация включает фамилию, почтовый адрес, номер телефона, факса, электронную почту и рабочий адрес уполномоченного лица;</w:t>
            </w:r>
          </w:p>
          <w:p>
            <w:pPr>
              <w:spacing w:after="20"/>
              <w:ind w:left="20"/>
              <w:jc w:val="both"/>
            </w:pPr>
            <w:r>
              <w:rPr>
                <w:rFonts w:ascii="Times New Roman"/>
                <w:b w:val="false"/>
                <w:i w:val="false"/>
                <w:color w:val="000000"/>
                <w:sz w:val="20"/>
              </w:rPr>
              <w:t xml:space="preserve">
   4) информацию о применении резервных соглашений в случае отсутствия уполномоченного лица, ответственного за фармаконадзор. </w:t>
            </w:r>
          </w:p>
          <w:p>
            <w:pPr>
              <w:spacing w:after="20"/>
              <w:ind w:left="20"/>
              <w:jc w:val="both"/>
            </w:pPr>
            <w:r>
              <w:rPr>
                <w:rFonts w:ascii="Times New Roman"/>
                <w:b w:val="false"/>
                <w:i w:val="false"/>
                <w:color w:val="000000"/>
                <w:sz w:val="20"/>
              </w:rPr>
              <w:t>
   В случае делегирования определенных задач уполномоченным лицом по фармаконадзору иному исполнителю, перечень делегированных задач включается в приложения с указанием описания делегированной деятельности и кому она была делегирована.</w:t>
            </w:r>
          </w:p>
          <w:p>
            <w:pPr>
              <w:spacing w:after="20"/>
              <w:ind w:left="20"/>
              <w:jc w:val="both"/>
            </w:pPr>
            <w:r>
              <w:rPr>
                <w:rFonts w:ascii="Times New Roman"/>
                <w:b w:val="false"/>
                <w:i w:val="false"/>
                <w:color w:val="000000"/>
                <w:sz w:val="20"/>
              </w:rPr>
              <w:t>
   5) описание квалификации уполномоченного лица по фармаконадзору и опыта, имеющего отношение к деятельности по фармаконадзору.</w:t>
            </w:r>
          </w:p>
          <w:p>
            <w:pPr>
              <w:spacing w:after="20"/>
              <w:ind w:left="20"/>
              <w:jc w:val="both"/>
            </w:pPr>
            <w:r>
              <w:rPr>
                <w:rFonts w:ascii="Times New Roman"/>
                <w:b w:val="false"/>
                <w:i w:val="false"/>
                <w:color w:val="000000"/>
                <w:sz w:val="20"/>
              </w:rPr>
              <w:t>
   3.4.2. Раздел мастер-файла об организационной структуре держателя регистрационного удостоверения</w:t>
            </w:r>
          </w:p>
          <w:p>
            <w:pPr>
              <w:spacing w:after="20"/>
              <w:ind w:left="20"/>
              <w:jc w:val="both"/>
            </w:pPr>
            <w:r>
              <w:rPr>
                <w:rFonts w:ascii="Times New Roman"/>
                <w:b w:val="false"/>
                <w:i w:val="false"/>
                <w:color w:val="000000"/>
                <w:sz w:val="20"/>
              </w:rPr>
              <w:t>
   3.4.2.1. Описание организационной структуры соответствующей системы фармаконадзора держателя регистрационного удостоверения предусматривает четкое представление о задействованной компании, основных отделах фармаконадзора и взаимоотношениях между организациями и структурными единицами, имеющими отношение к выполнению деятельности по фармаконадзору. В данном разделе мастер-файла отображается:</w:t>
            </w:r>
          </w:p>
          <w:p>
            <w:pPr>
              <w:spacing w:after="20"/>
              <w:ind w:left="20"/>
              <w:jc w:val="both"/>
            </w:pPr>
            <w:r>
              <w:rPr>
                <w:rFonts w:ascii="Times New Roman"/>
                <w:b w:val="false"/>
                <w:i w:val="false"/>
                <w:color w:val="000000"/>
                <w:sz w:val="20"/>
              </w:rPr>
              <w:t>
   1) организационная структура держателя регистрационного удостоверения, включая указание положения уполномоченного лица по фармаконадзору в организации.</w:t>
            </w:r>
          </w:p>
          <w:p>
            <w:pPr>
              <w:spacing w:after="20"/>
              <w:ind w:left="20"/>
              <w:jc w:val="both"/>
            </w:pPr>
            <w:r>
              <w:rPr>
                <w:rFonts w:ascii="Times New Roman"/>
                <w:b w:val="false"/>
                <w:i w:val="false"/>
                <w:color w:val="000000"/>
                <w:sz w:val="20"/>
              </w:rPr>
              <w:t>
   2) месторасположение, в котором осуществляется деятельность по фармаконадзору, включая сбор и оценку индивидуальных сообщений о нежелательных реакциях, ввод сообщений в базу данных по безопасности, подготовку ПОБ, выявление и анализ сигналов, ведение планов управления рисками, управление проведением пред- и пострегистрационными исследованиями (испытаниями) и управление изменениями, вносимыми в информацию о безопасности лекарственного препарата.</w:t>
            </w:r>
          </w:p>
          <w:p>
            <w:pPr>
              <w:spacing w:after="20"/>
              <w:ind w:left="20"/>
              <w:jc w:val="both"/>
            </w:pPr>
            <w:r>
              <w:rPr>
                <w:rFonts w:ascii="Times New Roman"/>
                <w:b w:val="false"/>
                <w:i w:val="false"/>
                <w:color w:val="000000"/>
                <w:sz w:val="20"/>
              </w:rPr>
              <w:t>
   3.4.2.2. Делегированная деятельность</w:t>
            </w:r>
          </w:p>
          <w:p>
            <w:pPr>
              <w:spacing w:after="20"/>
              <w:ind w:left="20"/>
              <w:jc w:val="both"/>
            </w:pPr>
            <w:r>
              <w:rPr>
                <w:rFonts w:ascii="Times New Roman"/>
                <w:b w:val="false"/>
                <w:i w:val="false"/>
                <w:color w:val="000000"/>
                <w:sz w:val="20"/>
              </w:rPr>
              <w:t>
   3.4.2.2.1. В соответствующих случаях мастер-файл системы фармаконадзора содержит описание делегируемой деятельности и (или) услуг по выполнению обязательств по фармаконадзору.</w:t>
            </w:r>
          </w:p>
          <w:p>
            <w:pPr>
              <w:spacing w:after="20"/>
              <w:ind w:left="20"/>
              <w:jc w:val="both"/>
            </w:pPr>
            <w:r>
              <w:rPr>
                <w:rFonts w:ascii="Times New Roman"/>
                <w:b w:val="false"/>
                <w:i w:val="false"/>
                <w:color w:val="000000"/>
                <w:sz w:val="20"/>
              </w:rPr>
              <w:t>
   3.4.2.2.2. Информация в разделе включает подтверждение взаимосвязи с другими организационными структурами, а именно соглашения о совместном маркетинге и привлечении подрядчиков к деятельности по фармаконадзору. Предоставляется описание местонахождения и структуры контрактов и соглашений по выполнению деятельности по фармаконадзору. Такое описание представляется в форме перечня (таблицы): участвующие стороны, принятые на себя обязательства, соответствующий лекарственный препарат и территории. Перечень структурируется согласно видов организаций, оказывающих услуги (медицинская информация, аудиторы, провайдеры программ поддержки пациентов, обработка данных по исследованиям), коммерческим соглашениям (дистрибьюторы, партнеры по лицензии, совместный маркетинг) и другим техническим провайдерам (размещение компьютерных систем на серверах провайдера). Индивидуальные контрактные соглашения представляются по запросу уполномоченного органа или в ходе инспекции и аудита, перечень приводится в приложениях.</w:t>
            </w:r>
          </w:p>
          <w:p>
            <w:pPr>
              <w:spacing w:after="20"/>
              <w:ind w:left="20"/>
              <w:jc w:val="both"/>
            </w:pPr>
            <w:r>
              <w:rPr>
                <w:rFonts w:ascii="Times New Roman"/>
                <w:b w:val="false"/>
                <w:i w:val="false"/>
                <w:color w:val="000000"/>
                <w:sz w:val="20"/>
              </w:rPr>
              <w:t>
   3.4.2.2.3. Мастер-файл системы фармаконадзора содержит копии подписанных соглашений на делегирование значимой деятельности, а именно:</w:t>
            </w:r>
          </w:p>
          <w:p>
            <w:pPr>
              <w:spacing w:after="20"/>
              <w:ind w:left="20"/>
              <w:jc w:val="both"/>
            </w:pPr>
            <w:r>
              <w:rPr>
                <w:rFonts w:ascii="Times New Roman"/>
                <w:b w:val="false"/>
                <w:i w:val="false"/>
                <w:color w:val="000000"/>
                <w:sz w:val="20"/>
              </w:rPr>
              <w:t>
   1) оказание услуг по фармаконадзору (уполномоченное лицо по фармаконадзору, ввод данных о безопасности, подготовка ПОБ, представление индивидуальных сообщений о нежелательных реакциях в электронном виде, оценка данных о безопасности);</w:t>
            </w:r>
          </w:p>
          <w:p>
            <w:pPr>
              <w:spacing w:after="20"/>
              <w:ind w:left="20"/>
              <w:jc w:val="both"/>
            </w:pPr>
            <w:r>
              <w:rPr>
                <w:rFonts w:ascii="Times New Roman"/>
                <w:b w:val="false"/>
                <w:i w:val="false"/>
                <w:color w:val="000000"/>
                <w:sz w:val="20"/>
              </w:rPr>
              <w:t>
   2) делегирование деятельности по мастер-файлу системы фармаконадзора.</w:t>
            </w:r>
          </w:p>
          <w:p>
            <w:pPr>
              <w:spacing w:after="20"/>
              <w:ind w:left="20"/>
              <w:jc w:val="both"/>
            </w:pPr>
            <w:r>
              <w:rPr>
                <w:rFonts w:ascii="Times New Roman"/>
                <w:b w:val="false"/>
                <w:i w:val="false"/>
                <w:color w:val="000000"/>
                <w:sz w:val="20"/>
              </w:rPr>
              <w:t>
   3.4.3. Раздел мастер-файла об источниках получения данных о безопасности</w:t>
            </w:r>
          </w:p>
          <w:p>
            <w:pPr>
              <w:spacing w:after="20"/>
              <w:ind w:left="20"/>
              <w:jc w:val="both"/>
            </w:pPr>
            <w:r>
              <w:rPr>
                <w:rFonts w:ascii="Times New Roman"/>
                <w:b w:val="false"/>
                <w:i w:val="false"/>
                <w:color w:val="000000"/>
                <w:sz w:val="20"/>
              </w:rPr>
              <w:t>
   3.4.3.1. В описание основных отделов по сбору индивидуальных сообщений о нежелательных реакциях включается информация всех ответственных сторон за сбор сообщений, получаемых по запросу, и данные спонтанных сообщений о нежелательных реакциях на лекарственные препараты, зарегистрированные на территории Республики Казахстан. В описание включаются места нахождения медицинской информации и дочерние офисы. Эта информация представляется в форме списка с указанием страны, характера деятельности и лекарственного препарата (если данная деятельность зависит от вида лекарственного препарата). Информацию о третьих сторонах (партнеры по лицензии или местные дистрибьюторские (маркетинговые) соглашения) включают в раздел, в котором описаны контракты и соглашения.</w:t>
            </w:r>
          </w:p>
          <w:p>
            <w:pPr>
              <w:spacing w:after="20"/>
              <w:ind w:left="20"/>
              <w:jc w:val="both"/>
            </w:pPr>
            <w:r>
              <w:rPr>
                <w:rFonts w:ascii="Times New Roman"/>
                <w:b w:val="false"/>
                <w:i w:val="false"/>
                <w:color w:val="000000"/>
                <w:sz w:val="20"/>
              </w:rPr>
              <w:t>
   3.4.3.2. Источники информации о безопасности содержат текущий список исследований (испытаний), регистров, программ поддержки или наблюдений, спонсируемых держателем регистрационного удостоверения. В списке описывается статус каждого исследования (программы), соответствующая страна, лекарственный препарат и основные цели. Интервенционные и неинтервенционные исследования (испытания) указываются по отдельности согласно действующему веществу лекарственных препаратов. Список содержит все исследования (программы), текущие исследования (программы), а также исследования (программы), завершенные в течение последних двух лет.</w:t>
            </w:r>
          </w:p>
          <w:p>
            <w:pPr>
              <w:spacing w:after="20"/>
              <w:ind w:left="20"/>
              <w:jc w:val="both"/>
            </w:pPr>
            <w:r>
              <w:rPr>
                <w:rFonts w:ascii="Times New Roman"/>
                <w:b w:val="false"/>
                <w:i w:val="false"/>
                <w:color w:val="000000"/>
                <w:sz w:val="20"/>
              </w:rPr>
              <w:t>
   3.4.4. Раздел мастер-файла о компьютерных системах и базах данных</w:t>
            </w:r>
          </w:p>
          <w:p>
            <w:pPr>
              <w:spacing w:after="20"/>
              <w:ind w:left="20"/>
              <w:jc w:val="both"/>
            </w:pPr>
            <w:r>
              <w:rPr>
                <w:rFonts w:ascii="Times New Roman"/>
                <w:b w:val="false"/>
                <w:i w:val="false"/>
                <w:color w:val="000000"/>
                <w:sz w:val="20"/>
              </w:rPr>
              <w:t>
   3.4.4.1. В мастер-файле системы фармаконадзора описывается расположение, функциональные возможности и эксплуатационная ответственность за компьютерные системы и базы данных, используемые для получения, верификации, представления информации о безопасности и оценки ее соответствия поставленным задачам.</w:t>
            </w:r>
          </w:p>
          <w:p>
            <w:pPr>
              <w:spacing w:after="20"/>
              <w:ind w:left="20"/>
              <w:jc w:val="both"/>
            </w:pPr>
            <w:r>
              <w:rPr>
                <w:rFonts w:ascii="Times New Roman"/>
                <w:b w:val="false"/>
                <w:i w:val="false"/>
                <w:color w:val="000000"/>
                <w:sz w:val="20"/>
              </w:rPr>
              <w:t>
   3.4.4.2. В случае использования ряда компьютерных систем (баз данных) описывается их применимость к деятельности по фармаконадзору таким образом, чтобы был понятен объем компьютеризации в рамках системы фармаконадзора. Описывается статус валидации основных аспектов функциональных возможностей компьютерной системы; а также смена контроля, структура испытаний, резервные процедуры и архивы электронных данных, важные для соблюдения требований фармаконадзора, описание имеющейся документации. В отношении бумажных систем (при использовании электронной системы для срочного представления индивидуальных сообщений о нежелательных реакциях), описывается управление данными и механизмы, используемые для обеспечения целостности и доступа к данным.</w:t>
            </w:r>
          </w:p>
          <w:p>
            <w:pPr>
              <w:spacing w:after="20"/>
              <w:ind w:left="20"/>
              <w:jc w:val="both"/>
            </w:pPr>
            <w:r>
              <w:rPr>
                <w:rFonts w:ascii="Times New Roman"/>
                <w:b w:val="false"/>
                <w:i w:val="false"/>
                <w:color w:val="000000"/>
                <w:sz w:val="20"/>
              </w:rPr>
              <w:t>
   3.4.5. Раздел мастер-файла о процессах</w:t>
            </w:r>
          </w:p>
          <w:p>
            <w:pPr>
              <w:spacing w:after="20"/>
              <w:ind w:left="20"/>
              <w:jc w:val="both"/>
            </w:pPr>
            <w:r>
              <w:rPr>
                <w:rFonts w:ascii="Times New Roman"/>
                <w:b w:val="false"/>
                <w:i w:val="false"/>
                <w:color w:val="000000"/>
                <w:sz w:val="20"/>
              </w:rPr>
              <w:t>
   3.4.5.1. Важным компонентом любой системы фармаконадзора является наличие на месте осуществления деятельности письменных стандартных процедур. В разделе 2 настоящего руководства описывается требуемый минимальный набор письменных процедур фармаконадзора. В мастер-файле системы фармаконадзора описывается имеющаяся процедурная документация (ссылки на конкретные стандартные операционные процедуры, руководства), типы данных (тип данных об индивидуальных случаях нежелательных реакций) и указание на способ ведения записей (в частности, база данных по безопасности, бумажные файлы в месте получения).</w:t>
            </w:r>
          </w:p>
          <w:p>
            <w:pPr>
              <w:spacing w:after="20"/>
              <w:ind w:left="20"/>
              <w:jc w:val="both"/>
            </w:pPr>
            <w:r>
              <w:rPr>
                <w:rFonts w:ascii="Times New Roman"/>
                <w:b w:val="false"/>
                <w:i w:val="false"/>
                <w:color w:val="000000"/>
                <w:sz w:val="20"/>
              </w:rPr>
              <w:t>
   3.4.5.2. В мастер-файл системы фармаконадзора включается описание процессов, процедур обработки и регистрации данных при выполнении деятельности по фармаконадзору, содержащее следующие аспекты:</w:t>
            </w:r>
          </w:p>
          <w:p>
            <w:pPr>
              <w:spacing w:after="20"/>
              <w:ind w:left="20"/>
              <w:jc w:val="both"/>
            </w:pPr>
            <w:r>
              <w:rPr>
                <w:rFonts w:ascii="Times New Roman"/>
                <w:b w:val="false"/>
                <w:i w:val="false"/>
                <w:color w:val="000000"/>
                <w:sz w:val="20"/>
              </w:rPr>
              <w:t>
   1) постоянный мониторинг соотношения польза-риск лекарственного препарата, результат оценки и процесс принятия решения о соответствующих мерах; процесс генерирования, верификации и оценки сигналов; получение выходных данных из баз данных о безопасности, обмен данными с клиническими отделами;</w:t>
            </w:r>
          </w:p>
          <w:p>
            <w:pPr>
              <w:spacing w:after="20"/>
              <w:ind w:left="20"/>
              <w:jc w:val="both"/>
            </w:pPr>
            <w:r>
              <w:rPr>
                <w:rFonts w:ascii="Times New Roman"/>
                <w:b w:val="false"/>
                <w:i w:val="false"/>
                <w:color w:val="000000"/>
                <w:sz w:val="20"/>
              </w:rPr>
              <w:t>
   2) система управления рисками и мониторинг результатов внедрения мер минимизации рисков; в случае если в этом процессе задействовано несколько отделов, порядок их взаимодействия определяется письменными процедурами или соглашениями;</w:t>
            </w:r>
          </w:p>
          <w:p>
            <w:pPr>
              <w:spacing w:after="20"/>
              <w:ind w:left="20"/>
              <w:jc w:val="both"/>
            </w:pPr>
            <w:r>
              <w:rPr>
                <w:rFonts w:ascii="Times New Roman"/>
                <w:b w:val="false"/>
                <w:i w:val="false"/>
                <w:color w:val="000000"/>
                <w:sz w:val="20"/>
              </w:rPr>
              <w:t>
   3) сбор, верификация, получение последующей информации, оценка и представление информации об индивидуальных случаях нежелательных реакций; в процедурах по данному разделу указывается четкое разграничение локальных и международных видов деятельности;</w:t>
            </w:r>
          </w:p>
          <w:p>
            <w:pPr>
              <w:spacing w:after="20"/>
              <w:ind w:left="20"/>
              <w:jc w:val="both"/>
            </w:pPr>
            <w:r>
              <w:rPr>
                <w:rFonts w:ascii="Times New Roman"/>
                <w:b w:val="false"/>
                <w:i w:val="false"/>
                <w:color w:val="000000"/>
                <w:sz w:val="20"/>
              </w:rPr>
              <w:t>
   4) планирование, составление и представление периодических отчетов по безопасности;</w:t>
            </w:r>
          </w:p>
          <w:p>
            <w:pPr>
              <w:spacing w:after="20"/>
              <w:ind w:left="20"/>
              <w:jc w:val="both"/>
            </w:pPr>
            <w:r>
              <w:rPr>
                <w:rFonts w:ascii="Times New Roman"/>
                <w:b w:val="false"/>
                <w:i w:val="false"/>
                <w:color w:val="000000"/>
                <w:sz w:val="20"/>
              </w:rPr>
              <w:t>
   5) представление информации о проблемах по безопасности потребителям, медицинским работникам и в уполномоченный орган;</w:t>
            </w:r>
          </w:p>
          <w:p>
            <w:pPr>
              <w:spacing w:after="20"/>
              <w:ind w:left="20"/>
              <w:jc w:val="both"/>
            </w:pPr>
            <w:r>
              <w:rPr>
                <w:rFonts w:ascii="Times New Roman"/>
                <w:b w:val="false"/>
                <w:i w:val="false"/>
                <w:color w:val="000000"/>
                <w:sz w:val="20"/>
              </w:rPr>
              <w:t>
   6) внесение изменений по безопасности в инструкцию по медицинскому применению и информацию для пациентов; процедуры охватывают внутренний и внешний обмен данными.</w:t>
            </w:r>
          </w:p>
          <w:p>
            <w:pPr>
              <w:spacing w:after="20"/>
              <w:ind w:left="20"/>
              <w:jc w:val="both"/>
            </w:pPr>
            <w:r>
              <w:rPr>
                <w:rFonts w:ascii="Times New Roman"/>
                <w:b w:val="false"/>
                <w:i w:val="false"/>
                <w:color w:val="000000"/>
                <w:sz w:val="20"/>
              </w:rPr>
              <w:t>
   3.4.5.3. По каждому направлению деятельности держатель регистрационного удостоверения предоставляет подтверждение функционирования системы своевременного принятия надлежащих решения и действий.</w:t>
            </w:r>
          </w:p>
          <w:p>
            <w:pPr>
              <w:spacing w:after="20"/>
              <w:ind w:left="20"/>
              <w:jc w:val="both"/>
            </w:pPr>
            <w:r>
              <w:rPr>
                <w:rFonts w:ascii="Times New Roman"/>
                <w:b w:val="false"/>
                <w:i w:val="false"/>
                <w:color w:val="000000"/>
                <w:sz w:val="20"/>
              </w:rPr>
              <w:t>
   3.4.5.4. Представляются данные по функционированию других направлений деятельности, подтверждающие наличие надлежащей системы обеспечения качества в системе фармаконадзора. К таким данным относятся функции и обязанности уполномоченного лица по фармаконадзору, реагирование на запросы уполномоченного органа по представлению информации, литературный поиск, контроль изменений в базах данных по безопасности, соглашения об обмене данными по безопасности, архивирование данных о безопасности, аудит фармаконадзора, контроль системы качества и обучение. В ходе обзора используется таблица со всеми процедурными документами фармаконадзора (название и номер).</w:t>
            </w:r>
          </w:p>
          <w:p>
            <w:pPr>
              <w:spacing w:after="20"/>
              <w:ind w:left="20"/>
              <w:jc w:val="both"/>
            </w:pPr>
            <w:r>
              <w:rPr>
                <w:rFonts w:ascii="Times New Roman"/>
                <w:b w:val="false"/>
                <w:i w:val="false"/>
                <w:color w:val="000000"/>
                <w:sz w:val="20"/>
              </w:rPr>
              <w:t>
   3.4.6. Раздел мастер-файла о применении системы фармаконадзора</w:t>
            </w:r>
          </w:p>
          <w:p>
            <w:pPr>
              <w:spacing w:after="20"/>
              <w:ind w:left="20"/>
              <w:jc w:val="both"/>
            </w:pPr>
            <w:r>
              <w:rPr>
                <w:rFonts w:ascii="Times New Roman"/>
                <w:b w:val="false"/>
                <w:i w:val="false"/>
                <w:color w:val="000000"/>
                <w:sz w:val="20"/>
              </w:rPr>
              <w:t>
   Мастер-файл системы фармаконадзора содержит подтверждение непрерывного мониторинга функционирования системы фармаконадзора, включая контроль основных результатов. Мастер-файл системы фармаконадзора содержит описание методов мониторинга и:</w:t>
            </w:r>
          </w:p>
          <w:p>
            <w:pPr>
              <w:spacing w:after="20"/>
              <w:ind w:left="20"/>
              <w:jc w:val="both"/>
            </w:pPr>
            <w:r>
              <w:rPr>
                <w:rFonts w:ascii="Times New Roman"/>
                <w:b w:val="false"/>
                <w:i w:val="false"/>
                <w:color w:val="000000"/>
                <w:sz w:val="20"/>
              </w:rPr>
              <w:t>
   1) описание процедуры оценки правильности представления индивидуальных сообщений о нежелательных реакциях. Представляются рисунки (графики), подтверждающие своевременность представления информации в соответствии с требованиями действующего законодательства Республики Казахстан;</w:t>
            </w:r>
          </w:p>
          <w:p>
            <w:pPr>
              <w:spacing w:after="20"/>
              <w:ind w:left="20"/>
              <w:jc w:val="both"/>
            </w:pPr>
            <w:r>
              <w:rPr>
                <w:rFonts w:ascii="Times New Roman"/>
                <w:b w:val="false"/>
                <w:i w:val="false"/>
                <w:color w:val="000000"/>
                <w:sz w:val="20"/>
              </w:rPr>
              <w:t>
   2) описание контрольных показателей, используемых для контроля качества представленной информации и деятельности по фармаконадзору. Относится информация, полученная от уполномоченного органа, в отношении качества представления сообщений о нежелательных реакциях, ПОБ или других представляемых данных;</w:t>
            </w:r>
          </w:p>
          <w:p>
            <w:pPr>
              <w:spacing w:after="20"/>
              <w:ind w:left="20"/>
              <w:jc w:val="both"/>
            </w:pPr>
            <w:r>
              <w:rPr>
                <w:rFonts w:ascii="Times New Roman"/>
                <w:b w:val="false"/>
                <w:i w:val="false"/>
                <w:color w:val="000000"/>
                <w:sz w:val="20"/>
              </w:rPr>
              <w:t>
   3) анализ своевременности представления ПОБ в уполномоченный орган (отражают последние данные, используемые держателем регистрационного удостоверения для оценки соблюдения требований);</w:t>
            </w:r>
          </w:p>
          <w:p>
            <w:pPr>
              <w:spacing w:after="20"/>
              <w:ind w:left="20"/>
              <w:jc w:val="both"/>
            </w:pPr>
            <w:r>
              <w:rPr>
                <w:rFonts w:ascii="Times New Roman"/>
                <w:b w:val="false"/>
                <w:i w:val="false"/>
                <w:color w:val="000000"/>
                <w:sz w:val="20"/>
              </w:rPr>
              <w:t>
   4) анализ своевременности внесения изменений по безопасности по сравнению с устанавливаемыми конечными сроками, а также дату и описание необходимых изменений по безопасности, которые были выявлены, но еще не были поданы;</w:t>
            </w:r>
          </w:p>
          <w:p>
            <w:pPr>
              <w:spacing w:after="20"/>
              <w:ind w:left="20"/>
              <w:jc w:val="both"/>
            </w:pPr>
            <w:r>
              <w:rPr>
                <w:rFonts w:ascii="Times New Roman"/>
                <w:b w:val="false"/>
                <w:i w:val="false"/>
                <w:color w:val="000000"/>
                <w:sz w:val="20"/>
              </w:rPr>
              <w:t>
   5) в соответствующих случаях анализ выполнения обязательств по плану управления рисками или других обязательств или требований, имеющих отношение к фармаконадзору.</w:t>
            </w:r>
          </w:p>
          <w:p>
            <w:pPr>
              <w:spacing w:after="20"/>
              <w:ind w:left="20"/>
              <w:jc w:val="both"/>
            </w:pPr>
            <w:r>
              <w:rPr>
                <w:rFonts w:ascii="Times New Roman"/>
                <w:b w:val="false"/>
                <w:i w:val="false"/>
                <w:color w:val="000000"/>
                <w:sz w:val="20"/>
              </w:rPr>
              <w:t>
   Описываются и объясняются цели применения системы фармаконадзора. В приложение к мастер-файлу системы фармаконадзора включается список показателей деятельности.</w:t>
            </w:r>
          </w:p>
          <w:p>
            <w:pPr>
              <w:spacing w:after="20"/>
              <w:ind w:left="20"/>
              <w:jc w:val="both"/>
            </w:pPr>
            <w:r>
              <w:rPr>
                <w:rFonts w:ascii="Times New Roman"/>
                <w:b w:val="false"/>
                <w:i w:val="false"/>
                <w:color w:val="000000"/>
                <w:sz w:val="20"/>
              </w:rPr>
              <w:t>
   6) в соответствующих случаях включается список показателей деятельности по фармаконадзору.</w:t>
            </w:r>
          </w:p>
          <w:p>
            <w:pPr>
              <w:spacing w:after="20"/>
              <w:ind w:left="20"/>
              <w:jc w:val="both"/>
            </w:pPr>
            <w:r>
              <w:rPr>
                <w:rFonts w:ascii="Times New Roman"/>
                <w:b w:val="false"/>
                <w:i w:val="false"/>
                <w:color w:val="000000"/>
                <w:sz w:val="20"/>
              </w:rPr>
              <w:t>
   3.4.7. Раздел мастер-файла по фармаконадзору о системе качества</w:t>
            </w:r>
          </w:p>
          <w:p>
            <w:pPr>
              <w:spacing w:after="20"/>
              <w:ind w:left="20"/>
              <w:jc w:val="both"/>
            </w:pPr>
            <w:r>
              <w:rPr>
                <w:rFonts w:ascii="Times New Roman"/>
                <w:b w:val="false"/>
                <w:i w:val="false"/>
                <w:color w:val="000000"/>
                <w:sz w:val="20"/>
              </w:rPr>
              <w:t>
   В разделе представляется описание системы управления качеством в рамках структуры организации и применения системы качества в фармаконадзоре. Раздел содержит следующую информацию:</w:t>
            </w:r>
          </w:p>
          <w:p>
            <w:pPr>
              <w:spacing w:after="20"/>
              <w:ind w:left="20"/>
              <w:jc w:val="both"/>
            </w:pPr>
            <w:r>
              <w:rPr>
                <w:rFonts w:ascii="Times New Roman"/>
                <w:b w:val="false"/>
                <w:i w:val="false"/>
                <w:color w:val="000000"/>
                <w:sz w:val="20"/>
              </w:rPr>
              <w:t>
   1) процедурные документы;</w:t>
            </w:r>
          </w:p>
          <w:p>
            <w:pPr>
              <w:spacing w:after="20"/>
              <w:ind w:left="20"/>
              <w:jc w:val="both"/>
            </w:pPr>
            <w:r>
              <w:rPr>
                <w:rFonts w:ascii="Times New Roman"/>
                <w:b w:val="false"/>
                <w:i w:val="false"/>
                <w:color w:val="000000"/>
                <w:sz w:val="20"/>
              </w:rPr>
              <w:t>
   Список документально оформленных процедур и процессов, имеющих отношение к деятельности по фармаконадзору с указанием их взаимосвязи с другими функциями и подходами к оценке процедур. В список включают номер документа, название, дату вступления в силу (для всех стандартных операционных процедур, рабочих инструкций, руководств) и описание доступа к документам. Указываются стандартные операционные процедуры, принадлежащие провайдерам услуг и другим третьим сторонам.</w:t>
            </w:r>
          </w:p>
          <w:p>
            <w:pPr>
              <w:spacing w:after="20"/>
              <w:ind w:left="20"/>
              <w:jc w:val="both"/>
            </w:pPr>
            <w:r>
              <w:rPr>
                <w:rFonts w:ascii="Times New Roman"/>
                <w:b w:val="false"/>
                <w:i w:val="false"/>
                <w:color w:val="000000"/>
                <w:sz w:val="20"/>
              </w:rPr>
              <w:t>
   2) обучение;</w:t>
            </w:r>
          </w:p>
          <w:p>
            <w:pPr>
              <w:spacing w:after="20"/>
              <w:ind w:left="20"/>
              <w:jc w:val="both"/>
            </w:pPr>
            <w:r>
              <w:rPr>
                <w:rFonts w:ascii="Times New Roman"/>
                <w:b w:val="false"/>
                <w:i w:val="false"/>
                <w:color w:val="000000"/>
                <w:sz w:val="20"/>
              </w:rPr>
              <w:t>
   Представляется описание управления ресурсами в ходе осуществления деятельности по фармаконадзору:</w:t>
            </w:r>
          </w:p>
          <w:p>
            <w:pPr>
              <w:spacing w:after="20"/>
              <w:ind w:left="20"/>
              <w:jc w:val="both"/>
            </w:pPr>
            <w:r>
              <w:rPr>
                <w:rFonts w:ascii="Times New Roman"/>
                <w:b w:val="false"/>
                <w:i w:val="false"/>
                <w:color w:val="000000"/>
                <w:sz w:val="20"/>
              </w:rPr>
              <w:t>
   организационная структура с количеством людей, участвующих в осуществлении деятельности по фармаконадзору, включая ссылку на нахождение квалификационных документов;</w:t>
            </w:r>
          </w:p>
          <w:p>
            <w:pPr>
              <w:spacing w:after="20"/>
              <w:ind w:left="20"/>
              <w:jc w:val="both"/>
            </w:pPr>
            <w:r>
              <w:rPr>
                <w:rFonts w:ascii="Times New Roman"/>
                <w:b w:val="false"/>
                <w:i w:val="false"/>
                <w:color w:val="000000"/>
                <w:sz w:val="20"/>
              </w:rPr>
              <w:t>
   список мест нахождения персонала;</w:t>
            </w:r>
          </w:p>
          <w:p>
            <w:pPr>
              <w:spacing w:after="20"/>
              <w:ind w:left="20"/>
              <w:jc w:val="both"/>
            </w:pPr>
            <w:r>
              <w:rPr>
                <w:rFonts w:ascii="Times New Roman"/>
                <w:b w:val="false"/>
                <w:i w:val="false"/>
                <w:color w:val="000000"/>
                <w:sz w:val="20"/>
              </w:rPr>
              <w:t>
   краткое описание контекста обучения, включая ссылку на нахождение документов об обучении; и</w:t>
            </w:r>
          </w:p>
          <w:p>
            <w:pPr>
              <w:spacing w:after="20"/>
              <w:ind w:left="20"/>
              <w:jc w:val="both"/>
            </w:pPr>
            <w:r>
              <w:rPr>
                <w:rFonts w:ascii="Times New Roman"/>
                <w:b w:val="false"/>
                <w:i w:val="false"/>
                <w:color w:val="000000"/>
                <w:sz w:val="20"/>
              </w:rPr>
              <w:t>
   инструкции по критическим процессам.</w:t>
            </w:r>
          </w:p>
          <w:p>
            <w:pPr>
              <w:spacing w:after="20"/>
              <w:ind w:left="20"/>
              <w:jc w:val="both"/>
            </w:pPr>
            <w:r>
              <w:rPr>
                <w:rFonts w:ascii="Times New Roman"/>
                <w:b w:val="false"/>
                <w:i w:val="false"/>
                <w:color w:val="000000"/>
                <w:sz w:val="20"/>
              </w:rPr>
              <w:t>
   Персонал соответствующим образом обучается по осуществлению деятельности по фармаконадзору. Это касается не только персонала в отделах фармаконадзора, но и лиц, которые могут получать сообщения о безопасности.</w:t>
            </w:r>
          </w:p>
          <w:p>
            <w:pPr>
              <w:spacing w:after="20"/>
              <w:ind w:left="20"/>
              <w:jc w:val="both"/>
            </w:pPr>
            <w:r>
              <w:rPr>
                <w:rFonts w:ascii="Times New Roman"/>
                <w:b w:val="false"/>
                <w:i w:val="false"/>
                <w:color w:val="000000"/>
                <w:sz w:val="20"/>
              </w:rPr>
              <w:t>
   3) аудит;</w:t>
            </w:r>
          </w:p>
          <w:p>
            <w:pPr>
              <w:spacing w:after="20"/>
              <w:ind w:left="20"/>
              <w:jc w:val="both"/>
            </w:pPr>
            <w:r>
              <w:rPr>
                <w:rFonts w:ascii="Times New Roman"/>
                <w:b w:val="false"/>
                <w:i w:val="false"/>
                <w:color w:val="000000"/>
                <w:sz w:val="20"/>
              </w:rPr>
              <w:t>
   Информация об аудите системы обеспечения качества в системе фармаконадзора включается в мастер-файл системы фармаконадзора. В приложение включают описание метода планирования аудитов системы фармаконадзора и механизмов репортирования, а также текущий список запланированных и завершенных аудитов системы фармаконадзора. Этот список содержит дату, область проведения и состояние завершения аудитов провайдерами услуг, специфические виды деятельности по фармаконадзору или места выполнения функций по фармаконадзору, а также операционные области взаимодействия, имеющие отношение к выполнению обязательств.</w:t>
            </w:r>
          </w:p>
          <w:p>
            <w:pPr>
              <w:spacing w:after="20"/>
              <w:ind w:left="20"/>
              <w:jc w:val="both"/>
            </w:pPr>
            <w:r>
              <w:rPr>
                <w:rFonts w:ascii="Times New Roman"/>
                <w:b w:val="false"/>
                <w:i w:val="false"/>
                <w:color w:val="000000"/>
                <w:sz w:val="20"/>
              </w:rPr>
              <w:t>
   Мастер-файл системы фармаконадзора включают комментарии по аудитам, в ходе которых были получены значимые результаты. Это означает, что результаты, которые были оценены как существенные или критические, указываются в перечне проведенных аудитов и предоставляется краткое описание плана корректирующих или предупреждающих действий с конечными сроками исполнения. Указывается ссылка на полный отчет о проведенном аудите, документ с планом корректирующих и предупреждающих мероприятий. Комментарии, корректирующие и предупреждающие мероприятия, указание о нахождении отчета о проведенном аудите включаются в мастер-файл системы фармаконадзора до тех пор, пока не будут в полной мере осуществлены корректирующие и (или) предупреждающие мероприятия, т.е. комментарии удаляются только после того, как будут продемонстрированы достигнутые результаты осуществления корректирующих действий и (или) представлено подтверждение или подтверждено независимой стороной значительное улучшение системы.</w:t>
            </w:r>
          </w:p>
          <w:p>
            <w:pPr>
              <w:spacing w:after="20"/>
              <w:ind w:left="20"/>
              <w:jc w:val="both"/>
            </w:pPr>
            <w:r>
              <w:rPr>
                <w:rFonts w:ascii="Times New Roman"/>
                <w:b w:val="false"/>
                <w:i w:val="false"/>
                <w:color w:val="000000"/>
                <w:sz w:val="20"/>
              </w:rPr>
              <w:t>
   В качестве средства управления системой фармаконадзора и обеспечения основания для проведения аудита или инспекции, в мастер-файле системы фармаконадзора содержится описание процесса регистрации, обработки и устранения выявленных в системе управления качеством отклонений.</w:t>
            </w:r>
          </w:p>
          <w:p>
            <w:pPr>
              <w:spacing w:after="20"/>
              <w:ind w:left="20"/>
              <w:jc w:val="both"/>
            </w:pPr>
            <w:r>
              <w:rPr>
                <w:rFonts w:ascii="Times New Roman"/>
                <w:b w:val="false"/>
                <w:i w:val="false"/>
                <w:color w:val="000000"/>
                <w:sz w:val="20"/>
              </w:rPr>
              <w:t>
   3.4.8. Приложение к мастер-файлу</w:t>
            </w:r>
          </w:p>
          <w:p>
            <w:pPr>
              <w:spacing w:after="20"/>
              <w:ind w:left="20"/>
              <w:jc w:val="both"/>
            </w:pPr>
            <w:r>
              <w:rPr>
                <w:rFonts w:ascii="Times New Roman"/>
                <w:b w:val="false"/>
                <w:i w:val="false"/>
                <w:color w:val="000000"/>
                <w:sz w:val="20"/>
              </w:rPr>
              <w:t>
   В приложение к мастер-файлу системы фармаконадзора содержатся следующие документы:</w:t>
            </w:r>
          </w:p>
          <w:p>
            <w:pPr>
              <w:spacing w:after="20"/>
              <w:ind w:left="20"/>
              <w:jc w:val="both"/>
            </w:pPr>
            <w:r>
              <w:rPr>
                <w:rFonts w:ascii="Times New Roman"/>
                <w:b w:val="false"/>
                <w:i w:val="false"/>
                <w:color w:val="000000"/>
                <w:sz w:val="20"/>
              </w:rPr>
              <w:t>
   1) перечень лекарственных препаратов, зарегистрированных держателем регистрационного удостоверения в Республике Казахстан и в других странах, на которые распространяется мастер-файл системы фармаконадзора, включая название лекарственного препарата, международное непатентованное название (МНН) действующего вещества и название страны, в которой действует удостоверение о государственной регистрации, номер удостоверения о государственной регистрации.</w:t>
            </w:r>
          </w:p>
          <w:p>
            <w:pPr>
              <w:spacing w:after="20"/>
              <w:ind w:left="20"/>
              <w:jc w:val="both"/>
            </w:pPr>
            <w:r>
              <w:rPr>
                <w:rFonts w:ascii="Times New Roman"/>
                <w:b w:val="false"/>
                <w:i w:val="false"/>
                <w:color w:val="000000"/>
                <w:sz w:val="20"/>
              </w:rPr>
              <w:t>
   Перечень структурируется согласно действующим веществам, и в соответствующих случаях указывается о существовании специфических требований к контролю безопасности лекарственного препарата (введение мер по минимизации рисков, описанных в плане управления рисками).</w:t>
            </w:r>
          </w:p>
          <w:p>
            <w:pPr>
              <w:spacing w:after="20"/>
              <w:ind w:left="20"/>
              <w:jc w:val="both"/>
            </w:pPr>
            <w:r>
              <w:rPr>
                <w:rFonts w:ascii="Times New Roman"/>
                <w:b w:val="false"/>
                <w:i w:val="false"/>
                <w:color w:val="000000"/>
                <w:sz w:val="20"/>
              </w:rPr>
              <w:t>
   В случае совместных систем фармаконадзора, включается перечень лекарственных препаратов и держателей регистрационного удостоверения, которые применяют систему фармаконадзора, описанную в мастер-файле системы фармаконадзора с целью подтверждения наличия полного перечня лекарственных препаратов, на которые распространяется мастер-файл системы фармаконадзора.</w:t>
            </w:r>
          </w:p>
          <w:p>
            <w:pPr>
              <w:spacing w:after="20"/>
              <w:ind w:left="20"/>
              <w:jc w:val="both"/>
            </w:pPr>
            <w:r>
              <w:rPr>
                <w:rFonts w:ascii="Times New Roman"/>
                <w:b w:val="false"/>
                <w:i w:val="false"/>
                <w:color w:val="000000"/>
                <w:sz w:val="20"/>
              </w:rPr>
              <w:t>
   2) Перечень контрактных договоренностей, касающихся делегированной по фармаконадзору деятельности, включая соответствующие лекарственные препараты и территорию.</w:t>
            </w:r>
          </w:p>
          <w:p>
            <w:pPr>
              <w:spacing w:after="20"/>
              <w:ind w:left="20"/>
              <w:jc w:val="both"/>
            </w:pPr>
            <w:r>
              <w:rPr>
                <w:rFonts w:ascii="Times New Roman"/>
                <w:b w:val="false"/>
                <w:i w:val="false"/>
                <w:color w:val="000000"/>
                <w:sz w:val="20"/>
              </w:rPr>
              <w:t>
   3) Перечень задач, делегированных уполномоченным лицом по фармаконадзору.</w:t>
            </w:r>
          </w:p>
          <w:p>
            <w:pPr>
              <w:spacing w:after="20"/>
              <w:ind w:left="20"/>
              <w:jc w:val="both"/>
            </w:pPr>
            <w:r>
              <w:rPr>
                <w:rFonts w:ascii="Times New Roman"/>
                <w:b w:val="false"/>
                <w:i w:val="false"/>
                <w:color w:val="000000"/>
                <w:sz w:val="20"/>
              </w:rPr>
              <w:t>
   4) Список всех завершенных за 10-летний период аудитов и список запланированных аудитов.</w:t>
            </w:r>
          </w:p>
          <w:p>
            <w:pPr>
              <w:spacing w:after="20"/>
              <w:ind w:left="20"/>
              <w:jc w:val="both"/>
            </w:pPr>
            <w:r>
              <w:rPr>
                <w:rFonts w:ascii="Times New Roman"/>
                <w:b w:val="false"/>
                <w:i w:val="false"/>
                <w:color w:val="000000"/>
                <w:sz w:val="20"/>
              </w:rPr>
              <w:t>
   5) Перечень показателей деятельности по фармаконадзору в случаях, когда это применимо.</w:t>
            </w:r>
          </w:p>
          <w:p>
            <w:pPr>
              <w:spacing w:after="20"/>
              <w:ind w:left="20"/>
              <w:jc w:val="both"/>
            </w:pPr>
            <w:r>
              <w:rPr>
                <w:rFonts w:ascii="Times New Roman"/>
                <w:b w:val="false"/>
                <w:i w:val="false"/>
                <w:color w:val="000000"/>
                <w:sz w:val="20"/>
              </w:rPr>
              <w:t>
   6) Перечень находящихся в ведении держателя регистрационного удостоверения других мастер-файлов системы фармаконадзора, когда это применимо.</w:t>
            </w:r>
          </w:p>
          <w:p>
            <w:pPr>
              <w:spacing w:after="20"/>
              <w:ind w:left="20"/>
              <w:jc w:val="both"/>
            </w:pPr>
            <w:r>
              <w:rPr>
                <w:rFonts w:ascii="Times New Roman"/>
                <w:b w:val="false"/>
                <w:i w:val="false"/>
                <w:color w:val="000000"/>
                <w:sz w:val="20"/>
              </w:rPr>
              <w:t>
   </w:t>
            </w:r>
            <w:r>
              <w:rPr>
                <w:rFonts w:ascii="Times New Roman"/>
                <w:b/>
                <w:i w:val="false"/>
                <w:color w:val="000000"/>
                <w:sz w:val="20"/>
              </w:rPr>
              <w:t>3.5. Контроль изменений, версии и архивирование</w:t>
            </w:r>
          </w:p>
          <w:p>
            <w:pPr>
              <w:spacing w:after="20"/>
              <w:ind w:left="20"/>
              <w:jc w:val="both"/>
            </w:pPr>
            <w:r>
              <w:rPr>
                <w:rFonts w:ascii="Times New Roman"/>
                <w:b w:val="false"/>
                <w:i w:val="false"/>
                <w:color w:val="000000"/>
                <w:sz w:val="20"/>
              </w:rPr>
              <w:t>
   3.5.1. Уполномоченная организация имеет право запрашивать информацию о важных изменениях в системе фармаконадзора, но не ограничиваться следующими:</w:t>
            </w:r>
          </w:p>
          <w:p>
            <w:pPr>
              <w:spacing w:after="20"/>
              <w:ind w:left="20"/>
              <w:jc w:val="both"/>
            </w:pPr>
            <w:r>
              <w:rPr>
                <w:rFonts w:ascii="Times New Roman"/>
                <w:b w:val="false"/>
                <w:i w:val="false"/>
                <w:color w:val="000000"/>
                <w:sz w:val="20"/>
              </w:rPr>
              <w:t>
   1) изменения в базе данных по безопасности системы фармаконадзора, которые могут включать изменения в самой базе данных или взаимосвязанных базах данных, изменения в статусе валидации базы данных, а также изменения в информации о передаваемых или переносимых данных;</w:t>
            </w:r>
          </w:p>
          <w:p>
            <w:pPr>
              <w:spacing w:after="20"/>
              <w:ind w:left="20"/>
              <w:jc w:val="both"/>
            </w:pPr>
            <w:r>
              <w:rPr>
                <w:rFonts w:ascii="Times New Roman"/>
                <w:b w:val="false"/>
                <w:i w:val="false"/>
                <w:color w:val="000000"/>
                <w:sz w:val="20"/>
              </w:rPr>
              <w:t>
   2) изменения в оказании значимых услуг по фармаконадзору, особенно если речь идет о важных контрактных договоренностях по представлению данных о безопасности;</w:t>
            </w:r>
          </w:p>
          <w:p>
            <w:pPr>
              <w:spacing w:after="20"/>
              <w:ind w:left="20"/>
              <w:jc w:val="both"/>
            </w:pPr>
            <w:r>
              <w:rPr>
                <w:rFonts w:ascii="Times New Roman"/>
                <w:b w:val="false"/>
                <w:i w:val="false"/>
                <w:color w:val="000000"/>
                <w:sz w:val="20"/>
              </w:rPr>
              <w:t>
   3) организационных изменениях, таких как поглощение одной компанией другой, слияние, изменение места осуществления деятельности по фармаконадзору или делегирование (передача) управления мастер-файлом системы фармаконадзора.</w:t>
            </w:r>
          </w:p>
          <w:p>
            <w:pPr>
              <w:spacing w:after="20"/>
              <w:ind w:left="20"/>
              <w:jc w:val="both"/>
            </w:pPr>
            <w:r>
              <w:rPr>
                <w:rFonts w:ascii="Times New Roman"/>
                <w:b w:val="false"/>
                <w:i w:val="false"/>
                <w:color w:val="000000"/>
                <w:sz w:val="20"/>
              </w:rPr>
              <w:t>
   3.5.2. Поскольку мастер-файл системы фармаконадзора включает перечни лекарственных препаратов и видов деятельности, которые могут периодически меняться, держателем регистрационного удостоверения применяются системы контроля изменений и разрабатываются надежные способы постоянной осведомленности о соответствующих изменениях с целью надлежащего пересмотра мастер-файла системы фармаконадзора. Помимо этого, изменения, вносимые в мастер-файл системы фармаконадзора, регистрируются таким образом, чтобы в наличии постоянно была история изменений (с указанием даты и контекста изменений). Постоянно обновляемую информацию, такую как перечни лекарственных препаратов и стандартные операционные процедуры или данные по соответствию требованиям, регистрируются через историю изменений, которые включают данные контролируемых систем (электронные системы управления данными или нормативно-правовые базы данных). Таким образом, осуществляется управление замененными версиями документов за пределами текстового наполнения мастер-файла системы фармаконадзора, при условии учета истории изменений и их представления уполномоченному органу по запросу. При существенных или важных описательных изменениях текстового наполнения мастер-файла предусматривается создание новой версии мастер-файла системы фармаконадзора.</w:t>
            </w:r>
          </w:p>
          <w:p>
            <w:pPr>
              <w:spacing w:after="20"/>
              <w:ind w:left="20"/>
              <w:jc w:val="both"/>
            </w:pPr>
            <w:r>
              <w:rPr>
                <w:rFonts w:ascii="Times New Roman"/>
                <w:b w:val="false"/>
                <w:i w:val="false"/>
                <w:color w:val="000000"/>
                <w:sz w:val="20"/>
              </w:rPr>
              <w:t>
   3.5.3. Держателем регистрационного удостоверения обосновывается выбранный метод и разрабатываются процедуры контроля документации с целью надлежащего управления процессом поддержания мастер-файла системы фармаконадзора. Основной принцип заключается в том, что, представляя собой основание для аудитов и инспекций, мастер- файл системы фармаконадзора содержит описание системы фармаконадзора в текущий момент времени, но оценка функционирования и направленности системы фармаконадзора на предшествующих этапах требует дополнительного ознакомления с системой.</w:t>
            </w:r>
          </w:p>
          <w:p>
            <w:pPr>
              <w:spacing w:after="20"/>
              <w:ind w:left="20"/>
              <w:jc w:val="both"/>
            </w:pPr>
            <w:r>
              <w:rPr>
                <w:rFonts w:ascii="Times New Roman"/>
                <w:b w:val="false"/>
                <w:i w:val="false"/>
                <w:color w:val="000000"/>
                <w:sz w:val="20"/>
              </w:rPr>
              <w:t>
   3.5.4. При внесении изменений в мастер-файл системы фармаконадзора учитываются совместные системы фармаконадзора и делегированная деятельность по фармаконадзору. Надлежащий контроль изменений предусматривает регистрацию даты и контекста уведомлений уполномоченого органа, уполномоченного лица по фармаконадзору и третьих сторон о вносимых изменениях.</w:t>
            </w:r>
          </w:p>
          <w:p>
            <w:pPr>
              <w:spacing w:after="20"/>
              <w:ind w:left="20"/>
              <w:jc w:val="both"/>
            </w:pPr>
            <w:r>
              <w:rPr>
                <w:rFonts w:ascii="Times New Roman"/>
                <w:b w:val="false"/>
                <w:i w:val="false"/>
                <w:color w:val="000000"/>
                <w:sz w:val="20"/>
              </w:rPr>
              <w:t>
   3.5.6. Мастер-файл системы фармаконадзора предоставляется в читаемой и доступной форме. Описание процедуры архивирования предоставляется на электронных и (или) печатных носителях мастер-файла системы фармаконадзора.</w:t>
            </w:r>
          </w:p>
          <w:p>
            <w:pPr>
              <w:spacing w:after="20"/>
              <w:ind w:left="20"/>
              <w:jc w:val="both"/>
            </w:pPr>
            <w:r>
              <w:rPr>
                <w:rFonts w:ascii="Times New Roman"/>
                <w:b w:val="false"/>
                <w:i w:val="false"/>
                <w:color w:val="000000"/>
                <w:sz w:val="20"/>
              </w:rPr>
              <w:t>
   </w:t>
            </w:r>
            <w:r>
              <w:rPr>
                <w:rFonts w:ascii="Times New Roman"/>
                <w:b/>
                <w:i w:val="false"/>
                <w:color w:val="000000"/>
                <w:sz w:val="20"/>
              </w:rPr>
              <w:t>3.6. Представление мастер-файла системы фармаконадзора</w:t>
            </w:r>
          </w:p>
          <w:p>
            <w:pPr>
              <w:spacing w:after="20"/>
              <w:ind w:left="20"/>
              <w:jc w:val="both"/>
            </w:pPr>
            <w:r>
              <w:rPr>
                <w:rFonts w:ascii="Times New Roman"/>
                <w:b w:val="false"/>
                <w:i w:val="false"/>
                <w:color w:val="000000"/>
                <w:sz w:val="20"/>
              </w:rPr>
              <w:t>
   Уполномоченное лицо по фармаконадзору обеспечивается постоянным доступом к мастер-файлу системы фармаконадзора. Уполномоченной организации обеспечивается постоянный доступ к мастер-файлу системы фармаконадзора по запросу. Информация в мастер-файле системы фармаконадзора предоставляется исчерпывающей, правильной и отражает действующую систему фармаконадзора в текущий момент времени, что означает обязательное обновление информации мастер-файла, и, в случае необходимости, выполнение пересмотра с учетом полученного опыта, технического и научного прогресса и поправок в нормативные требования (нормы регулирования). Доступ уполномоченному органу, уполномоченной организации к мастер-файлу системы фармаконадзора обеспечивается держателем регистрационного удостоверения в течение не более 7 дней после получения соответствующего запроса.</w:t>
            </w:r>
          </w:p>
          <w:p>
            <w:pPr>
              <w:spacing w:after="20"/>
              <w:ind w:left="20"/>
              <w:jc w:val="both"/>
            </w:pPr>
            <w:r>
              <w:rPr>
                <w:rFonts w:ascii="Times New Roman"/>
                <w:b w:val="false"/>
                <w:i w:val="false"/>
                <w:color w:val="000000"/>
                <w:sz w:val="20"/>
              </w:rPr>
              <w:t>
   3.6.1. Формат и структура</w:t>
            </w:r>
          </w:p>
          <w:p>
            <w:pPr>
              <w:spacing w:after="20"/>
              <w:ind w:left="20"/>
              <w:jc w:val="both"/>
            </w:pPr>
            <w:r>
              <w:rPr>
                <w:rFonts w:ascii="Times New Roman"/>
                <w:b w:val="false"/>
                <w:i w:val="false"/>
                <w:color w:val="000000"/>
                <w:sz w:val="20"/>
              </w:rPr>
              <w:t>
   Мастер-файл системы фармаконадзора разрешается предоставлять в электронной форме, при условии представления четко структурированной печатной копии по запросу уполномоченного органа. В любом формате мастер-файл системы фармаконадзора предоставляется в читаемой, полной и доступной форме, обеспечивающей возможность оценки всех документов и прослеживаемость изменений. По мере необходимости требуется ограничение доступа к мастер-файлу системы фармаконадзора с целью осуществления надлежащего контроля его содержания и распределения определенных обязанностей по управлению мастер- файлом системы фармаконадзора (в контексте контроля изменений и архивирования).</w:t>
            </w:r>
          </w:p>
          <w:p>
            <w:pPr>
              <w:spacing w:after="20"/>
              <w:ind w:left="20"/>
              <w:jc w:val="both"/>
            </w:pPr>
            <w:r>
              <w:rPr>
                <w:rFonts w:ascii="Times New Roman"/>
                <w:b w:val="false"/>
                <w:i w:val="false"/>
                <w:color w:val="000000"/>
                <w:sz w:val="20"/>
              </w:rPr>
              <w:t>
   </w:t>
            </w:r>
            <w:r>
              <w:rPr>
                <w:rFonts w:ascii="Times New Roman"/>
                <w:b/>
                <w:i w:val="false"/>
                <w:color w:val="000000"/>
                <w:sz w:val="20"/>
              </w:rPr>
              <w:t>3.7. Обязанности</w:t>
            </w:r>
          </w:p>
          <w:p>
            <w:pPr>
              <w:spacing w:after="20"/>
              <w:ind w:left="20"/>
              <w:jc w:val="both"/>
            </w:pPr>
            <w:r>
              <w:rPr>
                <w:rFonts w:ascii="Times New Roman"/>
                <w:b w:val="false"/>
                <w:i w:val="false"/>
                <w:color w:val="000000"/>
                <w:sz w:val="20"/>
              </w:rPr>
              <w:t>
   3.7.1. Держатель регистрационного удостоверения</w:t>
            </w:r>
          </w:p>
          <w:p>
            <w:pPr>
              <w:spacing w:after="20"/>
              <w:ind w:left="20"/>
              <w:jc w:val="both"/>
            </w:pPr>
            <w:r>
              <w:rPr>
                <w:rFonts w:ascii="Times New Roman"/>
                <w:b w:val="false"/>
                <w:i w:val="false"/>
                <w:color w:val="000000"/>
                <w:sz w:val="20"/>
              </w:rPr>
              <w:t>
   3.7.1.1. Держателем регистрационного удостоверения разрабатывается и внедряется система фармаконадзора с целью контроля и наблюдения за одним или более лекарственным препаратом. Держатель регистрационного удостоверения несет ответственность за создание и поддержание мастер-файла системы фармаконадзора, в котором осуществляется регистрация деятельности по фармаконадзору в отношении одного или более зарегистрированных лекарственных препаратов. Держателем регистрационного удостоверения назначается одно уполномоченное лицо по фармаконадзору, отвечающее за создание и функционирование системы фармаконадзора, описанной в мастер-файле системы.</w:t>
            </w:r>
          </w:p>
          <w:p>
            <w:pPr>
              <w:spacing w:after="20"/>
              <w:ind w:left="20"/>
              <w:jc w:val="both"/>
            </w:pPr>
            <w:r>
              <w:rPr>
                <w:rFonts w:ascii="Times New Roman"/>
                <w:b w:val="false"/>
                <w:i w:val="false"/>
                <w:color w:val="000000"/>
                <w:sz w:val="20"/>
              </w:rPr>
              <w:t>
   3.7.1.2. При подаче заявления на государственную регистрацию заявитель имеет в своем распоряжении описание системы фармаконадзора, функционирование которой планируется на территории Республики Казахстан. В ходе оценки заявления на получение разрешения на государственную регистрацию от заявителя требуется с целью ознакомления представление копии мастер-файла системы фармаконадзора.</w:t>
            </w:r>
          </w:p>
          <w:p>
            <w:pPr>
              <w:spacing w:after="20"/>
              <w:ind w:left="20"/>
              <w:jc w:val="both"/>
            </w:pPr>
            <w:r>
              <w:rPr>
                <w:rFonts w:ascii="Times New Roman"/>
                <w:b w:val="false"/>
                <w:i w:val="false"/>
                <w:color w:val="000000"/>
                <w:sz w:val="20"/>
              </w:rPr>
              <w:t>
   3.7.1.3. Держатель регистрационного удостоверения несет ответственность за создание мастер-файла системы фармаконадзора в Республике Казахстан и за регистрацию местонахождения мастер-файла в уполномоченной организации при подаче заявления на государственную регистрацию. В мастер-файле системы фармаконадзора описывается действующая на текущий момент времени подачи заявления система фармаконадзора. Содержится информация о компонентах системы, планируемые к внедрению, но они указываются как запланированные, а не как внедренные или действующие.</w:t>
            </w:r>
          </w:p>
          <w:p>
            <w:pPr>
              <w:spacing w:after="20"/>
              <w:ind w:left="20"/>
              <w:jc w:val="both"/>
            </w:pPr>
            <w:r>
              <w:rPr>
                <w:rFonts w:ascii="Times New Roman"/>
                <w:b w:val="false"/>
                <w:i w:val="false"/>
                <w:color w:val="000000"/>
                <w:sz w:val="20"/>
              </w:rPr>
              <w:t>
   3.7.1.4. Работа по созданию, поддержанию и представлению мастер-файла системы фармаконадзора в уполномоченную организацию передается третьей стороне, но держатель регистрационного удостоверения несет полную ответственность за соблюдение требований действующего законодательства Республики Казахстан. Допускается делегирование полномочий по поддержанию мастер-файла системы фармаконадзора в действующем и доступном состоянии (постоянный доступ для аудита и инспекции), однако ответственность за обеспечение выполнения данной функции на уровне, соответствующем требованиям действующего законодательства Республики Казахстан на постоянной основе сохраняется за держателем регистрационного удостоверения.</w:t>
            </w:r>
          </w:p>
          <w:p>
            <w:pPr>
              <w:spacing w:after="20"/>
              <w:ind w:left="20"/>
              <w:jc w:val="both"/>
            </w:pPr>
            <w:r>
              <w:rPr>
                <w:rFonts w:ascii="Times New Roman"/>
                <w:b w:val="false"/>
                <w:i w:val="false"/>
                <w:color w:val="000000"/>
                <w:sz w:val="20"/>
              </w:rPr>
              <w:t>
   3.7.1.5. В случае смены уполномоченного лица по фармаконадзору и соответствующей контактной информации, изменения местонахождения мастер-файла системы фармаконадзора, держателем регистрационного удостоверения представляется заявление(-я) в уполномоченную организацию на соответствующие изменения. Держателем регистрационного удостоверения обеспечивается обновление информации об уполномоченном лице по фармаконадзору и адресе нахождения мастер-файла системы фармаконадзора.</w:t>
            </w:r>
          </w:p>
          <w:p>
            <w:pPr>
              <w:spacing w:after="20"/>
              <w:ind w:left="20"/>
              <w:jc w:val="both"/>
            </w:pPr>
            <w:r>
              <w:rPr>
                <w:rFonts w:ascii="Times New Roman"/>
                <w:b w:val="false"/>
                <w:i w:val="false"/>
                <w:color w:val="000000"/>
                <w:sz w:val="20"/>
              </w:rPr>
              <w:t>
   3.7.2. Уполномоченный орган, уполномоченная организация</w:t>
            </w:r>
          </w:p>
          <w:p>
            <w:pPr>
              <w:spacing w:after="20"/>
              <w:ind w:left="20"/>
              <w:jc w:val="both"/>
            </w:pPr>
            <w:r>
              <w:rPr>
                <w:rFonts w:ascii="Times New Roman"/>
                <w:b w:val="false"/>
                <w:i w:val="false"/>
                <w:color w:val="000000"/>
                <w:sz w:val="20"/>
              </w:rPr>
              <w:t>
   3.7.2.1. Уполномоченный орган обеспечивает контроль систем фармаконадзора держателя регистрационного удостоверения. Полный мастер-файл системы фармаконадзора запрашивается в любое время (при возникновении вопросов по системе фармаконадзора держателя регистрационного удостоверения и (или) профиле безопасности лекарственного препарата, или при подготовке к инспекции). Информация об изменениях в краткой информации по системе фармаконадзора или содержании мастер-файла системы фармаконадзора используется в ходе планирования и проведения инспекции.</w:t>
            </w:r>
          </w:p>
          <w:p>
            <w:pPr>
              <w:spacing w:after="20"/>
              <w:ind w:left="20"/>
              <w:jc w:val="both"/>
            </w:pPr>
            <w:r>
              <w:rPr>
                <w:rFonts w:ascii="Times New Roman"/>
                <w:b w:val="false"/>
                <w:i w:val="false"/>
                <w:color w:val="000000"/>
                <w:sz w:val="20"/>
              </w:rPr>
              <w:t>
   3.7.2.2. Уполномоченная организация обменивается информацией о системах фармаконадзора держателя регистрационного удостоверения с уполномоченными органами других Государств, сообщая о несоблюдении требований действующего законодательства Республики Казахстан или настоящего Стандарта, включая несоблюдение требований по мастер-файлу системы фармаконадзора и системе фармаконадзора.</w:t>
            </w:r>
          </w:p>
          <w:p>
            <w:pPr>
              <w:spacing w:after="20"/>
              <w:ind w:left="20"/>
              <w:jc w:val="both"/>
            </w:pPr>
            <w:r>
              <w:rPr>
                <w:rFonts w:ascii="Times New Roman"/>
                <w:b w:val="false"/>
                <w:i w:val="false"/>
                <w:color w:val="000000"/>
                <w:sz w:val="20"/>
              </w:rPr>
              <w:t>
   </w:t>
            </w:r>
            <w:r>
              <w:rPr>
                <w:rFonts w:ascii="Times New Roman"/>
                <w:b/>
                <w:i w:val="false"/>
                <w:color w:val="000000"/>
                <w:sz w:val="20"/>
              </w:rPr>
              <w:t>3.8. Доступность мастер-файла системы фармаконадзора</w:t>
            </w:r>
          </w:p>
          <w:p>
            <w:pPr>
              <w:spacing w:after="20"/>
              <w:ind w:left="20"/>
              <w:jc w:val="both"/>
            </w:pPr>
            <w:r>
              <w:rPr>
                <w:rFonts w:ascii="Times New Roman"/>
                <w:b w:val="false"/>
                <w:i w:val="false"/>
                <w:color w:val="000000"/>
                <w:sz w:val="20"/>
              </w:rPr>
              <w:t>
   3.8.1. Мастер-файл системы фармаконадзора поддерживается в действующем и доступном состоянии для уполномоченного лица по фармаконадзору. Обеспечивается постоянная доступность мастер-файла системы фармаконадзора для инспекций, независимо от получения уведомления.</w:t>
            </w:r>
          </w:p>
          <w:p>
            <w:pPr>
              <w:spacing w:after="20"/>
              <w:ind w:left="20"/>
              <w:jc w:val="both"/>
            </w:pPr>
            <w:r>
              <w:rPr>
                <w:rFonts w:ascii="Times New Roman"/>
                <w:b w:val="false"/>
                <w:i w:val="false"/>
                <w:color w:val="000000"/>
                <w:sz w:val="20"/>
              </w:rPr>
              <w:t>
   3.8.2. Держателем регистрационного удостоверения поддерживается и представляется по запросу копия мастер-файла системы фармаконадзора. Держатель регистрационного удостоверения обязан предоставить копию мастер-файла не позднее 7 дней после получения запроса из уполномоченной организации. Мастер-файл системы фармаконадзора представляется в читаемом электронном формате или в форме четко структурированной печатной копии.</w:t>
            </w:r>
          </w:p>
          <w:p>
            <w:pPr>
              <w:spacing w:after="20"/>
              <w:ind w:left="20"/>
              <w:jc w:val="both"/>
            </w:pPr>
            <w:r>
              <w:rPr>
                <w:rFonts w:ascii="Times New Roman"/>
                <w:b w:val="false"/>
                <w:i w:val="false"/>
                <w:color w:val="000000"/>
                <w:sz w:val="20"/>
              </w:rPr>
              <w:t>
   3.8.3. Если один и тот же мастер-файл системы фармаконадзора используется более одним держателем регистрационного удостоверения (в случае использования общей системы фармаконадзора), то предусматриваются меры по доступности соответствующего мастер-файла системы фармаконадзора для каждого из держателей регистрационного удостоверения с целью возможности представления мастер-файла в уполномоченный орган в течение 7 дней после получения запроса.</w:t>
            </w:r>
          </w:p>
          <w:p>
            <w:pPr>
              <w:spacing w:after="20"/>
              <w:ind w:left="20"/>
              <w:jc w:val="both"/>
            </w:pPr>
            <w:r>
              <w:rPr>
                <w:rFonts w:ascii="Times New Roman"/>
                <w:b w:val="false"/>
                <w:i w:val="false"/>
                <w:color w:val="000000"/>
                <w:sz w:val="20"/>
              </w:rPr>
              <w:t xml:space="preserve">
   3.8.4. Мастер-файл системы фармаконадзора не запрашивается в ходе проведения оценки новых заявлений на получение государственной регистрации (т.е. до регистрации лекарственного препарата), но запрашивается в особых случаях (в случае внедрения новой системы фармаконадзора или выявлении проблем по безопасности лекарственного препарата, либо выявлении вопросов по соответствию нормативным требованиям по фармаконадзору).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Инспектирование системы фармаконадзора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Введение</w:t>
            </w:r>
          </w:p>
          <w:p>
            <w:pPr>
              <w:spacing w:after="20"/>
              <w:ind w:left="20"/>
              <w:jc w:val="both"/>
            </w:pPr>
            <w:r>
              <w:rPr>
                <w:rFonts w:ascii="Times New Roman"/>
                <w:b w:val="false"/>
                <w:i w:val="false"/>
                <w:color w:val="000000"/>
                <w:sz w:val="20"/>
              </w:rPr>
              <w:t>
   4.1.1. В целях подтверждения соблюдения держателем регистрационного удостоверения требований и выполнения обязательств по фармаконадзору уполномоченная организация проводит инспекции по фармаконадзору держателей регистрационного удостоверения или иных организаций, привлеченных держателем регистрационного удостоверения для выполнения обязательств по фармаконадзору. Инспекции по фармаконадзору проводятся инспекторами, назначаемыми уполномоченным органом, уполномоченными проводить осмотр помещений, знакомиться с материалами, документами и мастер-файлом системы фармаконадзора у держателя регистрационного удостоверения или иных организаций, привлеченных держателем регистрационного удостоверения для выполнения обязательств по фармаконадзору. Держатель регистрационного удостоверения по требованию уполномоченного органа представляет мастер-файл системы фармаконадзора, который используется для информирования о проведении инспекций.</w:t>
            </w:r>
          </w:p>
          <w:p>
            <w:pPr>
              <w:spacing w:after="20"/>
              <w:ind w:left="20"/>
              <w:jc w:val="both"/>
            </w:pPr>
            <w:r>
              <w:rPr>
                <w:rFonts w:ascii="Times New Roman"/>
                <w:b w:val="false"/>
                <w:i w:val="false"/>
                <w:color w:val="000000"/>
                <w:sz w:val="20"/>
              </w:rPr>
              <w:t>
   4.1.2. Цели инспекций по фармаконадзору включают:</w:t>
            </w:r>
          </w:p>
          <w:p>
            <w:pPr>
              <w:spacing w:after="20"/>
              <w:ind w:left="20"/>
              <w:jc w:val="both"/>
            </w:pPr>
            <w:r>
              <w:rPr>
                <w:rFonts w:ascii="Times New Roman"/>
                <w:b w:val="false"/>
                <w:i w:val="false"/>
                <w:color w:val="000000"/>
                <w:sz w:val="20"/>
              </w:rPr>
              <w:t>
   1) подтверждение наличия у держателя регистрационного удостоверения персонала, систем, а также помещения, средств и оборудования, необходимого для выполнения своих обязательств по фармаконадзору;</w:t>
            </w:r>
          </w:p>
          <w:p>
            <w:pPr>
              <w:spacing w:after="20"/>
              <w:ind w:left="20"/>
              <w:jc w:val="both"/>
            </w:pPr>
            <w:r>
              <w:rPr>
                <w:rFonts w:ascii="Times New Roman"/>
                <w:b w:val="false"/>
                <w:i w:val="false"/>
                <w:color w:val="000000"/>
                <w:sz w:val="20"/>
              </w:rPr>
              <w:t>
   2) выявление, оценка, регистрация и информирование инспектируемой стороны о несоответствиях, которые представляют опасность для здоровья населения;</w:t>
            </w:r>
          </w:p>
          <w:p>
            <w:pPr>
              <w:spacing w:after="20"/>
              <w:ind w:left="20"/>
              <w:jc w:val="both"/>
            </w:pPr>
            <w:r>
              <w:rPr>
                <w:rFonts w:ascii="Times New Roman"/>
                <w:b w:val="false"/>
                <w:i w:val="false"/>
                <w:color w:val="000000"/>
                <w:sz w:val="20"/>
              </w:rPr>
              <w:t xml:space="preserve">
   3) использование результатов инспекций в качестве основы для обязательных для держателя регистрационного удостоверения действий, если в этом возникает необходимость. </w:t>
            </w:r>
          </w:p>
          <w:p>
            <w:pPr>
              <w:spacing w:after="20"/>
              <w:ind w:left="20"/>
              <w:jc w:val="both"/>
            </w:pPr>
            <w:r>
              <w:rPr>
                <w:rFonts w:ascii="Times New Roman"/>
                <w:b w:val="false"/>
                <w:i w:val="false"/>
                <w:color w:val="000000"/>
                <w:sz w:val="20"/>
              </w:rPr>
              <w:t>
   4.1.3. Уполномоченная организация проводит инспекции по фармаконадзору перед регистрацией лекарственных препаратов для проверки соответствия действующей системы фармаконадзора держателя регистрационного удостоверения требованиям действующего законодательства Республики Казахстан и настоящего Стандарта. Уполномоченный орган осуществляет взаимодействие по обмену информацией в части инспекций, которые планируются, и результатов инспекций, которые уже проведены.</w:t>
            </w:r>
          </w:p>
          <w:p>
            <w:pPr>
              <w:spacing w:after="20"/>
              <w:ind w:left="20"/>
              <w:jc w:val="both"/>
            </w:pPr>
            <w:r>
              <w:rPr>
                <w:rFonts w:ascii="Times New Roman"/>
                <w:b w:val="false"/>
                <w:i w:val="false"/>
                <w:color w:val="000000"/>
                <w:sz w:val="20"/>
              </w:rPr>
              <w:t>
   4.1.4. Программы инспекций по фармаконадзору включают плановые инспекции в соответствии с основанным на рисках подходе и внеплановые инспекции, осуществляемые с целью оценки предполагаемых несоответствий или потенциальных рисков, которые оказывают влияние на выполнение функций по фармаконадзору конкретного лекарственного препарата.</w:t>
            </w:r>
          </w:p>
          <w:p>
            <w:pPr>
              <w:spacing w:after="20"/>
              <w:ind w:left="20"/>
              <w:jc w:val="both"/>
            </w:pPr>
            <w:r>
              <w:rPr>
                <w:rFonts w:ascii="Times New Roman"/>
                <w:b w:val="false"/>
                <w:i w:val="false"/>
                <w:color w:val="000000"/>
                <w:sz w:val="20"/>
              </w:rPr>
              <w:t>
   4.1.5. Результаты инспекции предоставляются инспектируемому субъекту, который получает возможность высказать свои комментарии по выявленному несоблюдению требований действующего законодательства Республики Казахстан и настоящего Стандарта. Держатель регистрационного удостоверения своевременно устраняет выявленное несоответствие, разработав и внедрив план корректирующих и предупреждающих мероприятий.</w:t>
            </w:r>
          </w:p>
          <w:p>
            <w:pPr>
              <w:spacing w:after="20"/>
              <w:ind w:left="20"/>
              <w:jc w:val="both"/>
            </w:pPr>
            <w:r>
              <w:rPr>
                <w:rFonts w:ascii="Times New Roman"/>
                <w:b w:val="false"/>
                <w:i w:val="false"/>
                <w:color w:val="000000"/>
                <w:sz w:val="20"/>
              </w:rPr>
              <w:t>
   4.1.6. В случае выявления в результате инспекции несоблюдения держателем регистрационного удостоверения обязательств по фармаконадзору, уполномоченный орган информирует другие государства о выявленном нарушении. В случае необходимости, уполномоченный орган принимает меры по применению к держателю регистрационного удостоверения эффективных, соразмерных и сдерживающих наказаний. Информация о проведении и результатах инспекции, последующем контроле и оценке последствий в рамках фармаконадзора, размещается на веб-портале уполномоченного органа.</w:t>
            </w:r>
          </w:p>
          <w:p>
            <w:pPr>
              <w:spacing w:after="20"/>
              <w:ind w:left="20"/>
              <w:jc w:val="both"/>
            </w:pPr>
            <w:r>
              <w:rPr>
                <w:rFonts w:ascii="Times New Roman"/>
                <w:b w:val="false"/>
                <w:i w:val="false"/>
                <w:color w:val="000000"/>
                <w:sz w:val="20"/>
              </w:rPr>
              <w:t>
   </w:t>
            </w:r>
            <w:r>
              <w:rPr>
                <w:rFonts w:ascii="Times New Roman"/>
                <w:b/>
                <w:i w:val="false"/>
                <w:color w:val="000000"/>
                <w:sz w:val="20"/>
              </w:rPr>
              <w:t>4.2.</w:t>
            </w:r>
            <w:r>
              <w:rPr>
                <w:rFonts w:ascii="Times New Roman"/>
                <w:b w:val="false"/>
                <w:i w:val="false"/>
                <w:color w:val="000000"/>
                <w:sz w:val="20"/>
              </w:rPr>
              <w:t> </w:t>
            </w:r>
            <w:r>
              <w:rPr>
                <w:rFonts w:ascii="Times New Roman"/>
                <w:b/>
                <w:i w:val="false"/>
                <w:color w:val="000000"/>
                <w:sz w:val="20"/>
              </w:rPr>
              <w:t>Структуры и процессы</w:t>
            </w:r>
          </w:p>
          <w:p>
            <w:pPr>
              <w:spacing w:after="20"/>
              <w:ind w:left="20"/>
              <w:jc w:val="both"/>
            </w:pPr>
            <w:r>
              <w:rPr>
                <w:rFonts w:ascii="Times New Roman"/>
                <w:b w:val="false"/>
                <w:i w:val="false"/>
                <w:color w:val="000000"/>
                <w:sz w:val="20"/>
              </w:rPr>
              <w:t>
   4.2.1. Типы инспекций</w:t>
            </w:r>
          </w:p>
          <w:p>
            <w:pPr>
              <w:spacing w:after="20"/>
              <w:ind w:left="20"/>
              <w:jc w:val="both"/>
            </w:pPr>
            <w:r>
              <w:rPr>
                <w:rFonts w:ascii="Times New Roman"/>
                <w:b w:val="false"/>
                <w:i w:val="false"/>
                <w:color w:val="000000"/>
                <w:sz w:val="20"/>
              </w:rPr>
              <w:t>
   4.2.1.1. Инспекции системы фармаконадзора в целом и по отдельным лекарственным препаратам</w:t>
            </w:r>
          </w:p>
          <w:p>
            <w:pPr>
              <w:spacing w:after="20"/>
              <w:ind w:left="20"/>
              <w:jc w:val="both"/>
            </w:pPr>
            <w:r>
              <w:rPr>
                <w:rFonts w:ascii="Times New Roman"/>
                <w:b w:val="false"/>
                <w:i w:val="false"/>
                <w:color w:val="000000"/>
                <w:sz w:val="20"/>
              </w:rPr>
              <w:t>
   4.2.1.1.1. Инспекции в рамках системы фармаконадзора направлены на оценку и анализ имеющихся процедур, систем, персонала, помещений и оборудования, определения их соответствия обязательствам по фармаконадзору, установленным действующим законодательством Республики Казахстан и настоящим Стандартом. В ходе выполнения данного анализа используются конкретные примеры лекарственных препаратов для демонстрации и проверки работы системы фармаконадзора.</w:t>
            </w:r>
          </w:p>
          <w:p>
            <w:pPr>
              <w:spacing w:after="20"/>
              <w:ind w:left="20"/>
              <w:jc w:val="both"/>
            </w:pPr>
            <w:r>
              <w:rPr>
                <w:rFonts w:ascii="Times New Roman"/>
                <w:b w:val="false"/>
                <w:i w:val="false"/>
                <w:color w:val="000000"/>
                <w:sz w:val="20"/>
              </w:rPr>
              <w:t>
   4.2.1.1.2. Инспекции, направленные на оценку выполнения функций по фармаконадзору в отношении определенного лекарственного препарата, направлены на оценку и анализ мероприятий и документации, связанной с конкретным лекарственным препаратом. Определенные аспекты общей системы фармаконадзора, используемые при выполнении функций в отношении инспектируемого лекарственного препарата, подлежат оценке в рамках инспекции по фармаконадзору, связанной с лекарственным препаратом.</w:t>
            </w:r>
          </w:p>
          <w:p>
            <w:pPr>
              <w:spacing w:after="20"/>
              <w:ind w:left="20"/>
              <w:jc w:val="both"/>
            </w:pPr>
            <w:r>
              <w:rPr>
                <w:rFonts w:ascii="Times New Roman"/>
                <w:b w:val="false"/>
                <w:i w:val="false"/>
                <w:color w:val="000000"/>
                <w:sz w:val="20"/>
              </w:rPr>
              <w:t>
   4.2.1.2. Плановые и внеплановые инспекции по фармаконадзору</w:t>
            </w:r>
          </w:p>
          <w:p>
            <w:pPr>
              <w:spacing w:after="20"/>
              <w:ind w:left="20"/>
              <w:jc w:val="both"/>
            </w:pPr>
            <w:r>
              <w:rPr>
                <w:rFonts w:ascii="Times New Roman"/>
                <w:b w:val="false"/>
                <w:i w:val="false"/>
                <w:color w:val="000000"/>
                <w:sz w:val="20"/>
              </w:rPr>
              <w:t>
   4.2.1.2.1. Плановые инспекции по фармаконадзору выполняются в соответствии с предварительно составленной программой инспекции. В целях оптимизации планирования мероприятий по контролю функционирования системы фармаконадзора рекомендуется применять подход, основанный на оценке потенциальных рисков невыполнения соответствующих обязательств. Плановые инспекции представляют собой системные инспекции, но допускается возможность выбора одного или нескольких конкретных лекарственных препаратов в качестве примеров для проверки функционирования системы фармаконадзора и получения практического доказательства ее эффективного функционирования и соответствия требованиям действующего законодательства Республики Казахстан и настоящего Стандарта. В программу стандартной инспекции включается оценка состояния системы по конкретным проблемам, выявленными экспертами.</w:t>
            </w:r>
          </w:p>
          <w:p>
            <w:pPr>
              <w:spacing w:after="20"/>
              <w:ind w:left="20"/>
              <w:jc w:val="both"/>
            </w:pPr>
            <w:r>
              <w:rPr>
                <w:rFonts w:ascii="Times New Roman"/>
                <w:b w:val="false"/>
                <w:i w:val="false"/>
                <w:color w:val="000000"/>
                <w:sz w:val="20"/>
              </w:rPr>
              <w:t xml:space="preserve">
   4.2.1.2.2. Внеплановые инспекции системы фармаконадзора проводятся в случае выявления инициирующего фактора (системной проблемы) и при этом инспекция рассматривается как наиболее оптимальный способ изучения и оценки выявленной проблемы. Внеплановые инспекции направлены на оценку конкретных процессов фармаконадзора или включают в себя изучение выявленной проблемы (вопросов) и их влияния на конкретный лекарственный препарат. В определенных случаях, согласно выявленной инициирующей проблеме, выполняются инспекции с полной оценкой системы фармаконадзора. Внеплановые инспекции выполняются в случае выявления одного или нескольких из нижеуказанных инициирующих факторов: </w:t>
            </w:r>
          </w:p>
          <w:p>
            <w:pPr>
              <w:spacing w:after="20"/>
              <w:ind w:left="20"/>
              <w:jc w:val="both"/>
            </w:pPr>
            <w:r>
              <w:rPr>
                <w:rFonts w:ascii="Times New Roman"/>
                <w:b w:val="false"/>
                <w:i w:val="false"/>
                <w:color w:val="000000"/>
                <w:sz w:val="20"/>
              </w:rPr>
              <w:t>
   1) в отношении соотношения польза-риск лекарственного препарата:</w:t>
            </w:r>
          </w:p>
          <w:p>
            <w:pPr>
              <w:spacing w:after="20"/>
              <w:ind w:left="20"/>
              <w:jc w:val="both"/>
            </w:pPr>
            <w:r>
              <w:rPr>
                <w:rFonts w:ascii="Times New Roman"/>
                <w:b w:val="false"/>
                <w:i w:val="false"/>
                <w:color w:val="000000"/>
                <w:sz w:val="20"/>
              </w:rPr>
              <w:t>
   изменение соотношения польза-риск, если представляется необходимым дальнейшая оценка системы путем проведения инспекции;</w:t>
            </w:r>
          </w:p>
          <w:p>
            <w:pPr>
              <w:spacing w:after="20"/>
              <w:ind w:left="20"/>
              <w:jc w:val="both"/>
            </w:pPr>
            <w:r>
              <w:rPr>
                <w:rFonts w:ascii="Times New Roman"/>
                <w:b w:val="false"/>
                <w:i w:val="false"/>
                <w:color w:val="000000"/>
                <w:sz w:val="20"/>
              </w:rPr>
              <w:t>
   задержка в выполнении, либо ненадлежащее выполнение процедуры выявления риска или информирования об изменении соотношения польза-риск, либо невыполнение данной процедуры;</w:t>
            </w:r>
          </w:p>
          <w:p>
            <w:pPr>
              <w:spacing w:after="20"/>
              <w:ind w:left="20"/>
              <w:jc w:val="both"/>
            </w:pPr>
            <w:r>
              <w:rPr>
                <w:rFonts w:ascii="Times New Roman"/>
                <w:b w:val="false"/>
                <w:i w:val="false"/>
                <w:color w:val="000000"/>
                <w:sz w:val="20"/>
              </w:rPr>
              <w:t>
   представление информации по проблемам фармаконадзора в средства массовой информации без предварительного или одновременного уведомления уполномоченного органа;</w:t>
            </w:r>
          </w:p>
          <w:p>
            <w:pPr>
              <w:spacing w:after="20"/>
              <w:ind w:left="20"/>
              <w:jc w:val="both"/>
            </w:pPr>
            <w:r>
              <w:rPr>
                <w:rFonts w:ascii="Times New Roman"/>
                <w:b w:val="false"/>
                <w:i w:val="false"/>
                <w:color w:val="000000"/>
                <w:sz w:val="20"/>
              </w:rPr>
              <w:t>
   несоблюдение требований действующего законодательства Республики Казахстан и настоящего Стандарта или обязательств по обеспечению безопасности лекарственного препарата, выявленных в ходе мониторинга деятельности по фармаконадзору уполномоченным органом;</w:t>
            </w:r>
          </w:p>
          <w:p>
            <w:pPr>
              <w:spacing w:after="20"/>
              <w:ind w:left="20"/>
              <w:jc w:val="both"/>
            </w:pPr>
            <w:r>
              <w:rPr>
                <w:rFonts w:ascii="Times New Roman"/>
                <w:b w:val="false"/>
                <w:i w:val="false"/>
                <w:color w:val="000000"/>
                <w:sz w:val="20"/>
              </w:rPr>
              <w:t>
   приостановление или изъятие лекарственного препарата без предварительного уведомления уполномоченного органа;</w:t>
            </w:r>
          </w:p>
          <w:p>
            <w:pPr>
              <w:spacing w:after="20"/>
              <w:ind w:left="20"/>
              <w:jc w:val="both"/>
            </w:pPr>
            <w:r>
              <w:rPr>
                <w:rFonts w:ascii="Times New Roman"/>
                <w:b w:val="false"/>
                <w:i w:val="false"/>
                <w:color w:val="000000"/>
                <w:sz w:val="20"/>
              </w:rPr>
              <w:t>
   2) обязательства по представлению информации (срочные и периодические):</w:t>
            </w:r>
          </w:p>
          <w:p>
            <w:pPr>
              <w:spacing w:after="20"/>
              <w:ind w:left="20"/>
              <w:jc w:val="both"/>
            </w:pPr>
            <w:r>
              <w:rPr>
                <w:rFonts w:ascii="Times New Roman"/>
                <w:b w:val="false"/>
                <w:i w:val="false"/>
                <w:color w:val="000000"/>
                <w:sz w:val="20"/>
              </w:rPr>
              <w:t>
   задержка либо упущения в представлении информации по безопасности в соответствии с требованиями действующего законодательства Республики Казахстан и настоящего Стандарта;</w:t>
            </w:r>
          </w:p>
          <w:p>
            <w:pPr>
              <w:spacing w:after="20"/>
              <w:ind w:left="20"/>
              <w:jc w:val="both"/>
            </w:pPr>
            <w:r>
              <w:rPr>
                <w:rFonts w:ascii="Times New Roman"/>
                <w:b w:val="false"/>
                <w:i w:val="false"/>
                <w:color w:val="000000"/>
                <w:sz w:val="20"/>
              </w:rPr>
              <w:t>
   низкое качество либо неполнота представляемой информации;</w:t>
            </w:r>
          </w:p>
          <w:p>
            <w:pPr>
              <w:spacing w:after="20"/>
              <w:ind w:left="20"/>
              <w:jc w:val="both"/>
            </w:pPr>
            <w:r>
              <w:rPr>
                <w:rFonts w:ascii="Times New Roman"/>
                <w:b w:val="false"/>
                <w:i w:val="false"/>
                <w:color w:val="000000"/>
                <w:sz w:val="20"/>
              </w:rPr>
              <w:t>
   несоответствия между представляемой информацией и другими источниками информации;</w:t>
            </w:r>
          </w:p>
          <w:p>
            <w:pPr>
              <w:spacing w:after="20"/>
              <w:ind w:left="20"/>
              <w:jc w:val="both"/>
            </w:pPr>
            <w:r>
              <w:rPr>
                <w:rFonts w:ascii="Times New Roman"/>
                <w:b w:val="false"/>
                <w:i w:val="false"/>
                <w:color w:val="000000"/>
                <w:sz w:val="20"/>
              </w:rPr>
              <w:t>
   3) запросы от уполномоченного органа, уполномоченной организации:</w:t>
            </w:r>
          </w:p>
          <w:p>
            <w:pPr>
              <w:spacing w:after="20"/>
              <w:ind w:left="20"/>
              <w:jc w:val="both"/>
            </w:pPr>
            <w:r>
              <w:rPr>
                <w:rFonts w:ascii="Times New Roman"/>
                <w:b w:val="false"/>
                <w:i w:val="false"/>
                <w:color w:val="000000"/>
                <w:sz w:val="20"/>
              </w:rPr>
              <w:t>
   отказ от представления запрашиваемой информации или данных в сроки, указанные уполномоченным органом;</w:t>
            </w:r>
          </w:p>
          <w:p>
            <w:pPr>
              <w:spacing w:after="20"/>
              <w:ind w:left="20"/>
              <w:jc w:val="both"/>
            </w:pPr>
            <w:r>
              <w:rPr>
                <w:rFonts w:ascii="Times New Roman"/>
                <w:b w:val="false"/>
                <w:i w:val="false"/>
                <w:color w:val="000000"/>
                <w:sz w:val="20"/>
              </w:rPr>
              <w:t>
   низкое качество или ненадлежащее представление данных по запросам от уполномоченного органа о представлении информации;</w:t>
            </w:r>
          </w:p>
          <w:p>
            <w:pPr>
              <w:spacing w:after="20"/>
              <w:ind w:left="20"/>
              <w:jc w:val="both"/>
            </w:pPr>
            <w:r>
              <w:rPr>
                <w:rFonts w:ascii="Times New Roman"/>
                <w:b w:val="false"/>
                <w:i w:val="false"/>
                <w:color w:val="000000"/>
                <w:sz w:val="20"/>
              </w:rPr>
              <w:t>
   4) выполнение обязательств:</w:t>
            </w:r>
          </w:p>
          <w:p>
            <w:pPr>
              <w:spacing w:after="20"/>
              <w:ind w:left="20"/>
              <w:jc w:val="both"/>
            </w:pPr>
            <w:r>
              <w:rPr>
                <w:rFonts w:ascii="Times New Roman"/>
                <w:b w:val="false"/>
                <w:i w:val="false"/>
                <w:color w:val="000000"/>
                <w:sz w:val="20"/>
              </w:rPr>
              <w:t>
   озабоченность по поводу состояния или выполнения обязательств в рамках плана по управлению рисками;</w:t>
            </w:r>
          </w:p>
          <w:p>
            <w:pPr>
              <w:spacing w:after="20"/>
              <w:ind w:left="20"/>
              <w:jc w:val="both"/>
            </w:pPr>
            <w:r>
              <w:rPr>
                <w:rFonts w:ascii="Times New Roman"/>
                <w:b w:val="false"/>
                <w:i w:val="false"/>
                <w:color w:val="000000"/>
                <w:sz w:val="20"/>
              </w:rPr>
              <w:t>
   задержки или невыполнение конкретных обязательств, касающихся мониторинга безопасности продукции, выявленных во время выдачи удостоверения о государственной регистрации;</w:t>
            </w:r>
          </w:p>
          <w:p>
            <w:pPr>
              <w:spacing w:after="20"/>
              <w:ind w:left="20"/>
              <w:jc w:val="both"/>
            </w:pPr>
            <w:r>
              <w:rPr>
                <w:rFonts w:ascii="Times New Roman"/>
                <w:b w:val="false"/>
                <w:i w:val="false"/>
                <w:color w:val="000000"/>
                <w:sz w:val="20"/>
              </w:rPr>
              <w:t>
   низкое качество отчетов, запрошенных в качестве конкретных обязательств;</w:t>
            </w:r>
          </w:p>
          <w:p>
            <w:pPr>
              <w:spacing w:after="20"/>
              <w:ind w:left="20"/>
              <w:jc w:val="both"/>
            </w:pPr>
            <w:r>
              <w:rPr>
                <w:rFonts w:ascii="Times New Roman"/>
                <w:b w:val="false"/>
                <w:i w:val="false"/>
                <w:color w:val="000000"/>
                <w:sz w:val="20"/>
              </w:rPr>
              <w:t>
   5) инспекции:</w:t>
            </w:r>
          </w:p>
          <w:p>
            <w:pPr>
              <w:spacing w:after="20"/>
              <w:ind w:left="20"/>
              <w:jc w:val="both"/>
            </w:pPr>
            <w:r>
              <w:rPr>
                <w:rFonts w:ascii="Times New Roman"/>
                <w:b w:val="false"/>
                <w:i w:val="false"/>
                <w:color w:val="000000"/>
                <w:sz w:val="20"/>
              </w:rPr>
              <w:t>
   задержки во внедрении или ненадлежащее выполнение корректирующих и предупреждающих мероприятий;</w:t>
            </w:r>
          </w:p>
          <w:p>
            <w:pPr>
              <w:spacing w:after="20"/>
              <w:ind w:left="20"/>
              <w:jc w:val="both"/>
            </w:pPr>
            <w:r>
              <w:rPr>
                <w:rFonts w:ascii="Times New Roman"/>
                <w:b w:val="false"/>
                <w:i w:val="false"/>
                <w:color w:val="000000"/>
                <w:sz w:val="20"/>
              </w:rPr>
              <w:t>
   информация о несоблюдении требований действующего законодательства Республики Казахстан и настоящего Стандарта или обязательств по обеспечению безопасности лекарственного препарата, полученная при выполнении других видов инспекций (Надлежащая клиническая практика (GCP), Надлежащая производственная практика (GMP), Надлежащая лабораторная практика (GLP), Надлежащая аптечная практика (GPP) и Надлежащая дистрибьюторская практика (GDP);</w:t>
            </w:r>
          </w:p>
          <w:p>
            <w:pPr>
              <w:spacing w:after="20"/>
              <w:ind w:left="20"/>
              <w:jc w:val="both"/>
            </w:pPr>
            <w:r>
              <w:rPr>
                <w:rFonts w:ascii="Times New Roman"/>
                <w:b w:val="false"/>
                <w:i w:val="false"/>
                <w:color w:val="000000"/>
                <w:sz w:val="20"/>
              </w:rPr>
              <w:t>
   проверка информации о выявлении несоответствий системы, полученной от уполномоченных органов других стран;</w:t>
            </w:r>
          </w:p>
          <w:p>
            <w:pPr>
              <w:spacing w:after="20"/>
              <w:ind w:left="20"/>
              <w:jc w:val="both"/>
            </w:pPr>
            <w:r>
              <w:rPr>
                <w:rFonts w:ascii="Times New Roman"/>
                <w:b w:val="false"/>
                <w:i w:val="false"/>
                <w:color w:val="000000"/>
                <w:sz w:val="20"/>
              </w:rPr>
              <w:t>
   6) прочее:</w:t>
            </w:r>
          </w:p>
          <w:p>
            <w:pPr>
              <w:spacing w:after="20"/>
              <w:ind w:left="20"/>
              <w:jc w:val="both"/>
            </w:pPr>
            <w:r>
              <w:rPr>
                <w:rFonts w:ascii="Times New Roman"/>
                <w:b w:val="false"/>
                <w:i w:val="false"/>
                <w:color w:val="000000"/>
                <w:sz w:val="20"/>
              </w:rPr>
              <w:t>
   проблемы, выявленные при рассмотрении мастер-файла системы фармаконадзора;</w:t>
            </w:r>
          </w:p>
          <w:p>
            <w:pPr>
              <w:spacing w:after="20"/>
              <w:ind w:left="20"/>
              <w:jc w:val="both"/>
            </w:pPr>
            <w:r>
              <w:rPr>
                <w:rFonts w:ascii="Times New Roman"/>
                <w:b w:val="false"/>
                <w:i w:val="false"/>
                <w:color w:val="000000"/>
                <w:sz w:val="20"/>
              </w:rPr>
              <w:t>
   другие источники информации или жалобы.</w:t>
            </w:r>
          </w:p>
          <w:p>
            <w:pPr>
              <w:spacing w:after="20"/>
              <w:ind w:left="20"/>
              <w:jc w:val="both"/>
            </w:pPr>
            <w:r>
              <w:rPr>
                <w:rFonts w:ascii="Times New Roman"/>
                <w:b w:val="false"/>
                <w:i w:val="false"/>
                <w:color w:val="000000"/>
                <w:sz w:val="20"/>
              </w:rPr>
              <w:t xml:space="preserve">
   4.2.1.3. Дорегистрационные инспекции </w:t>
            </w:r>
          </w:p>
          <w:p>
            <w:pPr>
              <w:spacing w:after="20"/>
              <w:ind w:left="20"/>
              <w:jc w:val="both"/>
            </w:pPr>
            <w:r>
              <w:rPr>
                <w:rFonts w:ascii="Times New Roman"/>
                <w:b w:val="false"/>
                <w:i w:val="false"/>
                <w:color w:val="000000"/>
                <w:sz w:val="20"/>
              </w:rPr>
              <w:t>
   4.2.1.3.1. Дорегистрационные инспекции системы фармаконадзора выполняются до выдачи регистрационного удостоверения. Целью данных инспекций является изучение функционирующей или планируемой системы фармаконадзора, согласно представленного заявителем описания системы. Дорегистрационные инспекции системы фармаконадзора не являются обязательными, но требуются при определенных обстоятельствах. Принципы запроса о проведении инспекции до регистрации определяются заранее и не являются причиной необоснованного инспектирования, ведущего к задержке выдачи удостоверения о государственной регистрации. При рассмотрении целесообразности и обоснованности выполнения дорегистрационных инспекций учитываются следующие факторы:</w:t>
            </w:r>
          </w:p>
          <w:p>
            <w:pPr>
              <w:spacing w:after="20"/>
              <w:ind w:left="20"/>
              <w:jc w:val="both"/>
            </w:pPr>
            <w:r>
              <w:rPr>
                <w:rFonts w:ascii="Times New Roman"/>
                <w:b w:val="false"/>
                <w:i w:val="false"/>
                <w:color w:val="000000"/>
                <w:sz w:val="20"/>
              </w:rPr>
              <w:t>
   1) заявитель ранее не работал с имеющейся системой фармаконадзора на территории Республики Казахстан или находится на стадии создания новой системы фармаконадзора;</w:t>
            </w:r>
          </w:p>
          <w:p>
            <w:pPr>
              <w:spacing w:after="20"/>
              <w:ind w:left="20"/>
              <w:jc w:val="both"/>
            </w:pPr>
            <w:r>
              <w:rPr>
                <w:rFonts w:ascii="Times New Roman"/>
                <w:b w:val="false"/>
                <w:i w:val="false"/>
                <w:color w:val="000000"/>
                <w:sz w:val="20"/>
              </w:rPr>
              <w:t>
   2) наличие информации (в частности, истории предшествующих инспекций либо уведомления (информации) о несоответствии, полученная от уполномоченных органов других стран) в отношении того, что держатель регистрационного удостоверения имеет нарекания по выполнению требований к системе фармаконадзора. Если у держателя регистрационного удостоверения имеется история серьезных и (или) постоянных несоответствий системы фармаконадзора действующим требованиям, то дорегистрационная инспекция системы фармаконадзора является одним из механизмов подтверждения того, что система фармаконадзора соответствующим образом исправлена (усовершенствована) до выдачи нового удостоверения о государственной регистрации;</w:t>
            </w:r>
          </w:p>
          <w:p>
            <w:pPr>
              <w:spacing w:after="20"/>
              <w:ind w:left="20"/>
              <w:jc w:val="both"/>
            </w:pPr>
            <w:r>
              <w:rPr>
                <w:rFonts w:ascii="Times New Roman"/>
                <w:b w:val="false"/>
                <w:i w:val="false"/>
                <w:color w:val="000000"/>
                <w:sz w:val="20"/>
              </w:rPr>
              <w:t>
   3) в связи с конкретными проблемами, касающимися безопасности определенных лекарственных препаратов, предусматривается необходимость оценки возможностей со стороны держателя регистрационного удостоверения в отношении:</w:t>
            </w:r>
          </w:p>
          <w:p>
            <w:pPr>
              <w:spacing w:after="20"/>
              <w:ind w:left="20"/>
              <w:jc w:val="both"/>
            </w:pPr>
            <w:r>
              <w:rPr>
                <w:rFonts w:ascii="Times New Roman"/>
                <w:b w:val="false"/>
                <w:i w:val="false"/>
                <w:color w:val="000000"/>
                <w:sz w:val="20"/>
              </w:rPr>
              <w:t xml:space="preserve">
   1) реализации мероприятий по минимизации рисков, связанных с конкретным лекарственным препаратом; </w:t>
            </w:r>
          </w:p>
          <w:p>
            <w:pPr>
              <w:spacing w:after="20"/>
              <w:ind w:left="20"/>
              <w:jc w:val="both"/>
            </w:pPr>
            <w:r>
              <w:rPr>
                <w:rFonts w:ascii="Times New Roman"/>
                <w:b w:val="false"/>
                <w:i w:val="false"/>
                <w:color w:val="000000"/>
                <w:sz w:val="20"/>
              </w:rPr>
              <w:t>
   2) надлежащего выполнения особых требований по обеспечению безопасности применения лекарственных препаратов; или</w:t>
            </w:r>
          </w:p>
          <w:p>
            <w:pPr>
              <w:spacing w:after="20"/>
              <w:ind w:left="20"/>
              <w:jc w:val="both"/>
            </w:pPr>
            <w:r>
              <w:rPr>
                <w:rFonts w:ascii="Times New Roman"/>
                <w:b w:val="false"/>
                <w:i w:val="false"/>
                <w:color w:val="000000"/>
                <w:sz w:val="20"/>
              </w:rPr>
              <w:t>
   3) надлежащего выполнения процедур в рамках рутинного фармаконадзора лекарственного препарата, вызывающего опасения в отношении профиля безопасности.</w:t>
            </w:r>
          </w:p>
          <w:p>
            <w:pPr>
              <w:spacing w:after="20"/>
              <w:ind w:left="20"/>
              <w:jc w:val="both"/>
            </w:pPr>
            <w:r>
              <w:rPr>
                <w:rFonts w:ascii="Times New Roman"/>
                <w:b w:val="false"/>
                <w:i w:val="false"/>
                <w:color w:val="000000"/>
                <w:sz w:val="20"/>
              </w:rPr>
              <w:t xml:space="preserve">
   Принятие решения по выполнению дорегистрационной инспекции включает оценку рисков с комплексной оценкой вопросов, касающихся конкретных лекарственных препаратов и системы фармаконадзора. </w:t>
            </w:r>
          </w:p>
          <w:p>
            <w:pPr>
              <w:spacing w:after="20"/>
              <w:ind w:left="20"/>
              <w:jc w:val="both"/>
            </w:pPr>
            <w:r>
              <w:rPr>
                <w:rFonts w:ascii="Times New Roman"/>
                <w:b w:val="false"/>
                <w:i w:val="false"/>
                <w:color w:val="000000"/>
                <w:sz w:val="20"/>
              </w:rPr>
              <w:t>
   4.2.1.3.2. В случае если в результате дорегистрационной инспекции системы фармаконадзора возникает обеспокоенность по поводу способности держателя регистрационного удостоверения выполнять требования к системе фармаконадзора, установленных действующим законодательством Республики Казахстан и настоящим Стандартом, уполномоченный орган рекомендует следующие меры:</w:t>
            </w:r>
          </w:p>
          <w:p>
            <w:pPr>
              <w:spacing w:after="20"/>
              <w:ind w:left="20"/>
              <w:jc w:val="both"/>
            </w:pPr>
            <w:r>
              <w:rPr>
                <w:rFonts w:ascii="Times New Roman"/>
                <w:b w:val="false"/>
                <w:i w:val="false"/>
                <w:color w:val="000000"/>
                <w:sz w:val="20"/>
              </w:rPr>
              <w:t>
   1) отказ в выдаче удостоверения о государственной регистрации;</w:t>
            </w:r>
          </w:p>
          <w:p>
            <w:pPr>
              <w:spacing w:after="20"/>
              <w:ind w:left="20"/>
              <w:jc w:val="both"/>
            </w:pPr>
            <w:r>
              <w:rPr>
                <w:rFonts w:ascii="Times New Roman"/>
                <w:b w:val="false"/>
                <w:i w:val="false"/>
                <w:color w:val="000000"/>
                <w:sz w:val="20"/>
              </w:rPr>
              <w:t>
   2) выполнение повторной инспекции до выдачи удостоверения о государственной регистрации с целью подтверждения устранения критических несоответствий и выполнения рекомендаций;</w:t>
            </w:r>
          </w:p>
          <w:p>
            <w:pPr>
              <w:spacing w:after="20"/>
              <w:ind w:left="20"/>
              <w:jc w:val="both"/>
            </w:pPr>
            <w:r>
              <w:rPr>
                <w:rFonts w:ascii="Times New Roman"/>
                <w:b w:val="false"/>
                <w:i w:val="false"/>
                <w:color w:val="000000"/>
                <w:sz w:val="20"/>
              </w:rPr>
              <w:t xml:space="preserve">
   3) выдача удостоверения о государственной регистрации с рекомендацией проведения инспекции системы фармаконадзора на раннем пострегистрационном этапе. </w:t>
            </w:r>
          </w:p>
          <w:p>
            <w:pPr>
              <w:spacing w:after="20"/>
              <w:ind w:left="20"/>
              <w:jc w:val="both"/>
            </w:pPr>
            <w:r>
              <w:rPr>
                <w:rFonts w:ascii="Times New Roman"/>
                <w:b w:val="false"/>
                <w:i w:val="false"/>
                <w:color w:val="000000"/>
                <w:sz w:val="20"/>
              </w:rPr>
              <w:t>
   4.2.1.4. Пострегистрационные инспекции</w:t>
            </w:r>
          </w:p>
          <w:p>
            <w:pPr>
              <w:spacing w:after="20"/>
              <w:ind w:left="20"/>
              <w:jc w:val="both"/>
            </w:pPr>
            <w:r>
              <w:rPr>
                <w:rFonts w:ascii="Times New Roman"/>
                <w:b w:val="false"/>
                <w:i w:val="false"/>
                <w:color w:val="000000"/>
                <w:sz w:val="20"/>
              </w:rPr>
              <w:t>
   Пострегистрационные инспекции системы фармаконадзора проводятся после выдачи удостоверения о государственной регистрации и предназначены для оценки выполнения держателем регистрационного удостоверения обязательства по фармаконадзору.</w:t>
            </w:r>
          </w:p>
          <w:p>
            <w:pPr>
              <w:spacing w:after="20"/>
              <w:ind w:left="20"/>
              <w:jc w:val="both"/>
            </w:pPr>
            <w:r>
              <w:rPr>
                <w:rFonts w:ascii="Times New Roman"/>
                <w:b w:val="false"/>
                <w:i w:val="false"/>
                <w:color w:val="000000"/>
                <w:sz w:val="20"/>
              </w:rPr>
              <w:t>
   4.2.1.5. Объявленные и внезапные инспекции</w:t>
            </w:r>
          </w:p>
          <w:p>
            <w:pPr>
              <w:spacing w:after="20"/>
              <w:ind w:left="20"/>
              <w:jc w:val="both"/>
            </w:pPr>
            <w:r>
              <w:rPr>
                <w:rFonts w:ascii="Times New Roman"/>
                <w:b w:val="false"/>
                <w:i w:val="false"/>
                <w:color w:val="000000"/>
                <w:sz w:val="20"/>
              </w:rPr>
              <w:t>
   Большая часть инспекций системы фармаконадзора являются объявленными, что предполагает получение инспектируемой стороной уведомления о необходимости обеспечения присутствия соответствующих лиц во время проведения инспекции. В ряде случаев целесообразным является проведение внезапных инспекций либо выполнение уведомления инспектируемой стороны накануне проведения инспекции (если объявление ставит под угрозу цели инспекции или если инспекция проводится в сжатые сроки по безотлагательным причинам, связанным с угрозой безопасности).</w:t>
            </w:r>
          </w:p>
          <w:p>
            <w:pPr>
              <w:spacing w:after="20"/>
              <w:ind w:left="20"/>
              <w:jc w:val="both"/>
            </w:pPr>
            <w:r>
              <w:rPr>
                <w:rFonts w:ascii="Times New Roman"/>
                <w:b w:val="false"/>
                <w:i w:val="false"/>
                <w:color w:val="000000"/>
                <w:sz w:val="20"/>
              </w:rPr>
              <w:t>
   4.2.1.6. Повторные инспекции</w:t>
            </w:r>
          </w:p>
          <w:p>
            <w:pPr>
              <w:spacing w:after="20"/>
              <w:ind w:left="20"/>
              <w:jc w:val="both"/>
            </w:pPr>
            <w:r>
              <w:rPr>
                <w:rFonts w:ascii="Times New Roman"/>
                <w:b w:val="false"/>
                <w:i w:val="false"/>
                <w:color w:val="000000"/>
                <w:sz w:val="20"/>
              </w:rPr>
              <w:t>
   Повторная инспекция проводится на регулярной основе в рамках программы плановых инспекций системы фармаконадзора. Оцениваются факторы риска с целью определения приоритетов повторных инспекций. Повторная инспекция на раннем этапе проводится в том случае, если выявлено значительное число несоответствий и требуется подтверждение надлежащего выполнения действий и мероприятий, направленных на устранение замечаний и оценки постоянного выполнения обязательств и соблюдения требований к системе фармаконадзора, в том числе оценки изменений в системе фармаконадзора. Повторная инспекция на раннем этапе также целесообразна вскоре после выполнения предыдущей инспекции в случае наличия информации о невыполнении инспектируемой стороной надлежащих корректирующих и предупреждающих мероприятий по предписанию более ранней инспекции.</w:t>
            </w:r>
          </w:p>
          <w:p>
            <w:pPr>
              <w:spacing w:after="20"/>
              <w:ind w:left="20"/>
              <w:jc w:val="both"/>
            </w:pPr>
            <w:r>
              <w:rPr>
                <w:rFonts w:ascii="Times New Roman"/>
                <w:b w:val="false"/>
                <w:i w:val="false"/>
                <w:color w:val="000000"/>
                <w:sz w:val="20"/>
              </w:rPr>
              <w:t>
   4.2.1.7. Дистанционные инспекции</w:t>
            </w:r>
          </w:p>
          <w:p>
            <w:pPr>
              <w:spacing w:after="20"/>
              <w:ind w:left="20"/>
              <w:jc w:val="both"/>
            </w:pPr>
            <w:r>
              <w:rPr>
                <w:rFonts w:ascii="Times New Roman"/>
                <w:b w:val="false"/>
                <w:i w:val="false"/>
                <w:color w:val="000000"/>
                <w:sz w:val="20"/>
              </w:rPr>
              <w:t>
   Это инспекции системы фармаконадзора, проводимые инспекторами, вне территории помещений держателя регистрационного удостоверения либо иной организации, которой делегировано выполнений функций по фармаконадзору. Для проведения данной инспекции используются средства связи, такие как Интернет или телефон. Подобный тип инспекций используется в случае возникновения логистических трудностей в проведении инспекции на месте во время исключительных обстоятельств. Решение о проведении дистанционной инспекции по усмотрению инспекторов подлежит согласованию с уполномоченным органом, выдающим поручение на проведение инспекции. Логистические аспекты дистанционной инспекции согласовываются с держателем регистрационного удостоверения. В случае, если в ходе выполнения дистанционной инспекции выявляются вопросы, требующие выполнения оценки системы фармаконадзора непосредственно на месте их осуществления, принимается решение о проведении инспекции с выездом на место инспектирования.</w:t>
            </w:r>
          </w:p>
          <w:p>
            <w:pPr>
              <w:spacing w:after="20"/>
              <w:ind w:left="20"/>
              <w:jc w:val="both"/>
            </w:pPr>
            <w:r>
              <w:rPr>
                <w:rFonts w:ascii="Times New Roman"/>
                <w:b w:val="false"/>
                <w:i w:val="false"/>
                <w:color w:val="000000"/>
                <w:sz w:val="20"/>
              </w:rPr>
              <w:t>
   4.2.2. Планирование инспекций</w:t>
            </w:r>
          </w:p>
          <w:p>
            <w:pPr>
              <w:spacing w:after="20"/>
              <w:ind w:left="20"/>
              <w:jc w:val="both"/>
            </w:pPr>
            <w:r>
              <w:rPr>
                <w:rFonts w:ascii="Times New Roman"/>
                <w:b w:val="false"/>
                <w:i w:val="false"/>
                <w:color w:val="000000"/>
                <w:sz w:val="20"/>
              </w:rPr>
              <w:t>
   4.2.2.1. Планирование инспекций систем фармаконадзора основывается на системном подходе, ориентированном на оценку рисков, с целью оптимального использования ресурсов в рамках осуществляемой деятельности по контролю и обеспечению высокого уровня защиты здоровья населения. Подход к планированию инспекций, основанный на рисках, позволяет определить частоту, направленность и объем инспектирования инспекций по фармаконадзору.</w:t>
            </w:r>
          </w:p>
          <w:p>
            <w:pPr>
              <w:spacing w:after="20"/>
              <w:ind w:left="20"/>
              <w:jc w:val="both"/>
            </w:pPr>
            <w:r>
              <w:rPr>
                <w:rFonts w:ascii="Times New Roman"/>
                <w:b w:val="false"/>
                <w:i w:val="false"/>
                <w:color w:val="000000"/>
                <w:sz w:val="20"/>
              </w:rPr>
              <w:t>
   4.2.2.2. При составлении программ инспекций систем фармаконадзора уполномоченным органом принимаются во внимание следующие факторы:</w:t>
            </w:r>
          </w:p>
          <w:p>
            <w:pPr>
              <w:spacing w:after="20"/>
              <w:ind w:left="20"/>
              <w:jc w:val="both"/>
            </w:pPr>
            <w:r>
              <w:rPr>
                <w:rFonts w:ascii="Times New Roman"/>
                <w:b w:val="false"/>
                <w:i w:val="false"/>
                <w:color w:val="000000"/>
                <w:sz w:val="20"/>
              </w:rPr>
              <w:t>
   1) факторы, связанные с инспекцией:</w:t>
            </w:r>
          </w:p>
          <w:p>
            <w:pPr>
              <w:spacing w:after="20"/>
              <w:ind w:left="20"/>
              <w:jc w:val="both"/>
            </w:pPr>
            <w:r>
              <w:rPr>
                <w:rFonts w:ascii="Times New Roman"/>
                <w:b w:val="false"/>
                <w:i w:val="false"/>
                <w:color w:val="000000"/>
                <w:sz w:val="20"/>
              </w:rPr>
              <w:t>
   история выявления несоответствий по результатам предыдущих инспекций фармаконадзора или других типов инспекций (GCP, GMP, GLP, GPP и GDP);</w:t>
            </w:r>
          </w:p>
          <w:p>
            <w:pPr>
              <w:spacing w:after="20"/>
              <w:ind w:left="20"/>
              <w:jc w:val="both"/>
            </w:pPr>
            <w:r>
              <w:rPr>
                <w:rFonts w:ascii="Times New Roman"/>
                <w:b w:val="false"/>
                <w:i w:val="false"/>
                <w:color w:val="000000"/>
                <w:sz w:val="20"/>
              </w:rPr>
              <w:t>
   дата повторной инспекции, рекомендованная инспекторами или экспертами в результате предыдущей инспекции;</w:t>
            </w:r>
          </w:p>
          <w:p>
            <w:pPr>
              <w:spacing w:after="20"/>
              <w:ind w:left="20"/>
              <w:jc w:val="both"/>
            </w:pPr>
            <w:r>
              <w:rPr>
                <w:rFonts w:ascii="Times New Roman"/>
                <w:b w:val="false"/>
                <w:i w:val="false"/>
                <w:color w:val="000000"/>
                <w:sz w:val="20"/>
              </w:rPr>
              <w:t>
   2) факторы, связанные с лекарственными препаратами:</w:t>
            </w:r>
          </w:p>
          <w:p>
            <w:pPr>
              <w:spacing w:after="20"/>
              <w:ind w:left="20"/>
              <w:jc w:val="both"/>
            </w:pPr>
            <w:r>
              <w:rPr>
                <w:rFonts w:ascii="Times New Roman"/>
                <w:b w:val="false"/>
                <w:i w:val="false"/>
                <w:color w:val="000000"/>
                <w:sz w:val="20"/>
              </w:rPr>
              <w:t>
   регистрация лекарственного препарата, для которого назначены дополнительные мероприятия по фармаконадзору или мероприятия, направленные на минимизацию рисков;</w:t>
            </w:r>
          </w:p>
          <w:p>
            <w:pPr>
              <w:spacing w:after="20"/>
              <w:ind w:left="20"/>
              <w:jc w:val="both"/>
            </w:pPr>
            <w:r>
              <w:rPr>
                <w:rFonts w:ascii="Times New Roman"/>
                <w:b w:val="false"/>
                <w:i w:val="false"/>
                <w:color w:val="000000"/>
                <w:sz w:val="20"/>
              </w:rPr>
              <w:t>
   регистрация лекарственного препарата, для которого назначено проведение пострегистрационных исследований по безопасности или назначен дополнительный мониторинг;</w:t>
            </w:r>
          </w:p>
          <w:p>
            <w:pPr>
              <w:spacing w:after="20"/>
              <w:ind w:left="20"/>
              <w:jc w:val="both"/>
            </w:pPr>
            <w:r>
              <w:rPr>
                <w:rFonts w:ascii="Times New Roman"/>
                <w:b w:val="false"/>
                <w:i w:val="false"/>
                <w:color w:val="000000"/>
                <w:sz w:val="20"/>
              </w:rPr>
              <w:t>
   регистрация и поставка лекарственного препарата с большим объемом продаж, т.е. потенциально значимым воздействием на большую популяцию пациентов;</w:t>
            </w:r>
          </w:p>
          <w:p>
            <w:pPr>
              <w:spacing w:after="20"/>
              <w:ind w:left="20"/>
              <w:jc w:val="both"/>
            </w:pPr>
            <w:r>
              <w:rPr>
                <w:rFonts w:ascii="Times New Roman"/>
                <w:b w:val="false"/>
                <w:i w:val="false"/>
                <w:color w:val="000000"/>
                <w:sz w:val="20"/>
              </w:rPr>
              <w:t>
   лекарственный препарат, не имеющий достаточного количества альтернатив на рынке Республики Казахстан;</w:t>
            </w:r>
          </w:p>
          <w:p>
            <w:pPr>
              <w:spacing w:after="20"/>
              <w:ind w:left="20"/>
              <w:jc w:val="both"/>
            </w:pPr>
            <w:r>
              <w:rPr>
                <w:rFonts w:ascii="Times New Roman"/>
                <w:b w:val="false"/>
                <w:i w:val="false"/>
                <w:color w:val="000000"/>
                <w:sz w:val="20"/>
              </w:rPr>
              <w:t>
   3) факторы, связанные с держателем регистрационного удостоверения:</w:t>
            </w:r>
          </w:p>
          <w:p>
            <w:pPr>
              <w:spacing w:after="20"/>
              <w:ind w:left="20"/>
              <w:jc w:val="both"/>
            </w:pPr>
            <w:r>
              <w:rPr>
                <w:rFonts w:ascii="Times New Roman"/>
                <w:b w:val="false"/>
                <w:i w:val="false"/>
                <w:color w:val="000000"/>
                <w:sz w:val="20"/>
              </w:rPr>
              <w:t>
   держатель регистрационного удостоверения никогда не подвергавшийся инспекции системы фармаконадзора;</w:t>
            </w:r>
          </w:p>
          <w:p>
            <w:pPr>
              <w:spacing w:after="20"/>
              <w:ind w:left="20"/>
              <w:jc w:val="both"/>
            </w:pPr>
            <w:r>
              <w:rPr>
                <w:rFonts w:ascii="Times New Roman"/>
                <w:b w:val="false"/>
                <w:i w:val="false"/>
                <w:color w:val="000000"/>
                <w:sz w:val="20"/>
              </w:rPr>
              <w:t>
   держатель регистрационного удостоверения, имеющий в обращении на рынке Республики Казахстан множество лекарственных препаратов;</w:t>
            </w:r>
          </w:p>
          <w:p>
            <w:pPr>
              <w:spacing w:after="20"/>
              <w:ind w:left="20"/>
              <w:jc w:val="both"/>
            </w:pPr>
            <w:r>
              <w:rPr>
                <w:rFonts w:ascii="Times New Roman"/>
                <w:b w:val="false"/>
                <w:i w:val="false"/>
                <w:color w:val="000000"/>
                <w:sz w:val="20"/>
              </w:rPr>
              <w:t>
   держатель регистрационного удостоверения, ранее не имевший удостоверений о государственной регистрации на территории Республики Казахстан;</w:t>
            </w:r>
          </w:p>
          <w:p>
            <w:pPr>
              <w:spacing w:after="20"/>
              <w:ind w:left="20"/>
              <w:jc w:val="both"/>
            </w:pPr>
            <w:r>
              <w:rPr>
                <w:rFonts w:ascii="Times New Roman"/>
                <w:b w:val="false"/>
                <w:i w:val="false"/>
                <w:color w:val="000000"/>
                <w:sz w:val="20"/>
              </w:rPr>
              <w:t>
   негативная информация в отношении выполнения требований законодательства и (или) проблем по безопасности лекарственных препаратов, полученная со стороны уполномоченного органа Республики Казахстан и иных стран, а также уполномоченных органов в других областях регулирования обращения лекарственных препаратов (т.е. GCP, GMP, GLP, GPP и GDP);</w:t>
            </w:r>
          </w:p>
          <w:p>
            <w:pPr>
              <w:spacing w:after="20"/>
              <w:ind w:left="20"/>
              <w:jc w:val="both"/>
            </w:pPr>
            <w:r>
              <w:rPr>
                <w:rFonts w:ascii="Times New Roman"/>
                <w:b w:val="false"/>
                <w:i w:val="false"/>
                <w:color w:val="000000"/>
                <w:sz w:val="20"/>
              </w:rPr>
              <w:t>
   изменения в организационной структуре держателя регистрационного удостоверения, такие как слияния и поглощения;</w:t>
            </w:r>
          </w:p>
          <w:p>
            <w:pPr>
              <w:spacing w:after="20"/>
              <w:ind w:left="20"/>
              <w:jc w:val="both"/>
            </w:pPr>
            <w:r>
              <w:rPr>
                <w:rFonts w:ascii="Times New Roman"/>
                <w:b w:val="false"/>
                <w:i w:val="false"/>
                <w:color w:val="000000"/>
                <w:sz w:val="20"/>
              </w:rPr>
              <w:t>
   4) факторы, связанные с системой фармаконадзора:</w:t>
            </w:r>
          </w:p>
          <w:p>
            <w:pPr>
              <w:spacing w:after="20"/>
              <w:ind w:left="20"/>
              <w:jc w:val="both"/>
            </w:pPr>
            <w:r>
              <w:rPr>
                <w:rFonts w:ascii="Times New Roman"/>
                <w:b w:val="false"/>
                <w:i w:val="false"/>
                <w:color w:val="000000"/>
                <w:sz w:val="20"/>
              </w:rPr>
              <w:t>
   держатель регистрационного удостоверения, имеющий субподрядную организацию по осуществлению деятельности по фармаконадзору (в части функций УЛФ в Республике Казахстан, представления отчетов по безопасности) и (или) несколько организаций, привлеченных для осуществления мероприятий по фармаконадзору;</w:t>
            </w:r>
          </w:p>
          <w:p>
            <w:pPr>
              <w:spacing w:after="20"/>
              <w:ind w:left="20"/>
              <w:jc w:val="both"/>
            </w:pPr>
            <w:r>
              <w:rPr>
                <w:rFonts w:ascii="Times New Roman"/>
                <w:b w:val="false"/>
                <w:i w:val="false"/>
                <w:color w:val="000000"/>
                <w:sz w:val="20"/>
              </w:rPr>
              <w:t>
   замена УЛФ с момента последней инспекции;</w:t>
            </w:r>
          </w:p>
          <w:p>
            <w:pPr>
              <w:spacing w:after="20"/>
              <w:ind w:left="20"/>
              <w:jc w:val="both"/>
            </w:pPr>
            <w:r>
              <w:rPr>
                <w:rFonts w:ascii="Times New Roman"/>
                <w:b w:val="false"/>
                <w:i w:val="false"/>
                <w:color w:val="000000"/>
                <w:sz w:val="20"/>
              </w:rPr>
              <w:t>
   изменения в базе данных по безопасности лекарственных препаратов, включающие в себя изменение самой базы данных или взаимосвязанных баз данных, статус валидации базы данных и информации о переданных или перенесенных данных;</w:t>
            </w:r>
          </w:p>
          <w:p>
            <w:pPr>
              <w:spacing w:after="20"/>
              <w:ind w:left="20"/>
              <w:jc w:val="both"/>
            </w:pPr>
            <w:r>
              <w:rPr>
                <w:rFonts w:ascii="Times New Roman"/>
                <w:b w:val="false"/>
                <w:i w:val="false"/>
                <w:color w:val="000000"/>
                <w:sz w:val="20"/>
              </w:rPr>
              <w:t>
   изменения в договорных отношениях с поставщиками услуг по фармаконадзору или мест выполнения функций по фармаконадзору;</w:t>
            </w:r>
          </w:p>
          <w:p>
            <w:pPr>
              <w:spacing w:after="20"/>
              <w:ind w:left="20"/>
              <w:jc w:val="both"/>
            </w:pPr>
            <w:r>
              <w:rPr>
                <w:rFonts w:ascii="Times New Roman"/>
                <w:b w:val="false"/>
                <w:i w:val="false"/>
                <w:color w:val="000000"/>
                <w:sz w:val="20"/>
              </w:rPr>
              <w:t>
   делегирование или передача управления мастер-файлом системы фармаконадзора.</w:t>
            </w:r>
          </w:p>
          <w:p>
            <w:pPr>
              <w:spacing w:after="20"/>
              <w:ind w:left="20"/>
              <w:jc w:val="both"/>
            </w:pPr>
            <w:r>
              <w:rPr>
                <w:rFonts w:ascii="Times New Roman"/>
                <w:b w:val="false"/>
                <w:i w:val="false"/>
                <w:color w:val="000000"/>
                <w:sz w:val="20"/>
              </w:rPr>
              <w:t>
   4.2.2.3. Уполномоченный орган, уполномоченная организация запрашивают требуемую информацию у держателя регистрационного удостоверения в целях планирования инспекции на основании подхода по оценке рисков, в случае если на момент планирования она не является доступной.</w:t>
            </w:r>
          </w:p>
          <w:p>
            <w:pPr>
              <w:spacing w:after="20"/>
              <w:ind w:left="20"/>
              <w:jc w:val="both"/>
            </w:pPr>
            <w:r>
              <w:rPr>
                <w:rFonts w:ascii="Times New Roman"/>
                <w:b w:val="false"/>
                <w:i w:val="false"/>
                <w:color w:val="000000"/>
                <w:sz w:val="20"/>
              </w:rPr>
              <w:t>
   4.2.3. Инспектируемые объекты</w:t>
            </w:r>
          </w:p>
          <w:p>
            <w:pPr>
              <w:spacing w:after="20"/>
              <w:ind w:left="20"/>
              <w:jc w:val="both"/>
            </w:pPr>
            <w:r>
              <w:rPr>
                <w:rFonts w:ascii="Times New Roman"/>
                <w:b w:val="false"/>
                <w:i w:val="false"/>
                <w:color w:val="000000"/>
                <w:sz w:val="20"/>
              </w:rPr>
              <w:t>
   Любая сторона, осуществляющая мероприятия по фармаконадзору полностью или частично, от имени держателя регистрационного удостоверения либо совместно с ним, подвергается инспекции на подтверждение способности надлежащего выполнения обязательств и соблюдения требований действующего законодательства Республики Казахстан по фармаконадзору держателя регистрационного удостоверения. Объекты для инспектирования располагаются на территории Республики Казахстан либо за ее пределами. Инспекции объектов за пределами Республики Казахстан являются уместными, если главный центр фармаконадзора, базы данных и (или) выполняемая деятельность по фармаконадзору находятся за пределами Республики Казахстан. Тип и количество инспектируемых объектов выбираются соответствующим образом с целью гарантирования достижения ключевых целей инспекции.</w:t>
            </w:r>
          </w:p>
          <w:p>
            <w:pPr>
              <w:spacing w:after="20"/>
              <w:ind w:left="20"/>
              <w:jc w:val="both"/>
            </w:pPr>
            <w:r>
              <w:rPr>
                <w:rFonts w:ascii="Times New Roman"/>
                <w:b w:val="false"/>
                <w:i w:val="false"/>
                <w:color w:val="000000"/>
                <w:sz w:val="20"/>
              </w:rPr>
              <w:t>
   4.2.4. Объем инспекции</w:t>
            </w:r>
          </w:p>
          <w:p>
            <w:pPr>
              <w:spacing w:after="20"/>
              <w:ind w:left="20"/>
              <w:jc w:val="both"/>
            </w:pPr>
            <w:r>
              <w:rPr>
                <w:rFonts w:ascii="Times New Roman"/>
                <w:b w:val="false"/>
                <w:i w:val="false"/>
                <w:color w:val="000000"/>
                <w:sz w:val="20"/>
              </w:rPr>
              <w:t>
   Объем инспекции зависит от целей инспекции, от охвата предыдущими инспекциями уполномоченной организацией и от типа инспекции. При подготовке объема инспекции учитывается:</w:t>
            </w:r>
          </w:p>
          <w:p>
            <w:pPr>
              <w:spacing w:after="20"/>
              <w:ind w:left="20"/>
              <w:jc w:val="both"/>
            </w:pPr>
            <w:r>
              <w:rPr>
                <w:rFonts w:ascii="Times New Roman"/>
                <w:b w:val="false"/>
                <w:i w:val="false"/>
                <w:color w:val="000000"/>
                <w:sz w:val="20"/>
              </w:rPr>
              <w:t>
   1) информация, представленная в мастер-файле системы фармаконадзора;</w:t>
            </w:r>
          </w:p>
          <w:p>
            <w:pPr>
              <w:spacing w:after="20"/>
              <w:ind w:left="20"/>
              <w:jc w:val="both"/>
            </w:pPr>
            <w:r>
              <w:rPr>
                <w:rFonts w:ascii="Times New Roman"/>
                <w:b w:val="false"/>
                <w:i w:val="false"/>
                <w:color w:val="000000"/>
                <w:sz w:val="20"/>
              </w:rPr>
              <w:t>
   2) информация о функционировании системы фармаконадзора (наличие у уполномоченного органа данных о соответствии системы фармаконадзора);</w:t>
            </w:r>
          </w:p>
          <w:p>
            <w:pPr>
              <w:spacing w:after="20"/>
              <w:ind w:left="20"/>
              <w:jc w:val="both"/>
            </w:pPr>
            <w:r>
              <w:rPr>
                <w:rFonts w:ascii="Times New Roman"/>
                <w:b w:val="false"/>
                <w:i w:val="false"/>
                <w:color w:val="000000"/>
                <w:sz w:val="20"/>
              </w:rPr>
              <w:t>
   3) конкретные факторы инициирования инспекции (п 2.1.2);</w:t>
            </w:r>
          </w:p>
          <w:p>
            <w:pPr>
              <w:spacing w:after="20"/>
              <w:ind w:left="20"/>
              <w:jc w:val="both"/>
            </w:pPr>
            <w:r>
              <w:rPr>
                <w:rFonts w:ascii="Times New Roman"/>
                <w:b w:val="false"/>
                <w:i w:val="false"/>
                <w:color w:val="000000"/>
                <w:sz w:val="20"/>
              </w:rPr>
              <w:t>
   4.2.4.1. Стандартные инспекции фармаконадзора</w:t>
            </w:r>
          </w:p>
          <w:p>
            <w:pPr>
              <w:spacing w:after="20"/>
              <w:ind w:left="20"/>
              <w:jc w:val="both"/>
            </w:pPr>
            <w:r>
              <w:rPr>
                <w:rFonts w:ascii="Times New Roman"/>
                <w:b w:val="false"/>
                <w:i w:val="false"/>
                <w:color w:val="000000"/>
                <w:sz w:val="20"/>
              </w:rPr>
              <w:t>
   В процессе стандартных инспекций системы фармаконадзора проверяется соблюдение нормативных требований (норм регулирования) по фармаконадзору и настоящему Стандарту. В случаях если это применимо, инспектирование включает оценку следующих элементов системы:</w:t>
            </w:r>
          </w:p>
          <w:p>
            <w:pPr>
              <w:spacing w:after="20"/>
              <w:ind w:left="20"/>
              <w:jc w:val="both"/>
            </w:pPr>
            <w:r>
              <w:rPr>
                <w:rFonts w:ascii="Times New Roman"/>
                <w:b w:val="false"/>
                <w:i w:val="false"/>
                <w:color w:val="000000"/>
                <w:sz w:val="20"/>
              </w:rPr>
              <w:t>
   1) процедуры работы с индивидуальными сообщениями о нежелательных реакциях на лекарственный препарат (ИСНР):</w:t>
            </w:r>
          </w:p>
          <w:p>
            <w:pPr>
              <w:spacing w:after="20"/>
              <w:ind w:left="20"/>
              <w:jc w:val="both"/>
            </w:pPr>
            <w:r>
              <w:rPr>
                <w:rFonts w:ascii="Times New Roman"/>
                <w:b w:val="false"/>
                <w:i w:val="false"/>
                <w:color w:val="000000"/>
                <w:sz w:val="20"/>
              </w:rPr>
              <w:t>
   сбор, получение и обмен сообщениями, полученными от источников всех видов, объектов и организаций в рамках системы фармаконадзора, в том числе от организаций, выполняющих на контрактной основе обязательства по фармаконадзору для держателя регистрационного удостоверения и иных подразделений организации, не относящихся к системе фармаконадзора;</w:t>
            </w:r>
          </w:p>
          <w:p>
            <w:pPr>
              <w:spacing w:after="20"/>
              <w:ind w:left="20"/>
              <w:jc w:val="both"/>
            </w:pPr>
            <w:r>
              <w:rPr>
                <w:rFonts w:ascii="Times New Roman"/>
                <w:b w:val="false"/>
                <w:i w:val="false"/>
                <w:color w:val="000000"/>
                <w:sz w:val="20"/>
              </w:rPr>
              <w:t>
   оценка, в том числе механизмы получения и процедура регистрации оценки лиц, представивших сообщения; используемая терминология; оценка серьезности, ожидаемости и причинно-следственной связи;</w:t>
            </w:r>
          </w:p>
          <w:p>
            <w:pPr>
              <w:spacing w:after="20"/>
              <w:ind w:left="20"/>
              <w:jc w:val="both"/>
            </w:pPr>
            <w:r>
              <w:rPr>
                <w:rFonts w:ascii="Times New Roman"/>
                <w:b w:val="false"/>
                <w:i w:val="false"/>
                <w:color w:val="000000"/>
                <w:sz w:val="20"/>
              </w:rPr>
              <w:t>
   регистрация результатов последующего наблюдения и исходов (исход в случаях воздействия лекарственного препарата на плод в период беременности и медицинское подтверждение сообщений, полученных со стороны пациентов);</w:t>
            </w:r>
          </w:p>
          <w:p>
            <w:pPr>
              <w:spacing w:after="20"/>
              <w:ind w:left="20"/>
              <w:jc w:val="both"/>
            </w:pPr>
            <w:r>
              <w:rPr>
                <w:rFonts w:ascii="Times New Roman"/>
                <w:b w:val="false"/>
                <w:i w:val="false"/>
                <w:color w:val="000000"/>
                <w:sz w:val="20"/>
              </w:rPr>
              <w:t>
   выполнение требований действующего законодательства Республики Казахстан по представлению различных типов ИСНР в соответствующие компетентные органы;</w:t>
            </w:r>
          </w:p>
          <w:p>
            <w:pPr>
              <w:spacing w:after="20"/>
              <w:ind w:left="20"/>
              <w:jc w:val="both"/>
            </w:pPr>
            <w:r>
              <w:rPr>
                <w:rFonts w:ascii="Times New Roman"/>
                <w:b w:val="false"/>
                <w:i w:val="false"/>
                <w:color w:val="000000"/>
                <w:sz w:val="20"/>
              </w:rPr>
              <w:t>
   ведение документации и архивирование ИСНР;</w:t>
            </w:r>
          </w:p>
          <w:p>
            <w:pPr>
              <w:spacing w:after="20"/>
              <w:ind w:left="20"/>
              <w:jc w:val="both"/>
            </w:pPr>
            <w:r>
              <w:rPr>
                <w:rFonts w:ascii="Times New Roman"/>
                <w:b w:val="false"/>
                <w:i w:val="false"/>
                <w:color w:val="000000"/>
                <w:sz w:val="20"/>
              </w:rPr>
              <w:t>
   2) периодические отчеты по безопасности (ПОБ) (если применимо):</w:t>
            </w:r>
          </w:p>
          <w:p>
            <w:pPr>
              <w:spacing w:after="20"/>
              <w:ind w:left="20"/>
              <w:jc w:val="both"/>
            </w:pPr>
            <w:r>
              <w:rPr>
                <w:rFonts w:ascii="Times New Roman"/>
                <w:b w:val="false"/>
                <w:i w:val="false"/>
                <w:color w:val="000000"/>
                <w:sz w:val="20"/>
              </w:rPr>
              <w:t>
   полнота и достоверность включенных данных, обоснованность решений, относящихся к данным, которые не включены;</w:t>
            </w:r>
          </w:p>
          <w:p>
            <w:pPr>
              <w:spacing w:after="20"/>
              <w:ind w:left="20"/>
              <w:jc w:val="both"/>
            </w:pPr>
            <w:r>
              <w:rPr>
                <w:rFonts w:ascii="Times New Roman"/>
                <w:b w:val="false"/>
                <w:i w:val="false"/>
                <w:color w:val="000000"/>
                <w:sz w:val="20"/>
              </w:rPr>
              <w:t>
   решение вопросов по изменению профиля безопасности, представление соответствующих анализов и мер;</w:t>
            </w:r>
          </w:p>
          <w:p>
            <w:pPr>
              <w:spacing w:after="20"/>
              <w:ind w:left="20"/>
              <w:jc w:val="both"/>
            </w:pPr>
            <w:r>
              <w:rPr>
                <w:rFonts w:ascii="Times New Roman"/>
                <w:b w:val="false"/>
                <w:i w:val="false"/>
                <w:color w:val="000000"/>
                <w:sz w:val="20"/>
              </w:rPr>
              <w:t>
   оформление в соответствии с требованиями законодательства;</w:t>
            </w:r>
          </w:p>
          <w:p>
            <w:pPr>
              <w:spacing w:after="20"/>
              <w:ind w:left="20"/>
              <w:jc w:val="both"/>
            </w:pPr>
            <w:r>
              <w:rPr>
                <w:rFonts w:ascii="Times New Roman"/>
                <w:b w:val="false"/>
                <w:i w:val="false"/>
                <w:color w:val="000000"/>
                <w:sz w:val="20"/>
              </w:rPr>
              <w:t>
   своевременность представления;</w:t>
            </w:r>
          </w:p>
          <w:p>
            <w:pPr>
              <w:spacing w:after="20"/>
              <w:ind w:left="20"/>
              <w:jc w:val="both"/>
            </w:pPr>
            <w:r>
              <w:rPr>
                <w:rFonts w:ascii="Times New Roman"/>
                <w:b w:val="false"/>
                <w:i w:val="false"/>
                <w:color w:val="000000"/>
                <w:sz w:val="20"/>
              </w:rPr>
              <w:t>
   3) непрерывная оценка профиля безопасности:</w:t>
            </w:r>
          </w:p>
          <w:p>
            <w:pPr>
              <w:spacing w:after="20"/>
              <w:ind w:left="20"/>
              <w:jc w:val="both"/>
            </w:pPr>
            <w:r>
              <w:rPr>
                <w:rFonts w:ascii="Times New Roman"/>
                <w:b w:val="false"/>
                <w:i w:val="false"/>
                <w:color w:val="000000"/>
                <w:sz w:val="20"/>
              </w:rPr>
              <w:t>
   использование всех источников информации для обнаружения сигнала;</w:t>
            </w:r>
          </w:p>
          <w:p>
            <w:pPr>
              <w:spacing w:after="20"/>
              <w:ind w:left="20"/>
              <w:jc w:val="both"/>
            </w:pPr>
            <w:r>
              <w:rPr>
                <w:rFonts w:ascii="Times New Roman"/>
                <w:b w:val="false"/>
                <w:i w:val="false"/>
                <w:color w:val="000000"/>
                <w:sz w:val="20"/>
              </w:rPr>
              <w:t>
   правильное применение методологии анализа информации;</w:t>
            </w:r>
          </w:p>
          <w:p>
            <w:pPr>
              <w:spacing w:after="20"/>
              <w:ind w:left="20"/>
              <w:jc w:val="both"/>
            </w:pPr>
            <w:r>
              <w:rPr>
                <w:rFonts w:ascii="Times New Roman"/>
                <w:b w:val="false"/>
                <w:i w:val="false"/>
                <w:color w:val="000000"/>
                <w:sz w:val="20"/>
              </w:rPr>
              <w:t>
   соответствие процедур расследования и последующих действий (внедрение рекомендаций после анализа данных);</w:t>
            </w:r>
          </w:p>
          <w:p>
            <w:pPr>
              <w:spacing w:after="20"/>
              <w:ind w:left="20"/>
              <w:jc w:val="both"/>
            </w:pPr>
            <w:r>
              <w:rPr>
                <w:rFonts w:ascii="Times New Roman"/>
                <w:b w:val="false"/>
                <w:i w:val="false"/>
                <w:color w:val="000000"/>
                <w:sz w:val="20"/>
              </w:rPr>
              <w:t>
   реализация плана управления рисками или других обязательств;</w:t>
            </w:r>
          </w:p>
          <w:p>
            <w:pPr>
              <w:spacing w:after="20"/>
              <w:ind w:left="20"/>
              <w:jc w:val="both"/>
            </w:pPr>
            <w:r>
              <w:rPr>
                <w:rFonts w:ascii="Times New Roman"/>
                <w:b w:val="false"/>
                <w:i w:val="false"/>
                <w:color w:val="000000"/>
                <w:sz w:val="20"/>
              </w:rPr>
              <w:t>
   своевременное выявление и представление полных и точных данных уполномоченному органу, а именно ответ на конкретные запросы данных;</w:t>
            </w:r>
          </w:p>
          <w:p>
            <w:pPr>
              <w:spacing w:after="20"/>
              <w:ind w:left="20"/>
              <w:jc w:val="both"/>
            </w:pPr>
            <w:r>
              <w:rPr>
                <w:rFonts w:ascii="Times New Roman"/>
                <w:b w:val="false"/>
                <w:i w:val="false"/>
                <w:color w:val="000000"/>
                <w:sz w:val="20"/>
              </w:rPr>
              <w:t>
   включение утвержденных изменений в сообщения, касающихся безопасности, и информацию о лекарственном препарате;</w:t>
            </w:r>
          </w:p>
          <w:p>
            <w:pPr>
              <w:spacing w:after="20"/>
              <w:ind w:left="20"/>
              <w:jc w:val="both"/>
            </w:pPr>
            <w:r>
              <w:rPr>
                <w:rFonts w:ascii="Times New Roman"/>
                <w:b w:val="false"/>
                <w:i w:val="false"/>
                <w:color w:val="000000"/>
                <w:sz w:val="20"/>
              </w:rPr>
              <w:t>
   4) интервенционные (при необходимости) и неинтервенционные клинические исследования (испытания):</w:t>
            </w:r>
          </w:p>
          <w:p>
            <w:pPr>
              <w:spacing w:after="20"/>
              <w:ind w:left="20"/>
              <w:jc w:val="both"/>
            </w:pPr>
            <w:r>
              <w:rPr>
                <w:rFonts w:ascii="Times New Roman"/>
                <w:b w:val="false"/>
                <w:i w:val="false"/>
                <w:color w:val="000000"/>
                <w:sz w:val="20"/>
              </w:rPr>
              <w:t>
   представление сообщений о подозреваемых серьезных неожиданных нежелательных реакциях в соответствии с требованиями действующего законодательства Республики Казахстан;</w:t>
            </w:r>
          </w:p>
          <w:p>
            <w:pPr>
              <w:spacing w:after="20"/>
              <w:ind w:left="20"/>
              <w:jc w:val="both"/>
            </w:pPr>
            <w:r>
              <w:rPr>
                <w:rFonts w:ascii="Times New Roman"/>
                <w:b w:val="false"/>
                <w:i w:val="false"/>
                <w:color w:val="000000"/>
                <w:sz w:val="20"/>
              </w:rPr>
              <w:t>
   получение, регистрация и оценка случаев нежелательных реакций, выявленных в ходе интервенционных и неинтервенционных клинических исследований (испытаний);</w:t>
            </w:r>
          </w:p>
          <w:p>
            <w:pPr>
              <w:spacing w:after="20"/>
              <w:ind w:left="20"/>
              <w:jc w:val="both"/>
            </w:pPr>
            <w:r>
              <w:rPr>
                <w:rFonts w:ascii="Times New Roman"/>
                <w:b w:val="false"/>
                <w:i w:val="false"/>
                <w:color w:val="000000"/>
                <w:sz w:val="20"/>
              </w:rPr>
              <w:t>
   представление результатов исследования (испытания) и соответствующей информации по безопасности лекарственных препаратов в форме отчетов согласно требованиям действующего законодательства Республики Казахстан;</w:t>
            </w:r>
          </w:p>
          <w:p>
            <w:pPr>
              <w:spacing w:after="20"/>
              <w:ind w:left="20"/>
              <w:jc w:val="both"/>
            </w:pPr>
            <w:r>
              <w:rPr>
                <w:rFonts w:ascii="Times New Roman"/>
                <w:b w:val="false"/>
                <w:i w:val="false"/>
                <w:color w:val="000000"/>
                <w:sz w:val="20"/>
              </w:rPr>
              <w:t>
   соответствующий выбор справочной информации по безопасности, поддержание актуального уровня информации в брошюрах исследователя или информации о безопасности для пациента;</w:t>
            </w:r>
          </w:p>
          <w:p>
            <w:pPr>
              <w:spacing w:after="20"/>
              <w:ind w:left="20"/>
              <w:jc w:val="both"/>
            </w:pPr>
            <w:r>
              <w:rPr>
                <w:rFonts w:ascii="Times New Roman"/>
                <w:b w:val="false"/>
                <w:i w:val="false"/>
                <w:color w:val="000000"/>
                <w:sz w:val="20"/>
              </w:rPr>
              <w:t>
   включение данных исследования (испытания) в текущую оценку профиля безопасности лекарственного препарата;</w:t>
            </w:r>
          </w:p>
          <w:p>
            <w:pPr>
              <w:spacing w:after="20"/>
              <w:ind w:left="20"/>
              <w:jc w:val="both"/>
            </w:pPr>
            <w:r>
              <w:rPr>
                <w:rFonts w:ascii="Times New Roman"/>
                <w:b w:val="false"/>
                <w:i w:val="false"/>
                <w:color w:val="000000"/>
                <w:sz w:val="20"/>
              </w:rPr>
              <w:t>
   5) процедуры системы фармаконадзора:</w:t>
            </w:r>
          </w:p>
          <w:p>
            <w:pPr>
              <w:spacing w:after="20"/>
              <w:ind w:left="20"/>
              <w:jc w:val="both"/>
            </w:pPr>
            <w:r>
              <w:rPr>
                <w:rFonts w:ascii="Times New Roman"/>
                <w:b w:val="false"/>
                <w:i w:val="false"/>
                <w:color w:val="000000"/>
                <w:sz w:val="20"/>
              </w:rPr>
              <w:t>
   роли и обязанности УЛФ (доступ к системе качества фармаконадзора, мастер-файлу системы фармаконадзора, показателям эффективности и индикаторам системы, отчетам по аудитам и инспекциям) и способность принимать меры по улучшению соответствия;</w:t>
            </w:r>
          </w:p>
          <w:p>
            <w:pPr>
              <w:spacing w:after="20"/>
              <w:ind w:left="20"/>
              <w:jc w:val="both"/>
            </w:pPr>
            <w:r>
              <w:rPr>
                <w:rFonts w:ascii="Times New Roman"/>
                <w:b w:val="false"/>
                <w:i w:val="false"/>
                <w:color w:val="000000"/>
                <w:sz w:val="20"/>
              </w:rPr>
              <w:t>
   роли и обязанности держателя регистрационного удостоверения в отношении системы фармаконадзора;</w:t>
            </w:r>
          </w:p>
          <w:p>
            <w:pPr>
              <w:spacing w:after="20"/>
              <w:ind w:left="20"/>
              <w:jc w:val="both"/>
            </w:pPr>
            <w:r>
              <w:rPr>
                <w:rFonts w:ascii="Times New Roman"/>
                <w:b w:val="false"/>
                <w:i w:val="false"/>
                <w:color w:val="000000"/>
                <w:sz w:val="20"/>
              </w:rPr>
              <w:t>
   точность, полнота и поддержание актуального уровня информации в мастер-файле системы фармаконадзора;</w:t>
            </w:r>
          </w:p>
          <w:p>
            <w:pPr>
              <w:spacing w:after="20"/>
              <w:ind w:left="20"/>
              <w:jc w:val="both"/>
            </w:pPr>
            <w:r>
              <w:rPr>
                <w:rFonts w:ascii="Times New Roman"/>
                <w:b w:val="false"/>
                <w:i w:val="false"/>
                <w:color w:val="000000"/>
                <w:sz w:val="20"/>
              </w:rPr>
              <w:t>
   качество и соответствие уровня подготовки, квалификации и опыта персонала;</w:t>
            </w:r>
          </w:p>
          <w:p>
            <w:pPr>
              <w:spacing w:after="20"/>
              <w:ind w:left="20"/>
              <w:jc w:val="both"/>
            </w:pPr>
            <w:r>
              <w:rPr>
                <w:rFonts w:ascii="Times New Roman"/>
                <w:b w:val="false"/>
                <w:i w:val="false"/>
                <w:color w:val="000000"/>
                <w:sz w:val="20"/>
              </w:rPr>
              <w:t>
   охват и соответствие системы качества в отношении системы фармаконадзора, в том числе выполнение процессов контроля качества и обеспечения качества;</w:t>
            </w:r>
          </w:p>
          <w:p>
            <w:pPr>
              <w:spacing w:after="20"/>
              <w:ind w:left="20"/>
              <w:jc w:val="both"/>
            </w:pPr>
            <w:r>
              <w:rPr>
                <w:rFonts w:ascii="Times New Roman"/>
                <w:b w:val="false"/>
                <w:i w:val="false"/>
                <w:color w:val="000000"/>
                <w:sz w:val="20"/>
              </w:rPr>
              <w:t>
   пригодность используемых компьютеризированных систем для выполнения конкретных функций;</w:t>
            </w:r>
          </w:p>
          <w:p>
            <w:pPr>
              <w:spacing w:after="20"/>
              <w:ind w:left="20"/>
              <w:jc w:val="both"/>
            </w:pPr>
            <w:r>
              <w:rPr>
                <w:rFonts w:ascii="Times New Roman"/>
                <w:b w:val="false"/>
                <w:i w:val="false"/>
                <w:color w:val="000000"/>
                <w:sz w:val="20"/>
              </w:rPr>
              <w:t xml:space="preserve">
   договоры и соглашения со всеми участвующими сторонами, соответствующим образом отражающие обязанности и мероприятия по выполнению фармаконадзора и надлежащее их выполнение. </w:t>
            </w:r>
          </w:p>
          <w:p>
            <w:pPr>
              <w:spacing w:after="20"/>
              <w:ind w:left="20"/>
              <w:jc w:val="both"/>
            </w:pPr>
            <w:r>
              <w:rPr>
                <w:rFonts w:ascii="Times New Roman"/>
                <w:b w:val="false"/>
                <w:i w:val="false"/>
                <w:color w:val="000000"/>
                <w:sz w:val="20"/>
              </w:rPr>
              <w:t xml:space="preserve">
   Инспекция включает и оценку соответствия осуществляемых мер по минимизации рисков установленным требованиям. </w:t>
            </w:r>
          </w:p>
          <w:p>
            <w:pPr>
              <w:spacing w:after="20"/>
              <w:ind w:left="20"/>
              <w:jc w:val="both"/>
            </w:pPr>
            <w:r>
              <w:rPr>
                <w:rFonts w:ascii="Times New Roman"/>
                <w:b w:val="false"/>
                <w:i w:val="false"/>
                <w:color w:val="000000"/>
                <w:sz w:val="20"/>
              </w:rPr>
              <w:t>
   4.2.4.2 Внеплановые инспекции</w:t>
            </w:r>
          </w:p>
          <w:p>
            <w:pPr>
              <w:spacing w:after="20"/>
              <w:ind w:left="20"/>
              <w:jc w:val="both"/>
            </w:pPr>
            <w:r>
              <w:rPr>
                <w:rFonts w:ascii="Times New Roman"/>
                <w:b w:val="false"/>
                <w:i w:val="false"/>
                <w:color w:val="000000"/>
                <w:sz w:val="20"/>
              </w:rPr>
              <w:t>
   Объем внеплановой инспекции зависит от причин ее назначения. В число оцениваемых аспектов системы входят перечисленные выше параметры, и:</w:t>
            </w:r>
          </w:p>
          <w:p>
            <w:pPr>
              <w:spacing w:after="20"/>
              <w:ind w:left="20"/>
              <w:jc w:val="both"/>
            </w:pPr>
            <w:r>
              <w:rPr>
                <w:rFonts w:ascii="Times New Roman"/>
                <w:b w:val="false"/>
                <w:i w:val="false"/>
                <w:color w:val="000000"/>
                <w:sz w:val="20"/>
              </w:rPr>
              <w:t>
   1) вовлечение и информированность УЛФ по вопросам, связанным с конкретным лекарственным препаратом;</w:t>
            </w:r>
          </w:p>
          <w:p>
            <w:pPr>
              <w:spacing w:after="20"/>
              <w:ind w:left="20"/>
              <w:jc w:val="both"/>
            </w:pPr>
            <w:r>
              <w:rPr>
                <w:rFonts w:ascii="Times New Roman"/>
                <w:b w:val="false"/>
                <w:i w:val="false"/>
                <w:color w:val="000000"/>
                <w:sz w:val="20"/>
              </w:rPr>
              <w:t>
   2) углубленное изучение процессов, процедур принятия решений, выполнения информирования и реализации мер, связанных с конкретным фактором инициирования инспекции и (или) лекарственным препаратом.</w:t>
            </w:r>
          </w:p>
          <w:p>
            <w:pPr>
              <w:spacing w:after="20"/>
              <w:ind w:left="20"/>
              <w:jc w:val="both"/>
            </w:pPr>
            <w:r>
              <w:rPr>
                <w:rFonts w:ascii="Times New Roman"/>
                <w:b w:val="false"/>
                <w:i w:val="false"/>
                <w:color w:val="000000"/>
                <w:sz w:val="20"/>
              </w:rPr>
              <w:t>
   4.2.4.3 Повторные инспекции</w:t>
            </w:r>
          </w:p>
          <w:p>
            <w:pPr>
              <w:spacing w:after="20"/>
              <w:ind w:left="20"/>
              <w:jc w:val="both"/>
            </w:pPr>
            <w:r>
              <w:rPr>
                <w:rFonts w:ascii="Times New Roman"/>
                <w:b w:val="false"/>
                <w:i w:val="false"/>
                <w:color w:val="000000"/>
                <w:sz w:val="20"/>
              </w:rPr>
              <w:t>
   4.2.4.3.1. Определяя объемы работ по выполнению повторной инспекции, учитываются следующие аспекты:</w:t>
            </w:r>
          </w:p>
          <w:p>
            <w:pPr>
              <w:spacing w:after="20"/>
              <w:ind w:left="20"/>
              <w:jc w:val="both"/>
            </w:pPr>
            <w:r>
              <w:rPr>
                <w:rFonts w:ascii="Times New Roman"/>
                <w:b w:val="false"/>
                <w:i w:val="false"/>
                <w:color w:val="000000"/>
                <w:sz w:val="20"/>
              </w:rPr>
              <w:t>
   1) анализ состояния системы и (или) плана корректирующих и предупреждающих мероприятий, разработанный по результатам предыдущей инспекции фармаконадзора;</w:t>
            </w:r>
          </w:p>
          <w:p>
            <w:pPr>
              <w:spacing w:after="20"/>
              <w:ind w:left="20"/>
              <w:jc w:val="both"/>
            </w:pPr>
            <w:r>
              <w:rPr>
                <w:rFonts w:ascii="Times New Roman"/>
                <w:b w:val="false"/>
                <w:i w:val="false"/>
                <w:color w:val="000000"/>
                <w:sz w:val="20"/>
              </w:rPr>
              <w:t>
   2) анализ значительных изменений, внесенных в систему фармаконадзора со времени последней инспекции фармаконадзора (изменение базы данных фармаконадзора, слияния или поглощения компании, значительных изменений в договорных видах деятельности, замена УЛФ);</w:t>
            </w:r>
          </w:p>
          <w:p>
            <w:pPr>
              <w:spacing w:after="20"/>
              <w:ind w:left="20"/>
              <w:jc w:val="both"/>
            </w:pPr>
            <w:r>
              <w:rPr>
                <w:rFonts w:ascii="Times New Roman"/>
                <w:b w:val="false"/>
                <w:i w:val="false"/>
                <w:color w:val="000000"/>
                <w:sz w:val="20"/>
              </w:rPr>
              <w:t xml:space="preserve">
   3) анализ процессов (или) вопросов в отношении конкретного лекарственного препарата, выявленных в результате оценки информации, представленной держателем регистрационного удостоверения или не включенных в объем инспектирования предыдущей инспекцией. </w:t>
            </w:r>
          </w:p>
          <w:p>
            <w:pPr>
              <w:spacing w:after="20"/>
              <w:ind w:left="20"/>
              <w:jc w:val="both"/>
            </w:pPr>
            <w:r>
              <w:rPr>
                <w:rFonts w:ascii="Times New Roman"/>
                <w:b w:val="false"/>
                <w:i w:val="false"/>
                <w:color w:val="000000"/>
                <w:sz w:val="20"/>
              </w:rPr>
              <w:t>
   4.2.4.3.2. Объем повторной инспекции определяется результатами предшествующих инспекций и расширяется с учетом ряда факторов (времени от даты проведения предшествующей инспекции, объема предшествующей инспекции, если это применимо).</w:t>
            </w:r>
          </w:p>
          <w:p>
            <w:pPr>
              <w:spacing w:after="20"/>
              <w:ind w:left="20"/>
              <w:jc w:val="both"/>
            </w:pPr>
            <w:r>
              <w:rPr>
                <w:rFonts w:ascii="Times New Roman"/>
                <w:b w:val="false"/>
                <w:i w:val="false"/>
                <w:color w:val="000000"/>
                <w:sz w:val="20"/>
              </w:rPr>
              <w:t>
   4.2.5 Процесс инспекции</w:t>
            </w:r>
          </w:p>
          <w:p>
            <w:pPr>
              <w:spacing w:after="20"/>
              <w:ind w:left="20"/>
              <w:jc w:val="both"/>
            </w:pPr>
            <w:r>
              <w:rPr>
                <w:rFonts w:ascii="Times New Roman"/>
                <w:b w:val="false"/>
                <w:i w:val="false"/>
                <w:color w:val="000000"/>
                <w:sz w:val="20"/>
              </w:rPr>
              <w:t xml:space="preserve">
   4.2.5.1. Инспекции фармаконадзора планируют, координируют, проводят, представляют отчеты о них, контролируют выполнение замечаний и документируют в соответствии с процедурами инспекций, выполняемых на территории Республики Казахстан. </w:t>
            </w:r>
          </w:p>
          <w:p>
            <w:pPr>
              <w:spacing w:after="20"/>
              <w:ind w:left="20"/>
              <w:jc w:val="both"/>
            </w:pPr>
            <w:r>
              <w:rPr>
                <w:rFonts w:ascii="Times New Roman"/>
                <w:b w:val="false"/>
                <w:i w:val="false"/>
                <w:color w:val="000000"/>
                <w:sz w:val="20"/>
              </w:rPr>
              <w:t>
   4.2.5.2. Процедуры по инспекциям фармаконадзора систем фармаконадзора включают следующие процессы:</w:t>
            </w:r>
          </w:p>
          <w:p>
            <w:pPr>
              <w:spacing w:after="20"/>
              <w:ind w:left="20"/>
              <w:jc w:val="both"/>
            </w:pPr>
            <w:r>
              <w:rPr>
                <w:rFonts w:ascii="Times New Roman"/>
                <w:b w:val="false"/>
                <w:i w:val="false"/>
                <w:color w:val="000000"/>
                <w:sz w:val="20"/>
              </w:rPr>
              <w:t>
   1) обмен информацией;</w:t>
            </w:r>
          </w:p>
          <w:p>
            <w:pPr>
              <w:spacing w:after="20"/>
              <w:ind w:left="20"/>
              <w:jc w:val="both"/>
            </w:pPr>
            <w:r>
              <w:rPr>
                <w:rFonts w:ascii="Times New Roman"/>
                <w:b w:val="false"/>
                <w:i w:val="false"/>
                <w:color w:val="000000"/>
                <w:sz w:val="20"/>
              </w:rPr>
              <w:t>
   2) планирование инспекций;</w:t>
            </w:r>
          </w:p>
          <w:p>
            <w:pPr>
              <w:spacing w:after="20"/>
              <w:ind w:left="20"/>
              <w:jc w:val="both"/>
            </w:pPr>
            <w:r>
              <w:rPr>
                <w:rFonts w:ascii="Times New Roman"/>
                <w:b w:val="false"/>
                <w:i w:val="false"/>
                <w:color w:val="000000"/>
                <w:sz w:val="20"/>
              </w:rPr>
              <w:t>
   3) дорегистрационные инспекции;</w:t>
            </w:r>
          </w:p>
          <w:p>
            <w:pPr>
              <w:spacing w:after="20"/>
              <w:ind w:left="20"/>
              <w:jc w:val="both"/>
            </w:pPr>
            <w:r>
              <w:rPr>
                <w:rFonts w:ascii="Times New Roman"/>
                <w:b w:val="false"/>
                <w:i w:val="false"/>
                <w:color w:val="000000"/>
                <w:sz w:val="20"/>
              </w:rPr>
              <w:t>
   4) координация инспекций систем фармаконадзора в Республике Казахстан;</w:t>
            </w:r>
          </w:p>
          <w:p>
            <w:pPr>
              <w:spacing w:after="20"/>
              <w:ind w:left="20"/>
              <w:jc w:val="both"/>
            </w:pPr>
            <w:r>
              <w:rPr>
                <w:rFonts w:ascii="Times New Roman"/>
                <w:b w:val="false"/>
                <w:i w:val="false"/>
                <w:color w:val="000000"/>
                <w:sz w:val="20"/>
              </w:rPr>
              <w:t>
   5) координация инспекций третьей страны (в том числе инспекций подрядчиков в третьих странах);</w:t>
            </w:r>
          </w:p>
          <w:p>
            <w:pPr>
              <w:spacing w:after="20"/>
              <w:ind w:left="20"/>
              <w:jc w:val="both"/>
            </w:pPr>
            <w:r>
              <w:rPr>
                <w:rFonts w:ascii="Times New Roman"/>
                <w:b w:val="false"/>
                <w:i w:val="false"/>
                <w:color w:val="000000"/>
                <w:sz w:val="20"/>
              </w:rPr>
              <w:t>
   6) подготовка инспекций систем фармаконадзора;</w:t>
            </w:r>
          </w:p>
          <w:p>
            <w:pPr>
              <w:spacing w:after="20"/>
              <w:ind w:left="20"/>
              <w:jc w:val="both"/>
            </w:pPr>
            <w:r>
              <w:rPr>
                <w:rFonts w:ascii="Times New Roman"/>
                <w:b w:val="false"/>
                <w:i w:val="false"/>
                <w:color w:val="000000"/>
                <w:sz w:val="20"/>
              </w:rPr>
              <w:t>
   7) проведение инспекций систем фармаконадзора;</w:t>
            </w:r>
          </w:p>
          <w:p>
            <w:pPr>
              <w:spacing w:after="20"/>
              <w:ind w:left="20"/>
              <w:jc w:val="both"/>
            </w:pPr>
            <w:r>
              <w:rPr>
                <w:rFonts w:ascii="Times New Roman"/>
                <w:b w:val="false"/>
                <w:i w:val="false"/>
                <w:color w:val="000000"/>
                <w:sz w:val="20"/>
              </w:rPr>
              <w:t>
   8) отчетность по инспекциям систем фармаконадзора и последующий контроль;</w:t>
            </w:r>
          </w:p>
          <w:p>
            <w:pPr>
              <w:spacing w:after="20"/>
              <w:ind w:left="20"/>
              <w:jc w:val="both"/>
            </w:pPr>
            <w:r>
              <w:rPr>
                <w:rFonts w:ascii="Times New Roman"/>
                <w:b w:val="false"/>
                <w:i w:val="false"/>
                <w:color w:val="000000"/>
                <w:sz w:val="20"/>
              </w:rPr>
              <w:t>
   9) информирование и приоритетность инспекций фармаконадзора и полученных результатов;</w:t>
            </w:r>
          </w:p>
          <w:p>
            <w:pPr>
              <w:spacing w:after="20"/>
              <w:ind w:left="20"/>
              <w:jc w:val="both"/>
            </w:pPr>
            <w:r>
              <w:rPr>
                <w:rFonts w:ascii="Times New Roman"/>
                <w:b w:val="false"/>
                <w:i w:val="false"/>
                <w:color w:val="000000"/>
                <w:sz w:val="20"/>
              </w:rPr>
              <w:t>
   10) ведение учета и архивирования документов, полученных в результате инспекций систем фармаконадзора;</w:t>
            </w:r>
          </w:p>
          <w:p>
            <w:pPr>
              <w:spacing w:after="20"/>
              <w:ind w:left="20"/>
              <w:jc w:val="both"/>
            </w:pPr>
            <w:r>
              <w:rPr>
                <w:rFonts w:ascii="Times New Roman"/>
                <w:b w:val="false"/>
                <w:i w:val="false"/>
                <w:color w:val="000000"/>
                <w:sz w:val="20"/>
              </w:rPr>
              <w:t>
   11) внезапные инспекции;</w:t>
            </w:r>
          </w:p>
          <w:p>
            <w:pPr>
              <w:spacing w:after="20"/>
              <w:ind w:left="20"/>
              <w:jc w:val="both"/>
            </w:pPr>
            <w:r>
              <w:rPr>
                <w:rFonts w:ascii="Times New Roman"/>
                <w:b w:val="false"/>
                <w:i w:val="false"/>
                <w:color w:val="000000"/>
                <w:sz w:val="20"/>
              </w:rPr>
              <w:t>
   12) санкции и уполномоченные (принудительные) меры в случае серьезного несоблюдения требований действующего законодательства Республики Казахстан и настоящего Стандарта;</w:t>
            </w:r>
          </w:p>
          <w:p>
            <w:pPr>
              <w:spacing w:after="20"/>
              <w:ind w:left="20"/>
              <w:jc w:val="both"/>
            </w:pPr>
            <w:r>
              <w:rPr>
                <w:rFonts w:ascii="Times New Roman"/>
                <w:b w:val="false"/>
                <w:i w:val="false"/>
                <w:color w:val="000000"/>
                <w:sz w:val="20"/>
              </w:rPr>
              <w:t>
   13) рекомендации по подготовке инспекторов, выполняющих инспекции систем фармаконадзора, и обмену опытом работы.</w:t>
            </w:r>
          </w:p>
          <w:p>
            <w:pPr>
              <w:spacing w:after="20"/>
              <w:ind w:left="20"/>
              <w:jc w:val="both"/>
            </w:pPr>
            <w:r>
              <w:rPr>
                <w:rFonts w:ascii="Times New Roman"/>
                <w:b w:val="false"/>
                <w:i w:val="false"/>
                <w:color w:val="000000"/>
                <w:sz w:val="20"/>
              </w:rPr>
              <w:t>
   4.2.5.3. По мере необходимости обеспечивается разработка новых процедур.</w:t>
            </w:r>
          </w:p>
          <w:p>
            <w:pPr>
              <w:spacing w:after="20"/>
              <w:ind w:left="20"/>
              <w:jc w:val="both"/>
            </w:pPr>
            <w:r>
              <w:rPr>
                <w:rFonts w:ascii="Times New Roman"/>
                <w:b w:val="false"/>
                <w:i w:val="false"/>
                <w:color w:val="000000"/>
                <w:sz w:val="20"/>
              </w:rPr>
              <w:t>
   4.2.6. Контроль исполнения замечаний инспекции</w:t>
            </w:r>
          </w:p>
          <w:p>
            <w:pPr>
              <w:spacing w:after="20"/>
              <w:ind w:left="20"/>
              <w:jc w:val="both"/>
            </w:pPr>
            <w:r>
              <w:rPr>
                <w:rFonts w:ascii="Times New Roman"/>
                <w:b w:val="false"/>
                <w:i w:val="false"/>
                <w:color w:val="000000"/>
                <w:sz w:val="20"/>
              </w:rPr>
              <w:t>
   В случае выявления в ходе выполнения инспекции несоблюдения обязательств по фармаконадзору, требуется установление последующего контроля до полного выполнения плана корректирующих и предупреждающих мероприятий. Учитываются перечисленные ниже методы контроля:</w:t>
            </w:r>
          </w:p>
          <w:p>
            <w:pPr>
              <w:spacing w:after="20"/>
              <w:ind w:left="20"/>
              <w:jc w:val="both"/>
            </w:pPr>
            <w:r>
              <w:rPr>
                <w:rFonts w:ascii="Times New Roman"/>
                <w:b w:val="false"/>
                <w:i w:val="false"/>
                <w:color w:val="000000"/>
                <w:sz w:val="20"/>
              </w:rPr>
              <w:t>
   1) анализ плана корректирующих и предупреждающих мероприятий держателя регистрационного удостоверения;</w:t>
            </w:r>
          </w:p>
          <w:p>
            <w:pPr>
              <w:spacing w:after="20"/>
              <w:ind w:left="20"/>
              <w:jc w:val="both"/>
            </w:pPr>
            <w:r>
              <w:rPr>
                <w:rFonts w:ascii="Times New Roman"/>
                <w:b w:val="false"/>
                <w:i w:val="false"/>
                <w:color w:val="000000"/>
                <w:sz w:val="20"/>
              </w:rPr>
              <w:t>
   2) анализ периодических отчетов о ходе работ в случае необходимости;</w:t>
            </w:r>
          </w:p>
          <w:p>
            <w:pPr>
              <w:spacing w:after="20"/>
              <w:ind w:left="20"/>
              <w:jc w:val="both"/>
            </w:pPr>
            <w:r>
              <w:rPr>
                <w:rFonts w:ascii="Times New Roman"/>
                <w:b w:val="false"/>
                <w:i w:val="false"/>
                <w:color w:val="000000"/>
                <w:sz w:val="20"/>
              </w:rPr>
              <w:t>
   3) повторная инспекция для оценки надлежащего выполнения плана корректирующих и предупреждающих мероприятий;</w:t>
            </w:r>
          </w:p>
          <w:p>
            <w:pPr>
              <w:spacing w:after="20"/>
              <w:ind w:left="20"/>
              <w:jc w:val="both"/>
            </w:pPr>
            <w:r>
              <w:rPr>
                <w:rFonts w:ascii="Times New Roman"/>
                <w:b w:val="false"/>
                <w:i w:val="false"/>
                <w:color w:val="000000"/>
                <w:sz w:val="20"/>
              </w:rPr>
              <w:t>
   4) запрос о представлении ранее не представленных данных; представлении изменений (в информацию о лекарственном препарате); представлении анализа влияния (результат анализа ранее не включенных в анализ данных при выполнении процедуры выявления сигнала);</w:t>
            </w:r>
          </w:p>
          <w:p>
            <w:pPr>
              <w:spacing w:after="20"/>
              <w:ind w:left="20"/>
              <w:jc w:val="both"/>
            </w:pPr>
            <w:r>
              <w:rPr>
                <w:rFonts w:ascii="Times New Roman"/>
                <w:b w:val="false"/>
                <w:i w:val="false"/>
                <w:color w:val="000000"/>
                <w:sz w:val="20"/>
              </w:rPr>
              <w:t>
   5) запрос о выполнении надлежащего информирования, включая внесение изменений в информацию, представляемую в рамках маркетинговой деятельности, и (или) рекламную информацию;</w:t>
            </w:r>
          </w:p>
          <w:p>
            <w:pPr>
              <w:spacing w:after="20"/>
              <w:ind w:left="20"/>
              <w:jc w:val="both"/>
            </w:pPr>
            <w:r>
              <w:rPr>
                <w:rFonts w:ascii="Times New Roman"/>
                <w:b w:val="false"/>
                <w:i w:val="false"/>
                <w:color w:val="000000"/>
                <w:sz w:val="20"/>
              </w:rPr>
              <w:t>
   6) запрос о встрече с держателем регистрационного удостоверения с целью обсуждения выявленных недостатков (несоответствий) и их влияния на план мероприятий;</w:t>
            </w:r>
          </w:p>
          <w:p>
            <w:pPr>
              <w:spacing w:after="20"/>
              <w:ind w:left="20"/>
              <w:jc w:val="both"/>
            </w:pPr>
            <w:r>
              <w:rPr>
                <w:rFonts w:ascii="Times New Roman"/>
                <w:b w:val="false"/>
                <w:i w:val="false"/>
                <w:color w:val="000000"/>
                <w:sz w:val="20"/>
              </w:rPr>
              <w:t>
   7) передача результатов инспекции другим уполномоченным органам;</w:t>
            </w:r>
          </w:p>
          <w:p>
            <w:pPr>
              <w:spacing w:after="20"/>
              <w:ind w:left="20"/>
              <w:jc w:val="both"/>
            </w:pPr>
            <w:r>
              <w:rPr>
                <w:rFonts w:ascii="Times New Roman"/>
                <w:b w:val="false"/>
                <w:i w:val="false"/>
                <w:color w:val="000000"/>
                <w:sz w:val="20"/>
              </w:rPr>
              <w:t>
   8) другие действия, связанные с лекарственным препаратом, в зависимости от влияния недостатков (несоответствий) и результатов последующих действий (отзывы или действия, связанные с выдачей регистрационного удостоверения или разрешения на проведение клинических испытаний).</w:t>
            </w:r>
          </w:p>
          <w:p>
            <w:pPr>
              <w:spacing w:after="20"/>
              <w:ind w:left="20"/>
              <w:jc w:val="both"/>
            </w:pPr>
            <w:r>
              <w:rPr>
                <w:rFonts w:ascii="Times New Roman"/>
                <w:b w:val="false"/>
                <w:i w:val="false"/>
                <w:color w:val="000000"/>
                <w:sz w:val="20"/>
              </w:rPr>
              <w:t>
   4.2.7 Действия и санкции уполномоченного органа</w:t>
            </w:r>
          </w:p>
          <w:p>
            <w:pPr>
              <w:spacing w:after="20"/>
              <w:ind w:left="20"/>
              <w:jc w:val="both"/>
            </w:pPr>
            <w:r>
              <w:rPr>
                <w:rFonts w:ascii="Times New Roman"/>
                <w:b w:val="false"/>
                <w:i w:val="false"/>
                <w:color w:val="000000"/>
                <w:sz w:val="20"/>
              </w:rPr>
              <w:t>
   4.2.7.1. Согласно законодательству Республики Казахстан, в целях охраны здоровья населения, уполномоченный орган обеспечивает выполнение держателем регистрационного удостоверения обязательств по фармаконадзору. В случае обнаружения несоблюдения требований или невыполнения обязательств по фармаконадзору, предпринимаемые действия определяются по каждому конкретному случаю отдельно. Выбор предпринимаемых действий зависит от потенциального негативного влияния несоответствий (несоблюдения) на здоровье населения, но любой случай несоответствий (несоблюдения) учитывается при применении принудительных мер. Уполномоченный орган предпринимает необходимые меры для применения к держателю регистрационного удостоверения эффективных, соразмерных и сдерживающих санкций.</w:t>
            </w:r>
          </w:p>
          <w:p>
            <w:pPr>
              <w:spacing w:after="20"/>
              <w:ind w:left="20"/>
              <w:jc w:val="both"/>
            </w:pPr>
            <w:r>
              <w:rPr>
                <w:rFonts w:ascii="Times New Roman"/>
                <w:b w:val="false"/>
                <w:i w:val="false"/>
                <w:color w:val="000000"/>
                <w:sz w:val="20"/>
              </w:rPr>
              <w:t>
   4.2.7.2. В случае несоблюдения, принимаются одна или несколько нижеуказанных мер:</w:t>
            </w:r>
          </w:p>
          <w:p>
            <w:pPr>
              <w:spacing w:after="20"/>
              <w:ind w:left="20"/>
              <w:jc w:val="both"/>
            </w:pPr>
            <w:r>
              <w:rPr>
                <w:rFonts w:ascii="Times New Roman"/>
                <w:b w:val="false"/>
                <w:i w:val="false"/>
                <w:color w:val="000000"/>
                <w:sz w:val="20"/>
              </w:rPr>
              <w:t>
   1) обучение и содействие: уполномоченная организация обеспечивает коммуникацию с представителями держателя регистрационного удостоверения (на собрании) с целью обобщения выявленных несоответствий, разъяснения законодательных требований и ожиданий уполномоченного органа, рассмотрения корректирующих и предупреждающих мероприятий, предлагаемых держателем регистрационного удостоверения;</w:t>
            </w:r>
          </w:p>
          <w:p>
            <w:pPr>
              <w:spacing w:after="20"/>
              <w:ind w:left="20"/>
              <w:jc w:val="both"/>
            </w:pPr>
            <w:r>
              <w:rPr>
                <w:rFonts w:ascii="Times New Roman"/>
                <w:b w:val="false"/>
                <w:i w:val="false"/>
                <w:color w:val="000000"/>
                <w:sz w:val="20"/>
              </w:rPr>
              <w:t>
   2) представление информации уполномоченным органам других стран в рамках договоренностей по обеспечению конфиденциальности;</w:t>
            </w:r>
          </w:p>
          <w:p>
            <w:pPr>
              <w:spacing w:after="20"/>
              <w:ind w:left="20"/>
              <w:jc w:val="both"/>
            </w:pPr>
            <w:r>
              <w:rPr>
                <w:rFonts w:ascii="Times New Roman"/>
                <w:b w:val="false"/>
                <w:i w:val="false"/>
                <w:color w:val="000000"/>
                <w:sz w:val="20"/>
              </w:rPr>
              <w:t>
   3) инспекция: инспектирование держателей регистрационного удостоверения, не соблюдающих обязательства (не выполняющих требования), проводится с целью определения степени несоблюдения (невыполнения) действующего законодательства Республики Казахстан и в последующем с целью подтверждения соблюдения (выполнения) законодательных требований;</w:t>
            </w:r>
          </w:p>
          <w:p>
            <w:pPr>
              <w:spacing w:after="20"/>
              <w:ind w:left="20"/>
              <w:jc w:val="both"/>
            </w:pPr>
            <w:r>
              <w:rPr>
                <w:rFonts w:ascii="Times New Roman"/>
                <w:b w:val="false"/>
                <w:i w:val="false"/>
                <w:color w:val="000000"/>
                <w:sz w:val="20"/>
              </w:rPr>
              <w:t xml:space="preserve">
   4) письмо-предупреждение, заявление о несоблюдении (невыполнении) или уведомление о нарушении: эти документы выдаются уполномоченным органом с указанием нарушенного законодательного документа или руководства с целью напомнить держателю регистрационного удостоверения о его обязательствах по фармаконадзору или предпринимаемых держателем регистрационного удостоверения мерах, сроков, установленных для устранения несоответствий (нарушений), чтобы предотвратить дальнейшие несоответствия (нарушения); </w:t>
            </w:r>
          </w:p>
          <w:p>
            <w:pPr>
              <w:spacing w:after="20"/>
              <w:ind w:left="20"/>
              <w:jc w:val="both"/>
            </w:pPr>
            <w:r>
              <w:rPr>
                <w:rFonts w:ascii="Times New Roman"/>
                <w:b w:val="false"/>
                <w:i w:val="false"/>
                <w:color w:val="000000"/>
                <w:sz w:val="20"/>
              </w:rPr>
              <w:t>
   5) уполномоченный орган опубликовывает списки держателей регистрационного удостоверения, серьезно или постоянно нарушающих требования действующего законодательства Республики Казахстан по фармаконадзору;</w:t>
            </w:r>
          </w:p>
          <w:p>
            <w:pPr>
              <w:spacing w:after="20"/>
              <w:ind w:left="20"/>
              <w:jc w:val="both"/>
            </w:pPr>
            <w:r>
              <w:rPr>
                <w:rFonts w:ascii="Times New Roman"/>
                <w:b w:val="false"/>
                <w:i w:val="false"/>
                <w:color w:val="000000"/>
                <w:sz w:val="20"/>
              </w:rPr>
              <w:t>
   6) действия в отношении удостоверения о государственной регистрации или заявления на государственную регистрацию, как правило:</w:t>
            </w:r>
          </w:p>
          <w:p>
            <w:pPr>
              <w:spacing w:after="20"/>
              <w:ind w:left="20"/>
              <w:jc w:val="both"/>
            </w:pPr>
            <w:r>
              <w:rPr>
                <w:rFonts w:ascii="Times New Roman"/>
                <w:b w:val="false"/>
                <w:i w:val="false"/>
                <w:color w:val="000000"/>
                <w:sz w:val="20"/>
              </w:rPr>
              <w:t>
   экстренное введение ограничений, связанных с профилем безопасности лекарственного препарата;</w:t>
            </w:r>
          </w:p>
          <w:p>
            <w:pPr>
              <w:spacing w:after="20"/>
              <w:ind w:left="20"/>
              <w:jc w:val="both"/>
            </w:pPr>
            <w:r>
              <w:rPr>
                <w:rFonts w:ascii="Times New Roman"/>
                <w:b w:val="false"/>
                <w:i w:val="false"/>
                <w:color w:val="000000"/>
                <w:sz w:val="20"/>
              </w:rPr>
              <w:t>
   приостановка или аннулирование удостоверения о государственной регистрации;</w:t>
            </w:r>
          </w:p>
          <w:p>
            <w:pPr>
              <w:spacing w:after="20"/>
              <w:ind w:left="20"/>
              <w:jc w:val="both"/>
            </w:pPr>
            <w:r>
              <w:rPr>
                <w:rFonts w:ascii="Times New Roman"/>
                <w:b w:val="false"/>
                <w:i w:val="false"/>
                <w:color w:val="000000"/>
                <w:sz w:val="20"/>
              </w:rPr>
              <w:t>
   приостановка рассмотрения новых заявлений на получение удостоверения о государственной регистрации до реализации корректирующих и предупреждающих мероприятий;</w:t>
            </w:r>
          </w:p>
          <w:p>
            <w:pPr>
              <w:spacing w:after="20"/>
              <w:ind w:left="20"/>
              <w:jc w:val="both"/>
            </w:pPr>
            <w:r>
              <w:rPr>
                <w:rFonts w:ascii="Times New Roman"/>
                <w:b w:val="false"/>
                <w:i w:val="false"/>
                <w:color w:val="000000"/>
                <w:sz w:val="20"/>
              </w:rPr>
              <w:t>
   назначение дорегистрационных инспекций системы фармаконадзора;</w:t>
            </w:r>
          </w:p>
          <w:p>
            <w:pPr>
              <w:spacing w:after="20"/>
              <w:ind w:left="20"/>
              <w:jc w:val="both"/>
            </w:pPr>
            <w:r>
              <w:rPr>
                <w:rFonts w:ascii="Times New Roman"/>
                <w:b w:val="false"/>
                <w:i w:val="false"/>
                <w:color w:val="000000"/>
                <w:sz w:val="20"/>
              </w:rPr>
              <w:t xml:space="preserve">
   7) отзывы лекарственных препаратов (в случае, если в информацию о лекарственном препарате не включены очень важные предупреждения по безопасности); </w:t>
            </w:r>
          </w:p>
          <w:p>
            <w:pPr>
              <w:spacing w:after="20"/>
              <w:ind w:left="20"/>
              <w:jc w:val="both"/>
            </w:pPr>
            <w:r>
              <w:rPr>
                <w:rFonts w:ascii="Times New Roman"/>
                <w:b w:val="false"/>
                <w:i w:val="false"/>
                <w:color w:val="000000"/>
                <w:sz w:val="20"/>
              </w:rPr>
              <w:t>
   8) действия, связанные с маркетинговой или рекламной информацией;</w:t>
            </w:r>
          </w:p>
          <w:p>
            <w:pPr>
              <w:spacing w:after="20"/>
              <w:ind w:left="20"/>
              <w:jc w:val="both"/>
            </w:pPr>
            <w:r>
              <w:rPr>
                <w:rFonts w:ascii="Times New Roman"/>
                <w:b w:val="false"/>
                <w:i w:val="false"/>
                <w:color w:val="000000"/>
                <w:sz w:val="20"/>
              </w:rPr>
              <w:t>
   9) внесение поправок в протоколы или приостановка клинических исследований (испытаний) в случае выявления изменений профиля безопасности конкретного лекарственного препарата;</w:t>
            </w:r>
          </w:p>
          <w:p>
            <w:pPr>
              <w:spacing w:after="20"/>
              <w:ind w:left="20"/>
              <w:jc w:val="both"/>
            </w:pPr>
            <w:r>
              <w:rPr>
                <w:rFonts w:ascii="Times New Roman"/>
                <w:b w:val="false"/>
                <w:i w:val="false"/>
                <w:color w:val="000000"/>
                <w:sz w:val="20"/>
              </w:rPr>
              <w:t>
   10) административные штрафы, как правило, фиксированные или основанные на прибыли компании штрафы, или взимаемые ежедневно.</w:t>
            </w:r>
          </w:p>
          <w:p>
            <w:pPr>
              <w:spacing w:after="20"/>
              <w:ind w:left="20"/>
              <w:jc w:val="both"/>
            </w:pPr>
            <w:r>
              <w:rPr>
                <w:rFonts w:ascii="Times New Roman"/>
                <w:b w:val="false"/>
                <w:i w:val="false"/>
                <w:color w:val="000000"/>
                <w:sz w:val="20"/>
              </w:rPr>
              <w:t>
   4.2.8. Квалификация и обучение инспекторов</w:t>
            </w:r>
          </w:p>
          <w:p>
            <w:pPr>
              <w:spacing w:after="20"/>
              <w:ind w:left="20"/>
              <w:jc w:val="both"/>
            </w:pPr>
            <w:r>
              <w:rPr>
                <w:rFonts w:ascii="Times New Roman"/>
                <w:b w:val="false"/>
                <w:i w:val="false"/>
                <w:color w:val="000000"/>
                <w:sz w:val="20"/>
              </w:rPr>
              <w:t>
   Инспектора, участвующие в проведении инспекции систем фармаконадзора, являются специалистами уполномоченного органа, или уполномоченной организации. Назначение инспекторов основывается на их опыте и минимальных требованиях, определенных уполномоченным органом. Инспектора проходят обучение в объеме, необходимом для обеспечения их компетентности в областях, необходимых для подготовки и проведения инспекций и отчета о них. Инспектора проходят обучение процессам и требованиям фармаконадзора таким образом, чтобы иметь способность, в случае если не располагают соответствующим опытом, оценить различные аспекты системы фармаконадзора.</w:t>
            </w:r>
          </w:p>
          <w:p>
            <w:pPr>
              <w:spacing w:after="20"/>
              <w:ind w:left="20"/>
              <w:jc w:val="both"/>
            </w:pPr>
            <w:r>
              <w:rPr>
                <w:rFonts w:ascii="Times New Roman"/>
                <w:b w:val="false"/>
                <w:i w:val="false"/>
                <w:color w:val="000000"/>
                <w:sz w:val="20"/>
              </w:rPr>
              <w:t>
   4.2.9. Управление качеством процесса инспекции фармаконадзора</w:t>
            </w:r>
          </w:p>
          <w:p>
            <w:pPr>
              <w:spacing w:after="20"/>
              <w:ind w:left="20"/>
              <w:jc w:val="both"/>
            </w:pPr>
            <w:r>
              <w:rPr>
                <w:rFonts w:ascii="Times New Roman"/>
                <w:b w:val="false"/>
                <w:i w:val="false"/>
                <w:color w:val="000000"/>
                <w:sz w:val="20"/>
              </w:rPr>
              <w:t>
   Качество процесса инспекции системы фармаконадзора регулируется уполномоченным органом, входит в число вопросов, на которые распространяется система качества системы фармаконадзора уполномоченного органа и подлежит аудиту.</w:t>
            </w:r>
          </w:p>
          <w:p>
            <w:pPr>
              <w:spacing w:after="20"/>
              <w:ind w:left="20"/>
              <w:jc w:val="both"/>
            </w:pPr>
            <w:r>
              <w:rPr>
                <w:rFonts w:ascii="Times New Roman"/>
                <w:b w:val="false"/>
                <w:i w:val="false"/>
                <w:color w:val="000000"/>
                <w:sz w:val="20"/>
              </w:rPr>
              <w:t>
   </w:t>
            </w:r>
            <w:r>
              <w:rPr>
                <w:rFonts w:ascii="Times New Roman"/>
                <w:b/>
                <w:i w:val="false"/>
                <w:color w:val="000000"/>
                <w:sz w:val="20"/>
              </w:rPr>
              <w:t>4.3. Сотрудничество в рамках фармаконадзора</w:t>
            </w:r>
          </w:p>
          <w:p>
            <w:pPr>
              <w:spacing w:after="20"/>
              <w:ind w:left="20"/>
              <w:jc w:val="both"/>
            </w:pPr>
            <w:r>
              <w:rPr>
                <w:rFonts w:ascii="Times New Roman"/>
                <w:b w:val="false"/>
                <w:i w:val="false"/>
                <w:color w:val="000000"/>
                <w:sz w:val="20"/>
              </w:rPr>
              <w:t>
   4.3.1. Коллективное использование информации</w:t>
            </w:r>
          </w:p>
          <w:p>
            <w:pPr>
              <w:spacing w:after="20"/>
              <w:ind w:left="20"/>
              <w:jc w:val="both"/>
            </w:pPr>
            <w:r>
              <w:rPr>
                <w:rFonts w:ascii="Times New Roman"/>
                <w:b w:val="false"/>
                <w:i w:val="false"/>
                <w:color w:val="000000"/>
                <w:sz w:val="20"/>
              </w:rPr>
              <w:t>
   Уполномоченный орган сотрудничает с целью облегчения обмена информацией по инспекциям системы фармаконадзора, в частности:</w:t>
            </w:r>
          </w:p>
          <w:p>
            <w:pPr>
              <w:spacing w:after="20"/>
              <w:ind w:left="20"/>
              <w:jc w:val="both"/>
            </w:pPr>
            <w:r>
              <w:rPr>
                <w:rFonts w:ascii="Times New Roman"/>
                <w:b w:val="false"/>
                <w:i w:val="false"/>
                <w:color w:val="000000"/>
                <w:sz w:val="20"/>
              </w:rPr>
              <w:t xml:space="preserve">
   1) информацией об инспекциях, запланированных и проведенных уполномочеными органами других стран с целью оптимизации использования инспекционных ресурсов; </w:t>
            </w:r>
          </w:p>
          <w:p>
            <w:pPr>
              <w:spacing w:after="20"/>
              <w:ind w:left="20"/>
              <w:jc w:val="both"/>
            </w:pPr>
            <w:r>
              <w:rPr>
                <w:rFonts w:ascii="Times New Roman"/>
                <w:b w:val="false"/>
                <w:i w:val="false"/>
                <w:color w:val="000000"/>
                <w:sz w:val="20"/>
              </w:rPr>
              <w:t>
   2) информацией об объеме инспекции с тем, чтобы наметить будущие инспекции;</w:t>
            </w:r>
          </w:p>
          <w:p>
            <w:pPr>
              <w:spacing w:after="20"/>
              <w:ind w:left="20"/>
              <w:jc w:val="both"/>
            </w:pPr>
            <w:r>
              <w:rPr>
                <w:rFonts w:ascii="Times New Roman"/>
                <w:b w:val="false"/>
                <w:i w:val="false"/>
                <w:color w:val="000000"/>
                <w:sz w:val="20"/>
              </w:rPr>
              <w:t>
   3) информацией о результатах инспекции, в частности в том случае, когда результатом является выявление факта невыполнения держателем регистрационного удостоверения требований действующего законодательства Республики Казахстан по фармаконадзору и настоящего Стандарта. Уполномоченный орган обменивается информацией о критических и (или) существенных выявленных недостатках и кратком изложении корректирующих и предупреждающих мероприятий и их дальнейшим контролем.</w:t>
            </w:r>
          </w:p>
          <w:p>
            <w:pPr>
              <w:spacing w:after="20"/>
              <w:ind w:left="20"/>
              <w:jc w:val="both"/>
            </w:pPr>
            <w:r>
              <w:rPr>
                <w:rFonts w:ascii="Times New Roman"/>
                <w:b w:val="false"/>
                <w:i w:val="false"/>
                <w:color w:val="000000"/>
                <w:sz w:val="20"/>
              </w:rPr>
              <w:t>
   </w:t>
            </w:r>
            <w:r>
              <w:rPr>
                <w:rFonts w:ascii="Times New Roman"/>
                <w:b/>
                <w:i w:val="false"/>
                <w:color w:val="000000"/>
                <w:sz w:val="20"/>
              </w:rPr>
              <w:t>4.4. Роль держателя регистрационного удостоверения</w:t>
            </w:r>
          </w:p>
          <w:p>
            <w:pPr>
              <w:spacing w:after="20"/>
              <w:ind w:left="20"/>
              <w:jc w:val="both"/>
            </w:pPr>
            <w:r>
              <w:rPr>
                <w:rFonts w:ascii="Times New Roman"/>
                <w:b w:val="false"/>
                <w:i w:val="false"/>
                <w:color w:val="000000"/>
                <w:sz w:val="20"/>
              </w:rPr>
              <w:t>
   Держатель регистрационного удостоверения, имеющий зарегистрированные на территории Республики Казахстан лекарственные препараты, подлежит инспекции системы фармаконадзора. Держатель регистрационного удостоверения несет следующую ответственность за выполнение инспекции:</w:t>
            </w:r>
          </w:p>
          <w:p>
            <w:pPr>
              <w:spacing w:after="20"/>
              <w:ind w:left="20"/>
              <w:jc w:val="both"/>
            </w:pPr>
            <w:r>
              <w:rPr>
                <w:rFonts w:ascii="Times New Roman"/>
                <w:b w:val="false"/>
                <w:i w:val="false"/>
                <w:color w:val="000000"/>
                <w:sz w:val="20"/>
              </w:rPr>
              <w:t>
   1) всегда готов к инспекции, так как инспекции могут быть внезапными;</w:t>
            </w:r>
          </w:p>
          <w:p>
            <w:pPr>
              <w:spacing w:after="20"/>
              <w:ind w:left="20"/>
              <w:jc w:val="both"/>
            </w:pPr>
            <w:r>
              <w:rPr>
                <w:rFonts w:ascii="Times New Roman"/>
                <w:b w:val="false"/>
                <w:i w:val="false"/>
                <w:color w:val="000000"/>
                <w:sz w:val="20"/>
              </w:rPr>
              <w:t>
   2) ведет и представляет по требованию инспекторов не позднее чем через 7 календарных дней после получения запроса, мастер-файл системы фармаконадзора;</w:t>
            </w:r>
          </w:p>
          <w:p>
            <w:pPr>
              <w:spacing w:after="20"/>
              <w:ind w:left="20"/>
              <w:jc w:val="both"/>
            </w:pPr>
            <w:r>
              <w:rPr>
                <w:rFonts w:ascii="Times New Roman"/>
                <w:b w:val="false"/>
                <w:i w:val="false"/>
                <w:color w:val="000000"/>
                <w:sz w:val="20"/>
              </w:rPr>
              <w:t>
   3) гарантирует получение согласия до начала инспекции на проведение инспекции от объектов, выбранных для инспекции, к которым относятся организации, выполняющие функции по фармаконадзору на контрактной основе по договору с держателем регистрационного удостоверения;</w:t>
            </w:r>
          </w:p>
          <w:p>
            <w:pPr>
              <w:spacing w:after="20"/>
              <w:ind w:left="20"/>
              <w:jc w:val="both"/>
            </w:pPr>
            <w:r>
              <w:rPr>
                <w:rFonts w:ascii="Times New Roman"/>
                <w:b w:val="false"/>
                <w:i w:val="false"/>
                <w:color w:val="000000"/>
                <w:sz w:val="20"/>
              </w:rPr>
              <w:t>
   4) предоставляет инспекторам любую информацию и (или) документацию, необходимую для подготовки к инспекции в установленные сроки или во время проведения инспекции;</w:t>
            </w:r>
          </w:p>
          <w:p>
            <w:pPr>
              <w:spacing w:after="20"/>
              <w:ind w:left="20"/>
              <w:jc w:val="both"/>
            </w:pPr>
            <w:r>
              <w:rPr>
                <w:rFonts w:ascii="Times New Roman"/>
                <w:b w:val="false"/>
                <w:i w:val="false"/>
                <w:color w:val="000000"/>
                <w:sz w:val="20"/>
              </w:rPr>
              <w:t>
   5) гарантирует присутствие во время инспекции соответствующего персонала, участвующего в деятельности по фармаконадзору или взаимосвязанной деятельности, с целью представления разъяснений по возникающим вопросам;</w:t>
            </w:r>
          </w:p>
          <w:p>
            <w:pPr>
              <w:spacing w:after="20"/>
              <w:ind w:left="20"/>
              <w:jc w:val="both"/>
            </w:pPr>
            <w:r>
              <w:rPr>
                <w:rFonts w:ascii="Times New Roman"/>
                <w:b w:val="false"/>
                <w:i w:val="false"/>
                <w:color w:val="000000"/>
                <w:sz w:val="20"/>
              </w:rPr>
              <w:t>
   6) гарантирует надлежащее и своевременное выполнение планов корректирующих и предупреждающих мероприятий для устранения выявленных во время инспекции недостатков (несоответствий) с установлением приоритетов по критическим и (или) существенным недостаткам (несоответствиям).</w:t>
            </w:r>
          </w:p>
          <w:p>
            <w:pPr>
              <w:spacing w:after="20"/>
              <w:ind w:left="20"/>
              <w:jc w:val="both"/>
            </w:pPr>
            <w:r>
              <w:rPr>
                <w:rFonts w:ascii="Times New Roman"/>
                <w:b w:val="false"/>
                <w:i w:val="false"/>
                <w:color w:val="000000"/>
                <w:sz w:val="20"/>
              </w:rPr>
              <w:t>
   </w:t>
            </w:r>
            <w:r>
              <w:rPr>
                <w:rFonts w:ascii="Times New Roman"/>
                <w:b/>
                <w:i w:val="false"/>
                <w:color w:val="000000"/>
                <w:sz w:val="20"/>
              </w:rPr>
              <w:t>4.5. Инспекционные сборы</w:t>
            </w:r>
          </w:p>
          <w:p>
            <w:pPr>
              <w:spacing w:after="20"/>
              <w:ind w:left="20"/>
              <w:jc w:val="both"/>
            </w:pPr>
            <w:r>
              <w:rPr>
                <w:rFonts w:ascii="Times New Roman"/>
                <w:b w:val="false"/>
                <w:i w:val="false"/>
                <w:color w:val="000000"/>
                <w:sz w:val="20"/>
              </w:rPr>
              <w:t>
   Сбор за проведение инспекции взимается согласно регулированию вопроса взимания сборов за выполнение инспекции в рамках действующего законодательства Республики Казахстан.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Аудит системы фармаконадзора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Структуры и процессы</w:t>
            </w:r>
          </w:p>
          <w:p>
            <w:pPr>
              <w:spacing w:after="20"/>
              <w:ind w:left="20"/>
              <w:jc w:val="both"/>
            </w:pPr>
            <w:r>
              <w:rPr>
                <w:rFonts w:ascii="Times New Roman"/>
                <w:b w:val="false"/>
                <w:i w:val="false"/>
                <w:color w:val="000000"/>
                <w:sz w:val="20"/>
              </w:rPr>
              <w:t>
   5.1.1. Аудит системы фармаконадзора и его цели</w:t>
            </w:r>
          </w:p>
          <w:p>
            <w:pPr>
              <w:spacing w:after="20"/>
              <w:ind w:left="20"/>
              <w:jc w:val="both"/>
            </w:pPr>
            <w:r>
              <w:rPr>
                <w:rFonts w:ascii="Times New Roman"/>
                <w:b w:val="false"/>
                <w:i w:val="false"/>
                <w:color w:val="000000"/>
                <w:sz w:val="20"/>
              </w:rPr>
              <w:t>
   5.1.1.1. Целью проведения аудита системы фармаконадзора является подтверждение соответствия и эффективности внедрения и функционирования системы фармаконадзора, путем анализа и оценки объективных фактов, включая систему качества системы фармаконадзора.</w:t>
            </w:r>
          </w:p>
          <w:p>
            <w:pPr>
              <w:spacing w:after="20"/>
              <w:ind w:left="20"/>
              <w:jc w:val="both"/>
            </w:pPr>
            <w:r>
              <w:rPr>
                <w:rFonts w:ascii="Times New Roman"/>
                <w:b w:val="false"/>
                <w:i w:val="false"/>
                <w:color w:val="000000"/>
                <w:sz w:val="20"/>
              </w:rPr>
              <w:t>
   5.1.1.2. Аудит представляет собой систематический, упорядоченный, независимый и документированный процесс получения и объективной оценки фактов, характеризующих работу системы фармаконадзора, с целью определения степени выполнения критериев аудита, способствующих улучшению процессов управления рисками, контроля и управления процессами. Аудиторские факты состоят из записей, документальных подтверждений или иной информации, имеющей отношение к критериям аудита и поддающейся проверке. Критерии аудита отражают стандарты выполнения и контроля деятельности, по отношению к которым выполняется оценка проверяемой стороны и ее деятельности. Применительно к системе фармаконадзора критерии аудита отражают требования, предъявляемые к системе фармаконадзора, в том числе его системе качества, выполняемых процедур по фармаконадзору, определяемых требованиями действующего законодательства Республики Казахстан по фармаконадзору и настоящего Стандарта.</w:t>
            </w:r>
          </w:p>
          <w:p>
            <w:pPr>
              <w:spacing w:after="20"/>
              <w:ind w:left="20"/>
              <w:jc w:val="both"/>
            </w:pPr>
            <w:r>
              <w:rPr>
                <w:rFonts w:ascii="Times New Roman"/>
                <w:b w:val="false"/>
                <w:i w:val="false"/>
                <w:color w:val="000000"/>
                <w:sz w:val="20"/>
              </w:rPr>
              <w:t>
   5.1.2. Основанный на рисках подход к аудитам системы фармаконадзора</w:t>
            </w:r>
          </w:p>
          <w:p>
            <w:pPr>
              <w:spacing w:after="20"/>
              <w:ind w:left="20"/>
              <w:jc w:val="both"/>
            </w:pPr>
            <w:r>
              <w:rPr>
                <w:rFonts w:ascii="Times New Roman"/>
                <w:b w:val="false"/>
                <w:i w:val="false"/>
                <w:color w:val="000000"/>
                <w:sz w:val="20"/>
              </w:rPr>
              <w:t>
   Основанным на риске подходом является подход, использующий методы определения области риска. Под риском понимается вероятность наступления события, оказывающая влияние на достижение поставленных целей с учетом серьезности его последствий и (или) вероятности не обнаружения другими методами. Основанный на риске подход к аудитам ориентирован на области самого высокого риска для системы фармаконадзора организации, в том числе системы качества системы фармаконадзора. В контексте фармаконадзора, первостепенное значение имеет риск причинения вреда здоровью населения. Риск оценивается на следующих этапах:</w:t>
            </w:r>
          </w:p>
          <w:p>
            <w:pPr>
              <w:spacing w:after="20"/>
              <w:ind w:left="20"/>
              <w:jc w:val="both"/>
            </w:pPr>
            <w:r>
              <w:rPr>
                <w:rFonts w:ascii="Times New Roman"/>
                <w:b w:val="false"/>
                <w:i w:val="false"/>
                <w:color w:val="000000"/>
                <w:sz w:val="20"/>
              </w:rPr>
              <w:t>
   1) планирование аудита на стратегическом уровне, результатом которого является стратегия аудита (долгосрочный подход), утверждаемая высшим руководством;</w:t>
            </w:r>
          </w:p>
          <w:p>
            <w:pPr>
              <w:spacing w:after="20"/>
              <w:ind w:left="20"/>
              <w:jc w:val="both"/>
            </w:pPr>
            <w:r>
              <w:rPr>
                <w:rFonts w:ascii="Times New Roman"/>
                <w:b w:val="false"/>
                <w:i w:val="false"/>
                <w:color w:val="000000"/>
                <w:sz w:val="20"/>
              </w:rPr>
              <w:t>
   2) планирование аудита на тактическом уровне, результатом которого является программа аудита, установление целей аудита, а также области распространения аудита;</w:t>
            </w:r>
          </w:p>
          <w:p>
            <w:pPr>
              <w:spacing w:after="20"/>
              <w:ind w:left="20"/>
              <w:jc w:val="both"/>
            </w:pPr>
            <w:r>
              <w:rPr>
                <w:rFonts w:ascii="Times New Roman"/>
                <w:b w:val="false"/>
                <w:i w:val="false"/>
                <w:color w:val="000000"/>
                <w:sz w:val="20"/>
              </w:rPr>
              <w:t>
   3) планирование аудита на оперативном уровне, результатом которого является план аудита для отдельных аудиторских задач, определение приоритетов задач аудита на основании оценки рисков, использование методов выборочного исследования и тестирования, основанных на риске, отчетность по результатам аудитов в соответствии с относительным уровнем риска, а также рекомендации по аудиту.</w:t>
            </w:r>
          </w:p>
          <w:p>
            <w:pPr>
              <w:spacing w:after="20"/>
              <w:ind w:left="20"/>
              <w:jc w:val="both"/>
            </w:pPr>
            <w:r>
              <w:rPr>
                <w:rFonts w:ascii="Times New Roman"/>
                <w:b w:val="false"/>
                <w:i w:val="false"/>
                <w:color w:val="000000"/>
                <w:sz w:val="20"/>
              </w:rPr>
              <w:t>
   Оценка риска документально подтверждается для стратегического, тактического и оперативного планирования аудиторской деятельности системы фармаконадзора в организации.</w:t>
            </w:r>
          </w:p>
          <w:p>
            <w:pPr>
              <w:spacing w:after="20"/>
              <w:ind w:left="20"/>
              <w:jc w:val="both"/>
            </w:pPr>
            <w:r>
              <w:rPr>
                <w:rFonts w:ascii="Times New Roman"/>
                <w:b w:val="false"/>
                <w:i w:val="false"/>
                <w:color w:val="000000"/>
                <w:sz w:val="20"/>
              </w:rPr>
              <w:t>
   5.1.2.1 Планирование аудита на стратегическом уровне</w:t>
            </w:r>
          </w:p>
          <w:p>
            <w:pPr>
              <w:spacing w:after="20"/>
              <w:ind w:left="20"/>
              <w:jc w:val="both"/>
            </w:pPr>
            <w:r>
              <w:rPr>
                <w:rFonts w:ascii="Times New Roman"/>
                <w:b w:val="false"/>
                <w:i w:val="false"/>
                <w:color w:val="000000"/>
                <w:sz w:val="20"/>
              </w:rPr>
              <w:t>
   5.1.2.1.1. Стратегия аудита представляет собой определение на высшем уровне планирования аудиторских мероприятий, запланированных на срок более одного года, как правило, на период 2-5 лет. Стратегия аудита включает достаточный перечень аудиторских проверок. Стратегия аудита используется для определения области, намеченной для проведения аудита, темы аудита, методов и допущений (включая оценку риска), на основании которых выполняется программа аудита.</w:t>
            </w:r>
          </w:p>
          <w:p>
            <w:pPr>
              <w:spacing w:after="20"/>
              <w:ind w:left="20"/>
              <w:jc w:val="both"/>
            </w:pPr>
            <w:r>
              <w:rPr>
                <w:rFonts w:ascii="Times New Roman"/>
                <w:b w:val="false"/>
                <w:i w:val="false"/>
                <w:color w:val="000000"/>
                <w:sz w:val="20"/>
              </w:rPr>
              <w:t>
   5.1.2.1.2. Стратегия аудита охватывает организацию управления процессом, управление рисками и средства внутреннего контроля всех составляющих системы фармаконадзора, включая следующие:</w:t>
            </w:r>
          </w:p>
          <w:p>
            <w:pPr>
              <w:spacing w:after="20"/>
              <w:ind w:left="20"/>
              <w:jc w:val="both"/>
            </w:pPr>
            <w:r>
              <w:rPr>
                <w:rFonts w:ascii="Times New Roman"/>
                <w:b w:val="false"/>
                <w:i w:val="false"/>
                <w:color w:val="000000"/>
                <w:sz w:val="20"/>
              </w:rPr>
              <w:t>
   1) все процессы и задачи системы фармаконадзора;</w:t>
            </w:r>
          </w:p>
          <w:p>
            <w:pPr>
              <w:spacing w:after="20"/>
              <w:ind w:left="20"/>
              <w:jc w:val="both"/>
            </w:pPr>
            <w:r>
              <w:rPr>
                <w:rFonts w:ascii="Times New Roman"/>
                <w:b w:val="false"/>
                <w:i w:val="false"/>
                <w:color w:val="000000"/>
                <w:sz w:val="20"/>
              </w:rPr>
              <w:t>
   2) система качества деятельности в системе фармаконадзора;</w:t>
            </w:r>
          </w:p>
          <w:p>
            <w:pPr>
              <w:spacing w:after="20"/>
              <w:ind w:left="20"/>
              <w:jc w:val="both"/>
            </w:pPr>
            <w:r>
              <w:rPr>
                <w:rFonts w:ascii="Times New Roman"/>
                <w:b w:val="false"/>
                <w:i w:val="false"/>
                <w:color w:val="000000"/>
                <w:sz w:val="20"/>
              </w:rPr>
              <w:t>
   3) взаимодействия и связующие звенья с другими подразделениями, в случае необходимости;</w:t>
            </w:r>
          </w:p>
          <w:p>
            <w:pPr>
              <w:spacing w:after="20"/>
              <w:ind w:left="20"/>
              <w:jc w:val="both"/>
            </w:pPr>
            <w:r>
              <w:rPr>
                <w:rFonts w:ascii="Times New Roman"/>
                <w:b w:val="false"/>
                <w:i w:val="false"/>
                <w:color w:val="000000"/>
                <w:sz w:val="20"/>
              </w:rPr>
              <w:t>
   4) мероприятия по фармаконадзору, проводимые подчиненными организациями или делегированные другой организации (региональным центрам, представляющим информацию; филиалам держателя регистрационного удостоверения; третьим лицам, таким как подрядные организации и другие держатели регистрационного удостоверения).</w:t>
            </w:r>
          </w:p>
          <w:p>
            <w:pPr>
              <w:spacing w:after="20"/>
              <w:ind w:left="20"/>
              <w:jc w:val="both"/>
            </w:pPr>
            <w:r>
              <w:rPr>
                <w:rFonts w:ascii="Times New Roman"/>
                <w:b w:val="false"/>
                <w:i w:val="false"/>
                <w:color w:val="000000"/>
                <w:sz w:val="20"/>
              </w:rPr>
              <w:t>
   5.1.2.1.3. Факторы риска, учитываемые при выполнении процедуры оценки риска, включают, но не ограничиваются следующими:</w:t>
            </w:r>
          </w:p>
          <w:p>
            <w:pPr>
              <w:spacing w:after="20"/>
              <w:ind w:left="20"/>
              <w:jc w:val="both"/>
            </w:pPr>
            <w:r>
              <w:rPr>
                <w:rFonts w:ascii="Times New Roman"/>
                <w:b w:val="false"/>
                <w:i w:val="false"/>
                <w:color w:val="000000"/>
                <w:sz w:val="20"/>
              </w:rPr>
              <w:t>
   1) изменения в действующем законодательстве Республике Казахстан по фармаконадзору или настоящем Стандарте;</w:t>
            </w:r>
          </w:p>
          <w:p>
            <w:pPr>
              <w:spacing w:after="20"/>
              <w:ind w:left="20"/>
              <w:jc w:val="both"/>
            </w:pPr>
            <w:r>
              <w:rPr>
                <w:rFonts w:ascii="Times New Roman"/>
                <w:b w:val="false"/>
                <w:i w:val="false"/>
                <w:color w:val="000000"/>
                <w:sz w:val="20"/>
              </w:rPr>
              <w:t>
   2) крупная реорганизация или другие преобразования системы фармаконадзора, слияния, приобретения;</w:t>
            </w:r>
          </w:p>
          <w:p>
            <w:pPr>
              <w:spacing w:after="20"/>
              <w:ind w:left="20"/>
              <w:jc w:val="both"/>
            </w:pPr>
            <w:r>
              <w:rPr>
                <w:rFonts w:ascii="Times New Roman"/>
                <w:b w:val="false"/>
                <w:i w:val="false"/>
                <w:color w:val="000000"/>
                <w:sz w:val="20"/>
              </w:rPr>
              <w:t>
   3) изменение ключевых управленческих функций;</w:t>
            </w:r>
          </w:p>
          <w:p>
            <w:pPr>
              <w:spacing w:after="20"/>
              <w:ind w:left="20"/>
              <w:jc w:val="both"/>
            </w:pPr>
            <w:r>
              <w:rPr>
                <w:rFonts w:ascii="Times New Roman"/>
                <w:b w:val="false"/>
                <w:i w:val="false"/>
                <w:color w:val="000000"/>
                <w:sz w:val="20"/>
              </w:rPr>
              <w:t>
   4) риск нехватки надлежащим образом подготовленных и опытных сотрудников фармаконадзора (ввиду значительной текучести персонала, недостатков в процессах обучения, реорганизации, увеличения объемов работ);</w:t>
            </w:r>
          </w:p>
          <w:p>
            <w:pPr>
              <w:spacing w:after="20"/>
              <w:ind w:left="20"/>
              <w:jc w:val="both"/>
            </w:pPr>
            <w:r>
              <w:rPr>
                <w:rFonts w:ascii="Times New Roman"/>
                <w:b w:val="false"/>
                <w:i w:val="false"/>
                <w:color w:val="000000"/>
                <w:sz w:val="20"/>
              </w:rPr>
              <w:t>
   5) существенные изменения в системе фармаконадзора с момента предыдущего аудита (введение новой базы данных по деятельности по фармаконадзору или значительное обновление существующей базы данных, изменения процессов и видов деятельности с учетом новых или измененных требований действующего законодательства Республики Казахстан);</w:t>
            </w:r>
          </w:p>
          <w:p>
            <w:pPr>
              <w:spacing w:after="20"/>
              <w:ind w:left="20"/>
              <w:jc w:val="both"/>
            </w:pPr>
            <w:r>
              <w:rPr>
                <w:rFonts w:ascii="Times New Roman"/>
                <w:b w:val="false"/>
                <w:i w:val="false"/>
                <w:color w:val="000000"/>
                <w:sz w:val="20"/>
              </w:rPr>
              <w:t>
   6) первый лекарственный препарат на рынке (для держателя регистрационного удостоверения);</w:t>
            </w:r>
          </w:p>
          <w:p>
            <w:pPr>
              <w:spacing w:after="20"/>
              <w:ind w:left="20"/>
              <w:jc w:val="both"/>
            </w:pPr>
            <w:r>
              <w:rPr>
                <w:rFonts w:ascii="Times New Roman"/>
                <w:b w:val="false"/>
                <w:i w:val="false"/>
                <w:color w:val="000000"/>
                <w:sz w:val="20"/>
              </w:rPr>
              <w:t>
   7) лекарственный препарат на рынке с введенными мерами по минимизации рисков или другими условиями обращения, связанными с профилем безопасности лекарственных препаратов (назначение дополнительного мониторинга);</w:t>
            </w:r>
          </w:p>
          <w:p>
            <w:pPr>
              <w:spacing w:after="20"/>
              <w:ind w:left="20"/>
              <w:jc w:val="both"/>
            </w:pPr>
            <w:r>
              <w:rPr>
                <w:rFonts w:ascii="Times New Roman"/>
                <w:b w:val="false"/>
                <w:i w:val="false"/>
                <w:color w:val="000000"/>
                <w:sz w:val="20"/>
              </w:rPr>
              <w:t>
   8) степень критичности процесса, как правило:</w:t>
            </w:r>
          </w:p>
          <w:p>
            <w:pPr>
              <w:spacing w:after="20"/>
              <w:ind w:left="20"/>
              <w:jc w:val="both"/>
            </w:pPr>
            <w:r>
              <w:rPr>
                <w:rFonts w:ascii="Times New Roman"/>
                <w:b w:val="false"/>
                <w:i w:val="false"/>
                <w:color w:val="000000"/>
                <w:sz w:val="20"/>
              </w:rPr>
              <w:t>
   для уполномоченного органа: насколько критична область (процесс) по отношению к надлежащему функционированию системы фармаконадзора Республики Казахстан и общей цели системы здравоохранения;</w:t>
            </w:r>
          </w:p>
          <w:p>
            <w:pPr>
              <w:spacing w:after="20"/>
              <w:ind w:left="20"/>
              <w:jc w:val="both"/>
            </w:pPr>
            <w:r>
              <w:rPr>
                <w:rFonts w:ascii="Times New Roman"/>
                <w:b w:val="false"/>
                <w:i w:val="false"/>
                <w:color w:val="000000"/>
                <w:sz w:val="20"/>
              </w:rPr>
              <w:t>
   для держателя регистрационного удостоверения: насколько критична область (процесс) по отношению к надлежащему функционированию системы фармаконадзора. При принятии решения о проведении аудита филиала или третьего лица, держатель регистрационного удостоверения учитывает характер и критичность мероприятий по фармаконадзору, проводимых филиалом или третьей стороной от имени держателя регистрационного удостоверения, помимо учета других факторов, включенных в этот список;</w:t>
            </w:r>
          </w:p>
          <w:p>
            <w:pPr>
              <w:spacing w:after="20"/>
              <w:ind w:left="20"/>
              <w:jc w:val="both"/>
            </w:pPr>
            <w:r>
              <w:rPr>
                <w:rFonts w:ascii="Times New Roman"/>
                <w:b w:val="false"/>
                <w:i w:val="false"/>
                <w:color w:val="000000"/>
                <w:sz w:val="20"/>
              </w:rPr>
              <w:t>
   9) результаты предыдущих аудитов (наличие предыдущих аудитов этой области (процесса), результаты предыдущего аудита);</w:t>
            </w:r>
          </w:p>
          <w:p>
            <w:pPr>
              <w:spacing w:after="20"/>
              <w:ind w:left="20"/>
              <w:jc w:val="both"/>
            </w:pPr>
            <w:r>
              <w:rPr>
                <w:rFonts w:ascii="Times New Roman"/>
                <w:b w:val="false"/>
                <w:i w:val="false"/>
                <w:color w:val="000000"/>
                <w:sz w:val="20"/>
              </w:rPr>
              <w:t>
   10) выявленные процедурные недостатки (несоответствия), касающиеся конкретных областей деятельности (процессов);</w:t>
            </w:r>
          </w:p>
          <w:p>
            <w:pPr>
              <w:spacing w:after="20"/>
              <w:ind w:left="20"/>
              <w:jc w:val="both"/>
            </w:pPr>
            <w:r>
              <w:rPr>
                <w:rFonts w:ascii="Times New Roman"/>
                <w:b w:val="false"/>
                <w:i w:val="false"/>
                <w:color w:val="000000"/>
                <w:sz w:val="20"/>
              </w:rPr>
              <w:t>
   11) другие организационные изменения, негативно отражающиеся на области деятельности (процессе), в частности, изменение вспомогательной функции (такой как информационно-технологическая поддержка) негативно сказывается на деятельности по фармаконадзору.</w:t>
            </w:r>
          </w:p>
          <w:p>
            <w:pPr>
              <w:spacing w:after="20"/>
              <w:ind w:left="20"/>
              <w:jc w:val="both"/>
            </w:pPr>
            <w:r>
              <w:rPr>
                <w:rFonts w:ascii="Times New Roman"/>
                <w:b w:val="false"/>
                <w:i w:val="false"/>
                <w:color w:val="000000"/>
                <w:sz w:val="20"/>
              </w:rPr>
              <w:t>
   5.1.2.2. Планирование аудита на тактическом уровне</w:t>
            </w:r>
          </w:p>
          <w:p>
            <w:pPr>
              <w:spacing w:after="20"/>
              <w:ind w:left="20"/>
              <w:jc w:val="both"/>
            </w:pPr>
            <w:r>
              <w:rPr>
                <w:rFonts w:ascii="Times New Roman"/>
                <w:b w:val="false"/>
                <w:i w:val="false"/>
                <w:color w:val="000000"/>
                <w:sz w:val="20"/>
              </w:rPr>
              <w:t>
   5.1.2.2.1. Программа аудита представляет собой перечень аудитов, состоящий из одного или нескольких аудитов, запланированных на конкретный срок, обычно на один год. Подготовка программы аудитов осуществляется в соответствии с долгосрочной стратегией аудита. Программа аудита утверждается высшим руководством с общей ответственностью за оперативную и управленческую структуру.</w:t>
            </w:r>
          </w:p>
          <w:p>
            <w:pPr>
              <w:spacing w:after="20"/>
              <w:ind w:left="20"/>
              <w:jc w:val="both"/>
            </w:pPr>
            <w:r>
              <w:rPr>
                <w:rFonts w:ascii="Times New Roman"/>
                <w:b w:val="false"/>
                <w:i w:val="false"/>
                <w:color w:val="000000"/>
                <w:sz w:val="20"/>
              </w:rPr>
              <w:t>
   5.1.2.2.2. Основанная на риске программа аудита основывается на надлежащей оценке рисков и ориентируется на оценку следующих аспектов:</w:t>
            </w:r>
          </w:p>
          <w:p>
            <w:pPr>
              <w:spacing w:after="20"/>
              <w:ind w:left="20"/>
              <w:jc w:val="both"/>
            </w:pPr>
            <w:r>
              <w:rPr>
                <w:rFonts w:ascii="Times New Roman"/>
                <w:b w:val="false"/>
                <w:i w:val="false"/>
                <w:color w:val="000000"/>
                <w:sz w:val="20"/>
              </w:rPr>
              <w:t>
   1) система качества системы фармаконадзора;</w:t>
            </w:r>
          </w:p>
          <w:p>
            <w:pPr>
              <w:spacing w:after="20"/>
              <w:ind w:left="20"/>
              <w:jc w:val="both"/>
            </w:pPr>
            <w:r>
              <w:rPr>
                <w:rFonts w:ascii="Times New Roman"/>
                <w:b w:val="false"/>
                <w:i w:val="false"/>
                <w:color w:val="000000"/>
                <w:sz w:val="20"/>
              </w:rPr>
              <w:t>
   2) критические процессы в системе фармаконадзора;</w:t>
            </w:r>
          </w:p>
          <w:p>
            <w:pPr>
              <w:spacing w:after="20"/>
              <w:ind w:left="20"/>
              <w:jc w:val="both"/>
            </w:pPr>
            <w:r>
              <w:rPr>
                <w:rFonts w:ascii="Times New Roman"/>
                <w:b w:val="false"/>
                <w:i w:val="false"/>
                <w:color w:val="000000"/>
                <w:sz w:val="20"/>
              </w:rPr>
              <w:t>
   3) ключевые системы контроля, опирающиеся на мероприятия фармаконадзора;</w:t>
            </w:r>
          </w:p>
          <w:p>
            <w:pPr>
              <w:spacing w:after="20"/>
              <w:ind w:left="20"/>
              <w:jc w:val="both"/>
            </w:pPr>
            <w:r>
              <w:rPr>
                <w:rFonts w:ascii="Times New Roman"/>
                <w:b w:val="false"/>
                <w:i w:val="false"/>
                <w:color w:val="000000"/>
                <w:sz w:val="20"/>
              </w:rPr>
              <w:t>
   4) области высокого риска после внедрения процедур контроля и мер по минимизации риска;</w:t>
            </w:r>
          </w:p>
          <w:p>
            <w:pPr>
              <w:spacing w:after="20"/>
              <w:ind w:left="20"/>
              <w:jc w:val="both"/>
            </w:pPr>
            <w:r>
              <w:rPr>
                <w:rFonts w:ascii="Times New Roman"/>
                <w:b w:val="false"/>
                <w:i w:val="false"/>
                <w:color w:val="000000"/>
                <w:sz w:val="20"/>
              </w:rPr>
              <w:t>
   5.1.2.2.3. Основанная на риске программа аудита учитывает результаты предыдущих аудитов в части недостаточного охвата областей деятельности, направлений высокого риска, непосредственного указания руководства и (или) лиц, несущих ответственность за систему фармаконадзора.</w:t>
            </w:r>
          </w:p>
          <w:p>
            <w:pPr>
              <w:spacing w:after="20"/>
              <w:ind w:left="20"/>
              <w:jc w:val="both"/>
            </w:pPr>
            <w:r>
              <w:rPr>
                <w:rFonts w:ascii="Times New Roman"/>
                <w:b w:val="false"/>
                <w:i w:val="false"/>
                <w:color w:val="000000"/>
                <w:sz w:val="20"/>
              </w:rPr>
              <w:t>
   5.1.2.2.4. Документация программы аудита включает краткое описание плана каждого запланированного аудита, в том числе объем аудита и цели. Обоснование сроков, периодичности и объема отдельных аудитов, являющихся частью программы аудитов, основывается на документально оформленной оценке рисков. Основанные на оценке риска аудиты системы фармаконадзора выполняются регулярно в соответствии с требованиями действующего законодательства Республики Казахстан по фармаконадзору и настоящего Стандарта. Внесение обоснованных изменений в программу аудита надлежащим образом документируется.</w:t>
            </w:r>
          </w:p>
          <w:p>
            <w:pPr>
              <w:spacing w:after="20"/>
              <w:ind w:left="20"/>
              <w:jc w:val="both"/>
            </w:pPr>
            <w:r>
              <w:rPr>
                <w:rFonts w:ascii="Times New Roman"/>
                <w:b w:val="false"/>
                <w:i w:val="false"/>
                <w:color w:val="000000"/>
                <w:sz w:val="20"/>
              </w:rPr>
              <w:t>
   5.1.2.3. Планирование и отчетность по аудиту на оперативном уровне</w:t>
            </w:r>
          </w:p>
          <w:p>
            <w:pPr>
              <w:spacing w:after="20"/>
              <w:ind w:left="20"/>
              <w:jc w:val="both"/>
            </w:pPr>
            <w:r>
              <w:rPr>
                <w:rFonts w:ascii="Times New Roman"/>
                <w:b w:val="false"/>
                <w:i w:val="false"/>
                <w:color w:val="000000"/>
                <w:sz w:val="20"/>
              </w:rPr>
              <w:t>
   5.1.2.3.1. Планирование и сбор данных на местах</w:t>
            </w:r>
          </w:p>
          <w:p>
            <w:pPr>
              <w:spacing w:after="20"/>
              <w:ind w:left="20"/>
              <w:jc w:val="both"/>
            </w:pPr>
            <w:r>
              <w:rPr>
                <w:rFonts w:ascii="Times New Roman"/>
                <w:b w:val="false"/>
                <w:i w:val="false"/>
                <w:color w:val="000000"/>
                <w:sz w:val="20"/>
              </w:rPr>
              <w:t>
   Организация внедряет письменные процедуры с учетом планирования и проведения отдельных аудитов. Сроки реализации всех мер, необходимых для выполнения отдельного аудита, устанавливаются в соответствующих процедурах, связанных с проведением аудита. Организация обеспечивает проведение аудитов в соответствии с письменными процедурами, в соответствии с данным разделом настоящего Стандарта.</w:t>
            </w:r>
          </w:p>
          <w:p>
            <w:pPr>
              <w:spacing w:after="20"/>
              <w:ind w:left="20"/>
              <w:jc w:val="both"/>
            </w:pPr>
            <w:r>
              <w:rPr>
                <w:rFonts w:ascii="Times New Roman"/>
                <w:b w:val="false"/>
                <w:i w:val="false"/>
                <w:color w:val="000000"/>
                <w:sz w:val="20"/>
              </w:rPr>
              <w:t>
   Отдельные аудиты системы фармаконадзора проводятся в соответствии с утвержденной программой аудита, основанной на рисках. При планировании отдельных аудитов аудитор определяет и оценивает риски, сопряженные с рассматриваемой областью, применяя самые подходящие методы выборочных исследований и тестирования. Метод выполнения аудита надлежащим образом документируется в плане проведения аудита.</w:t>
            </w:r>
          </w:p>
          <w:p>
            <w:pPr>
              <w:spacing w:after="20"/>
              <w:ind w:left="20"/>
              <w:jc w:val="both"/>
            </w:pPr>
            <w:r>
              <w:rPr>
                <w:rFonts w:ascii="Times New Roman"/>
                <w:b w:val="false"/>
                <w:i w:val="false"/>
                <w:color w:val="000000"/>
                <w:sz w:val="20"/>
              </w:rPr>
              <w:t>
   5.1.2.3.2. Отчетность</w:t>
            </w:r>
          </w:p>
          <w:p>
            <w:pPr>
              <w:spacing w:after="20"/>
              <w:ind w:left="20"/>
              <w:jc w:val="both"/>
            </w:pPr>
            <w:r>
              <w:rPr>
                <w:rFonts w:ascii="Times New Roman"/>
                <w:b w:val="false"/>
                <w:i w:val="false"/>
                <w:color w:val="000000"/>
                <w:sz w:val="20"/>
              </w:rPr>
              <w:t>
   Выводы аудиторов документально отражаются в аудиторском заключении и своевременно докладываются руководству. Процесс аудита включает механизмы передачи выводов аудита объекту аудита, получения обратной связи и представления аудиторской отчетности руководству и заинтересованным сторонам, в том числе лицам, ответственным за систему фармаконадзора, в соответствии с требованиями действующего законодательства Республики Казахстан и рекомендаций по аудиту системы фармаконадзора. Результаты аудита представляются в соответствии с относительным уровнем риска и классифицируются с целью указания их критичности по отношению к рискам, влияющим на систему фармаконадзора, процессы и компоненты процессов. Система классификации определяется в описании системы качества фармаконадзора и учитывает отмеченные ниже пороговые значения, используемые в дальнейшей отчетности:</w:t>
            </w:r>
          </w:p>
          <w:p>
            <w:pPr>
              <w:spacing w:after="20"/>
              <w:ind w:left="20"/>
              <w:jc w:val="both"/>
            </w:pPr>
            <w:r>
              <w:rPr>
                <w:rFonts w:ascii="Times New Roman"/>
                <w:b w:val="false"/>
                <w:i w:val="false"/>
                <w:color w:val="000000"/>
                <w:sz w:val="20"/>
              </w:rPr>
              <w:t>
   1) критическим является принципиальный недостаток (несоответствие) одного или нескольких процессов или выполняемых процедур системы фармаконадзора, отрицательно влияющий на всю систему фармаконадзора и (или) права, безопасность и благополучие пациентов, и (или) представляет потенциальную угрозу здоровью населения и (или) представляет серьезное нарушение действующих требований законодательства Республики Казахстан;</w:t>
            </w:r>
          </w:p>
          <w:p>
            <w:pPr>
              <w:spacing w:after="20"/>
              <w:ind w:left="20"/>
              <w:jc w:val="both"/>
            </w:pPr>
            <w:r>
              <w:rPr>
                <w:rFonts w:ascii="Times New Roman"/>
                <w:b w:val="false"/>
                <w:i w:val="false"/>
                <w:color w:val="000000"/>
                <w:sz w:val="20"/>
              </w:rPr>
              <w:t>
   2) существенным является значительный недостаток (несоответствие) одного или нескольких процессов или выполняемых процедур системы фармаконадзора, или принципиальный недостаток какой-либо части одного или нескольких процессов или выполняемых процедур фармаконадзора, что отрицательно сказывается на всем процессе и (или) потенциально сказывается на правах, безопасности и благополучии пациентов, и (или) представляет потенциальную опасность для здоровья населения и (или) нарушает действующие требования законодательства Республики Казахстан по фармаконадзору, не считающиеся однако серьезными.</w:t>
            </w:r>
          </w:p>
          <w:p>
            <w:pPr>
              <w:spacing w:after="20"/>
              <w:ind w:left="20"/>
              <w:jc w:val="both"/>
            </w:pPr>
            <w:r>
              <w:rPr>
                <w:rFonts w:ascii="Times New Roman"/>
                <w:b w:val="false"/>
                <w:i w:val="false"/>
                <w:color w:val="000000"/>
                <w:sz w:val="20"/>
              </w:rPr>
              <w:t>
   3) несущественным является недостаток (несоответствие) какого-либо компонента одного или нескольких процессов или выполняемых процедур системы фармаконадзора, не сказывающихся отрицательно на всей системе фармаконадзора или процессе и (или) правах, безопасности и благополучии пациентов.</w:t>
            </w:r>
          </w:p>
          <w:p>
            <w:pPr>
              <w:spacing w:after="20"/>
              <w:ind w:left="20"/>
              <w:jc w:val="both"/>
            </w:pPr>
            <w:r>
              <w:rPr>
                <w:rFonts w:ascii="Times New Roman"/>
                <w:b w:val="false"/>
                <w:i w:val="false"/>
                <w:color w:val="000000"/>
                <w:sz w:val="20"/>
              </w:rPr>
              <w:t>
   По вопросам, требующим решения в срочном порядке, незамедлительно информируется руководство объекта аудита и высшее руководство.</w:t>
            </w:r>
          </w:p>
          <w:p>
            <w:pPr>
              <w:spacing w:after="20"/>
              <w:ind w:left="20"/>
              <w:jc w:val="both"/>
            </w:pPr>
            <w:r>
              <w:rPr>
                <w:rFonts w:ascii="Times New Roman"/>
                <w:b w:val="false"/>
                <w:i w:val="false"/>
                <w:color w:val="000000"/>
                <w:sz w:val="20"/>
              </w:rPr>
              <w:t>
   5.1.2.4. Действия, основанные на результатах аудита и последующего контроля аудитов</w:t>
            </w:r>
          </w:p>
          <w:p>
            <w:pPr>
              <w:spacing w:after="20"/>
              <w:ind w:left="20"/>
              <w:jc w:val="both"/>
            </w:pPr>
            <w:r>
              <w:rPr>
                <w:rFonts w:ascii="Times New Roman"/>
                <w:b w:val="false"/>
                <w:i w:val="false"/>
                <w:color w:val="000000"/>
                <w:sz w:val="20"/>
              </w:rPr>
              <w:t xml:space="preserve">
   5.1.2.4.1. Действия, указанные в данном разделе руководства, такие как незамедлительные действия, оперативные действия, действия в разумные сроки и вопросы, требующие срочного принятия решения либо срочное информирование, предназначены для выполнения в надлежащие и уместные сроки, соответствующими относительному риску для системы фармаконадзора. Устанавливаются приоритеты корректирующих и предупреждающих мероприятий для устранения выявленных критических и существенных недостатков (несоответствий). Точные сроки действий, связанных с выявленным критическим недостатком (несоответствием), варьируются в зависимости от характера выводов и запланированного действия. </w:t>
            </w:r>
          </w:p>
          <w:p>
            <w:pPr>
              <w:spacing w:after="20"/>
              <w:ind w:left="20"/>
              <w:jc w:val="both"/>
            </w:pPr>
            <w:r>
              <w:rPr>
                <w:rFonts w:ascii="Times New Roman"/>
                <w:b w:val="false"/>
                <w:i w:val="false"/>
                <w:color w:val="000000"/>
                <w:sz w:val="20"/>
              </w:rPr>
              <w:t>
   5.1.2.4.2. Руководство организации несет ответственность за обеспечение организации механизмом, позволяющим надлежащим образом решать вопросы, связанные с результатами аудита системы фармаконадзора. Комплекс мероприятий включает: анализ изначальной причины выявленного недостатка, анализ влияния выявленных результатов аудита и подготовку плана корректирующих и предупреждающих мероприятий.</w:t>
            </w:r>
          </w:p>
          <w:p>
            <w:pPr>
              <w:spacing w:after="20"/>
              <w:ind w:left="20"/>
              <w:jc w:val="both"/>
            </w:pPr>
            <w:r>
              <w:rPr>
                <w:rFonts w:ascii="Times New Roman"/>
                <w:b w:val="false"/>
                <w:i w:val="false"/>
                <w:color w:val="000000"/>
                <w:sz w:val="20"/>
              </w:rPr>
              <w:t xml:space="preserve">
   5.1.2.4.3. Высшее руководство и лица, наделенные руководящими полномочиями, предпринимают все необходимые эффективные меры по устранению недостатков, выявленных в процессе аудита. Выполнение согласованных действий систематически контролируется. Информация о ходе реализации корректирующих и предупреждающих мероприятий периодически доводится до сведения высшего руководства согласно запланированным действиям. Подтверждение завершения комплекса корректирующих и предупреждающих мероприятий надлежащим образом документируется. Программа аудита предусматривает потенциальную возможность проведения контрольных аудитов, выполняемых по мере необходимости, с целью подтверждения завершения выполнения согласованных действий. </w:t>
            </w:r>
          </w:p>
          <w:p>
            <w:pPr>
              <w:spacing w:after="20"/>
              <w:ind w:left="20"/>
              <w:jc w:val="both"/>
            </w:pPr>
            <w:r>
              <w:rPr>
                <w:rFonts w:ascii="Times New Roman"/>
                <w:b w:val="false"/>
                <w:i w:val="false"/>
                <w:color w:val="000000"/>
                <w:sz w:val="20"/>
              </w:rPr>
              <w:t>
   5.1.3 Система качества и документирования</w:t>
            </w:r>
          </w:p>
          <w:p>
            <w:pPr>
              <w:spacing w:after="20"/>
              <w:ind w:left="20"/>
              <w:jc w:val="both"/>
            </w:pPr>
            <w:r>
              <w:rPr>
                <w:rFonts w:ascii="Times New Roman"/>
                <w:b w:val="false"/>
                <w:i w:val="false"/>
                <w:color w:val="000000"/>
                <w:sz w:val="20"/>
              </w:rPr>
              <w:t>
   5.1.3.1. Компетентность аудитора и управления качеством аудиторской деятельности</w:t>
            </w:r>
          </w:p>
          <w:p>
            <w:pPr>
              <w:spacing w:after="20"/>
              <w:ind w:left="20"/>
              <w:jc w:val="both"/>
            </w:pPr>
            <w:r>
              <w:rPr>
                <w:rFonts w:ascii="Times New Roman"/>
                <w:b w:val="false"/>
                <w:i w:val="false"/>
                <w:color w:val="000000"/>
                <w:sz w:val="20"/>
              </w:rPr>
              <w:t>
   5.1.3.1.1. Независимость и объективность аудита и работы аудитора</w:t>
            </w:r>
          </w:p>
          <w:p>
            <w:pPr>
              <w:spacing w:after="20"/>
              <w:ind w:left="20"/>
              <w:jc w:val="both"/>
            </w:pPr>
            <w:r>
              <w:rPr>
                <w:rFonts w:ascii="Times New Roman"/>
                <w:b w:val="false"/>
                <w:i w:val="false"/>
                <w:color w:val="000000"/>
                <w:sz w:val="20"/>
              </w:rPr>
              <w:t>
   Организация назначает конкретное лицо, ответственное за деятельность по аудиту в области фармаконадзора. Деятельность по выполнению аудитов системы фармаконадзора является независимой. Руководство организации обеспечивает и документирует независимость и объективность аудитора.</w:t>
            </w:r>
          </w:p>
          <w:p>
            <w:pPr>
              <w:spacing w:after="20"/>
              <w:ind w:left="20"/>
              <w:jc w:val="both"/>
            </w:pPr>
            <w:r>
              <w:rPr>
                <w:rFonts w:ascii="Times New Roman"/>
                <w:b w:val="false"/>
                <w:i w:val="false"/>
                <w:color w:val="000000"/>
                <w:sz w:val="20"/>
              </w:rPr>
              <w:t xml:space="preserve">
   Аудитор свободен от вмешательства в определение объема аудита, проведение аудита системы фармаконадзора и информирование о результатах аудита. Основная отчетность направляется высшему руководству, несущему полную ответственность за исполнительскую и управленческую структуру, что позволяет аудитору выполнять свои обязанности и представить независимое и объективное аудиторское заключение. Аудиторы консультируются с экспертами, персоналом, участвующим в процессах по фармаконадзору, с лицом, уполномоченным по фармаконадзору, при сохранении непредвзятого отношения и отсутствии влияния на объективность и качество выполняемых работ. </w:t>
            </w:r>
          </w:p>
          <w:p>
            <w:pPr>
              <w:spacing w:after="20"/>
              <w:ind w:left="20"/>
              <w:jc w:val="both"/>
            </w:pPr>
            <w:r>
              <w:rPr>
                <w:rFonts w:ascii="Times New Roman"/>
                <w:b w:val="false"/>
                <w:i w:val="false"/>
                <w:color w:val="000000"/>
                <w:sz w:val="20"/>
              </w:rPr>
              <w:t>
   5.1.3.1.2. Квалификация, профессионализм, опыт и непрерывное повышение квалификации аудитора</w:t>
            </w:r>
          </w:p>
          <w:p>
            <w:pPr>
              <w:spacing w:after="20"/>
              <w:ind w:left="20"/>
              <w:jc w:val="both"/>
            </w:pPr>
            <w:r>
              <w:rPr>
                <w:rFonts w:ascii="Times New Roman"/>
                <w:b w:val="false"/>
                <w:i w:val="false"/>
                <w:color w:val="000000"/>
                <w:sz w:val="20"/>
              </w:rPr>
              <w:t>
   Аудитор обязан обладать и поддерживать требуемую квалификацию с точки зрения знаний, навыков и способностей, необходимых для эффективного проведения аудиторских мероприятий системы фармаконадзора и участия в них. Аудиторы обязан обладать навыками, умениями и знаниями по разделам:</w:t>
            </w:r>
          </w:p>
          <w:p>
            <w:pPr>
              <w:spacing w:after="20"/>
              <w:ind w:left="20"/>
              <w:jc w:val="both"/>
            </w:pPr>
            <w:r>
              <w:rPr>
                <w:rFonts w:ascii="Times New Roman"/>
                <w:b w:val="false"/>
                <w:i w:val="false"/>
                <w:color w:val="000000"/>
                <w:sz w:val="20"/>
              </w:rPr>
              <w:t>
   1) принципов, процедур и методов аудита;</w:t>
            </w:r>
          </w:p>
          <w:p>
            <w:pPr>
              <w:spacing w:after="20"/>
              <w:ind w:left="20"/>
              <w:jc w:val="both"/>
            </w:pPr>
            <w:r>
              <w:rPr>
                <w:rFonts w:ascii="Times New Roman"/>
                <w:b w:val="false"/>
                <w:i w:val="false"/>
                <w:color w:val="000000"/>
                <w:sz w:val="20"/>
              </w:rPr>
              <w:t>
   2) существующих законодательных актов, руководств и других требований, относящихся к системе фармаконадзора;</w:t>
            </w:r>
          </w:p>
          <w:p>
            <w:pPr>
              <w:spacing w:after="20"/>
              <w:ind w:left="20"/>
              <w:jc w:val="both"/>
            </w:pPr>
            <w:r>
              <w:rPr>
                <w:rFonts w:ascii="Times New Roman"/>
                <w:b w:val="false"/>
                <w:i w:val="false"/>
                <w:color w:val="000000"/>
                <w:sz w:val="20"/>
              </w:rPr>
              <w:t>
   3) мероприятий, процессов и процедур фармаконадзора;</w:t>
            </w:r>
          </w:p>
          <w:p>
            <w:pPr>
              <w:spacing w:after="20"/>
              <w:ind w:left="20"/>
              <w:jc w:val="both"/>
            </w:pPr>
            <w:r>
              <w:rPr>
                <w:rFonts w:ascii="Times New Roman"/>
                <w:b w:val="false"/>
                <w:i w:val="false"/>
                <w:color w:val="000000"/>
                <w:sz w:val="20"/>
              </w:rPr>
              <w:t>
   4) систем управления;</w:t>
            </w:r>
          </w:p>
          <w:p>
            <w:pPr>
              <w:spacing w:after="20"/>
              <w:ind w:left="20"/>
              <w:jc w:val="both"/>
            </w:pPr>
            <w:r>
              <w:rPr>
                <w:rFonts w:ascii="Times New Roman"/>
                <w:b w:val="false"/>
                <w:i w:val="false"/>
                <w:color w:val="000000"/>
                <w:sz w:val="20"/>
              </w:rPr>
              <w:t>
   5) организационных систем.</w:t>
            </w:r>
          </w:p>
          <w:p>
            <w:pPr>
              <w:spacing w:after="20"/>
              <w:ind w:left="20"/>
              <w:jc w:val="both"/>
            </w:pPr>
            <w:r>
              <w:rPr>
                <w:rFonts w:ascii="Times New Roman"/>
                <w:b w:val="false"/>
                <w:i w:val="false"/>
                <w:color w:val="000000"/>
                <w:sz w:val="20"/>
              </w:rPr>
              <w:t>
   5.1.3.1.3. Оценка качества аудиторской деятельности</w:t>
            </w:r>
          </w:p>
          <w:p>
            <w:pPr>
              <w:spacing w:after="20"/>
              <w:ind w:left="20"/>
              <w:jc w:val="both"/>
            </w:pPr>
            <w:r>
              <w:rPr>
                <w:rFonts w:ascii="Times New Roman"/>
                <w:b w:val="false"/>
                <w:i w:val="false"/>
                <w:color w:val="000000"/>
                <w:sz w:val="20"/>
              </w:rPr>
              <w:t>
   Оценка аудиторской деятельности осуществляется посредством текущей и периодической оценки всей аудиторской деятельности, отзывов объекта аудита и самооценки аудиторской деятельности (контроль качества аудиторской деятельности, соблюдение кодекса поведения, программ аудита и аудиторских процедур).</w:t>
            </w:r>
          </w:p>
          <w:p>
            <w:pPr>
              <w:spacing w:after="20"/>
              <w:ind w:left="20"/>
              <w:jc w:val="both"/>
            </w:pPr>
            <w:r>
              <w:rPr>
                <w:rFonts w:ascii="Times New Roman"/>
                <w:b w:val="false"/>
                <w:i w:val="false"/>
                <w:color w:val="000000"/>
                <w:sz w:val="20"/>
              </w:rPr>
              <w:t>
   5.1.3.2 Аудиты, проведенные внешними поставщиками аудиторских услуг</w:t>
            </w:r>
          </w:p>
          <w:p>
            <w:pPr>
              <w:spacing w:after="20"/>
              <w:ind w:left="20"/>
              <w:jc w:val="both"/>
            </w:pPr>
            <w:r>
              <w:rPr>
                <w:rFonts w:ascii="Times New Roman"/>
                <w:b w:val="false"/>
                <w:i w:val="false"/>
                <w:color w:val="000000"/>
                <w:sz w:val="20"/>
              </w:rPr>
              <w:t>
   Основная ответственность за функционирование и эффективность системы фармаконадзора лежит на организации. В случае если организация принимает решение прибегнуть к внешнему поставщику аудиторских услуг для выполнения требований по аудиту системы фармаконадзора на основе данного раздела требований надлежащей практики фармаконадзора, следует соблюсти следующие требования:</w:t>
            </w:r>
          </w:p>
          <w:p>
            <w:pPr>
              <w:spacing w:after="20"/>
              <w:ind w:left="20"/>
              <w:jc w:val="both"/>
            </w:pPr>
            <w:r>
              <w:rPr>
                <w:rFonts w:ascii="Times New Roman"/>
                <w:b w:val="false"/>
                <w:i w:val="false"/>
                <w:color w:val="000000"/>
                <w:sz w:val="20"/>
              </w:rPr>
              <w:t>
   1) требования и подготовка оценки аудиторского риска, стратегии аудита, программы аудита и отдельных аудиторских заданий доводятся организацией до сведения внешних поставщиков услуг в письменной форме;</w:t>
            </w:r>
          </w:p>
          <w:p>
            <w:pPr>
              <w:spacing w:after="20"/>
              <w:ind w:left="20"/>
              <w:jc w:val="both"/>
            </w:pPr>
            <w:r>
              <w:rPr>
                <w:rFonts w:ascii="Times New Roman"/>
                <w:b w:val="false"/>
                <w:i w:val="false"/>
                <w:color w:val="000000"/>
                <w:sz w:val="20"/>
              </w:rPr>
              <w:t>
   2) объем работы, задачи и процедурные требования к проведению аудита доводятся организацией до сведения внешних поставщиков услуг в письменной форме;</w:t>
            </w:r>
          </w:p>
          <w:p>
            <w:pPr>
              <w:spacing w:after="20"/>
              <w:ind w:left="20"/>
              <w:jc w:val="both"/>
            </w:pPr>
            <w:r>
              <w:rPr>
                <w:rFonts w:ascii="Times New Roman"/>
                <w:b w:val="false"/>
                <w:i w:val="false"/>
                <w:color w:val="000000"/>
                <w:sz w:val="20"/>
              </w:rPr>
              <w:t>
   3) организация обязана получить документальное подтверждение независимости и объективности внешних поставщиков аудиторских услуг;</w:t>
            </w:r>
          </w:p>
          <w:p>
            <w:pPr>
              <w:spacing w:after="20"/>
              <w:ind w:left="20"/>
              <w:jc w:val="both"/>
            </w:pPr>
            <w:r>
              <w:rPr>
                <w:rFonts w:ascii="Times New Roman"/>
                <w:b w:val="false"/>
                <w:i w:val="false"/>
                <w:color w:val="000000"/>
                <w:sz w:val="20"/>
              </w:rPr>
              <w:t>
   4) внешний поставщик аудиторских услуг обязан соблюдать соответствующие разделы настоящего Стандарта.</w:t>
            </w:r>
          </w:p>
          <w:p>
            <w:pPr>
              <w:spacing w:after="20"/>
              <w:ind w:left="20"/>
              <w:jc w:val="both"/>
            </w:pPr>
            <w:r>
              <w:rPr>
                <w:rFonts w:ascii="Times New Roman"/>
                <w:b w:val="false"/>
                <w:i w:val="false"/>
                <w:color w:val="000000"/>
                <w:sz w:val="20"/>
              </w:rPr>
              <w:t>
   5.1.3.3. Хранение отчетов об аудитах</w:t>
            </w:r>
          </w:p>
          <w:p>
            <w:pPr>
              <w:spacing w:after="20"/>
              <w:ind w:left="20"/>
              <w:jc w:val="both"/>
            </w:pPr>
            <w:r>
              <w:rPr>
                <w:rFonts w:ascii="Times New Roman"/>
                <w:b w:val="false"/>
                <w:i w:val="false"/>
                <w:color w:val="000000"/>
                <w:sz w:val="20"/>
              </w:rPr>
              <w:t>
   Отчеты об аудитах и сведения, подтверждающие завершение действий по результатам аудита, хранятся в соответствии с требованиями, приведенными в разделе 2.</w:t>
            </w:r>
          </w:p>
          <w:p>
            <w:pPr>
              <w:spacing w:after="20"/>
              <w:ind w:left="20"/>
              <w:jc w:val="both"/>
            </w:pPr>
            <w:r>
              <w:rPr>
                <w:rFonts w:ascii="Times New Roman"/>
                <w:b w:val="false"/>
                <w:i w:val="false"/>
                <w:color w:val="000000"/>
                <w:sz w:val="20"/>
              </w:rPr>
              <w:t>
   </w:t>
            </w:r>
            <w:r>
              <w:rPr>
                <w:rFonts w:ascii="Times New Roman"/>
                <w:b/>
                <w:i w:val="false"/>
                <w:color w:val="000000"/>
                <w:sz w:val="20"/>
              </w:rPr>
              <w:t>5.2. Требования к проведению аудита</w:t>
            </w:r>
          </w:p>
          <w:p>
            <w:pPr>
              <w:spacing w:after="20"/>
              <w:ind w:left="20"/>
              <w:jc w:val="both"/>
            </w:pPr>
            <w:r>
              <w:rPr>
                <w:rFonts w:ascii="Times New Roman"/>
                <w:b w:val="false"/>
                <w:i w:val="false"/>
                <w:color w:val="000000"/>
                <w:sz w:val="20"/>
              </w:rPr>
              <w:t>
   5.2.l. Держатель регистрационного удостоверения</w:t>
            </w:r>
          </w:p>
          <w:p>
            <w:pPr>
              <w:spacing w:after="20"/>
              <w:ind w:left="20"/>
              <w:jc w:val="both"/>
            </w:pPr>
            <w:r>
              <w:rPr>
                <w:rFonts w:ascii="Times New Roman"/>
                <w:b w:val="false"/>
                <w:i w:val="false"/>
                <w:color w:val="000000"/>
                <w:sz w:val="20"/>
              </w:rPr>
              <w:t>
   5.2.l.1. Требования к проведению аудита</w:t>
            </w:r>
          </w:p>
          <w:p>
            <w:pPr>
              <w:spacing w:after="20"/>
              <w:ind w:left="20"/>
              <w:jc w:val="both"/>
            </w:pPr>
            <w:r>
              <w:rPr>
                <w:rFonts w:ascii="Times New Roman"/>
                <w:b w:val="false"/>
                <w:i w:val="false"/>
                <w:color w:val="000000"/>
                <w:sz w:val="20"/>
              </w:rPr>
              <w:t>
   Держатель регистрационного удостоверения обязан регулярно проводить основанные на риске аудиторские проверки своей системы фармаконадзора, включая аудит системы качества системы фармаконадзора, с целью обеспечения соответствия действующей системы качества предъявляемым требованиям. Даты проведения аудитов, результаты проведенных аудитов и контрольные аудиты надлежащим образом документируются.</w:t>
            </w:r>
          </w:p>
          <w:p>
            <w:pPr>
              <w:spacing w:after="20"/>
              <w:ind w:left="20"/>
              <w:jc w:val="both"/>
            </w:pPr>
            <w:r>
              <w:rPr>
                <w:rFonts w:ascii="Times New Roman"/>
                <w:b w:val="false"/>
                <w:i w:val="false"/>
                <w:color w:val="000000"/>
                <w:sz w:val="20"/>
              </w:rPr>
              <w:t>
   5.2.1.1.1. Уполномоченное лицо по фармаконадзору в Республике Казахстан</w:t>
            </w:r>
          </w:p>
          <w:p>
            <w:pPr>
              <w:spacing w:after="20"/>
              <w:ind w:left="20"/>
              <w:jc w:val="both"/>
            </w:pPr>
            <w:r>
              <w:rPr>
                <w:rFonts w:ascii="Times New Roman"/>
                <w:b w:val="false"/>
                <w:i w:val="false"/>
                <w:color w:val="000000"/>
                <w:sz w:val="20"/>
              </w:rPr>
              <w:t>
   УЛФ получает отчеты о результатах аудита системы фармаконадзора и представляет информацию аудиторам, имеющим отношение к оценке рисков, включая сведения о состоянии выполнения корректирующих и предупреждающих мероприятий. УЛФ получает информацию о результатах любого аудита, имеющего отношение к системе фармаконадзора в Республике Казахстан, вне зависимости от места его проведения.</w:t>
            </w:r>
          </w:p>
          <w:p>
            <w:pPr>
              <w:spacing w:after="20"/>
              <w:ind w:left="20"/>
              <w:jc w:val="both"/>
            </w:pPr>
            <w:r>
              <w:rPr>
                <w:rFonts w:ascii="Times New Roman"/>
                <w:b w:val="false"/>
                <w:i w:val="false"/>
                <w:color w:val="000000"/>
                <w:sz w:val="20"/>
              </w:rPr>
              <w:t>
   5.2.l.2. Уполномоченный орган, уполномоченная организация</w:t>
            </w:r>
          </w:p>
          <w:p>
            <w:pPr>
              <w:spacing w:after="20"/>
              <w:ind w:left="20"/>
              <w:jc w:val="both"/>
            </w:pPr>
            <w:r>
              <w:rPr>
                <w:rFonts w:ascii="Times New Roman"/>
                <w:b w:val="false"/>
                <w:i w:val="false"/>
                <w:color w:val="000000"/>
                <w:sz w:val="20"/>
              </w:rPr>
              <w:t>
   5.2.l.2.1. Требования к проведению аудита</w:t>
            </w:r>
          </w:p>
          <w:p>
            <w:pPr>
              <w:spacing w:after="20"/>
              <w:ind w:left="20"/>
              <w:jc w:val="both"/>
            </w:pPr>
            <w:r>
              <w:rPr>
                <w:rFonts w:ascii="Times New Roman"/>
                <w:b w:val="false"/>
                <w:i w:val="false"/>
                <w:color w:val="000000"/>
                <w:sz w:val="20"/>
              </w:rPr>
              <w:t xml:space="preserve">
   Уполномоченный орган, уполномоченная организация регулярно проводят независимые проверки задач системы фармаконадзора и регулярный аудит своей системы фармаконадзора и основанные на рисках аудиты системы качества с целью обеспечения соответствия системы качества предъявляемым требованиям. Даты проведения, результаты проведенных аудитов и контрольные аудиты, надлежащим образом документируются. </w:t>
            </w:r>
          </w:p>
          <w:p>
            <w:pPr>
              <w:spacing w:after="20"/>
              <w:ind w:left="20"/>
              <w:jc w:val="both"/>
            </w:pPr>
            <w:r>
              <w:rPr>
                <w:rFonts w:ascii="Times New Roman"/>
                <w:b w:val="false"/>
                <w:i w:val="false"/>
                <w:color w:val="000000"/>
                <w:sz w:val="20"/>
              </w:rPr>
              <w:t>
   5.2.1.2.2. Принятая методология</w:t>
            </w:r>
          </w:p>
          <w:p>
            <w:pPr>
              <w:spacing w:after="20"/>
              <w:ind w:left="20"/>
              <w:jc w:val="both"/>
            </w:pPr>
            <w:r>
              <w:rPr>
                <w:rFonts w:ascii="Times New Roman"/>
                <w:b w:val="false"/>
                <w:i w:val="false"/>
                <w:color w:val="000000"/>
                <w:sz w:val="20"/>
              </w:rPr>
              <w:t xml:space="preserve">
   В целях обеспечения согласованного и гармонизированного планирования, реализации и отчетности, аудиты, проводимые в уполномоченном органе, уполномоченной организации, основываются на принятой терминологии и методологии. </w:t>
            </w:r>
          </w:p>
          <w:p>
            <w:pPr>
              <w:spacing w:after="20"/>
              <w:ind w:left="20"/>
              <w:jc w:val="both"/>
            </w:pPr>
            <w:r>
              <w:rPr>
                <w:rFonts w:ascii="Times New Roman"/>
                <w:b w:val="false"/>
                <w:i w:val="false"/>
                <w:color w:val="000000"/>
                <w:sz w:val="20"/>
              </w:rPr>
              <w:t>
   5.2.2. Требования к аудиторской отчетности</w:t>
            </w:r>
          </w:p>
          <w:p>
            <w:pPr>
              <w:spacing w:after="20"/>
              <w:ind w:left="20"/>
              <w:jc w:val="both"/>
            </w:pPr>
            <w:r>
              <w:rPr>
                <w:rFonts w:ascii="Times New Roman"/>
                <w:b w:val="false"/>
                <w:i w:val="false"/>
                <w:color w:val="000000"/>
                <w:sz w:val="20"/>
              </w:rPr>
              <w:t>
   5.2.2.1. Отчетность держателя регистрационного удостоверения</w:t>
            </w:r>
          </w:p>
          <w:p>
            <w:pPr>
              <w:spacing w:after="20"/>
              <w:ind w:left="20"/>
              <w:jc w:val="both"/>
            </w:pPr>
            <w:r>
              <w:rPr>
                <w:rFonts w:ascii="Times New Roman"/>
                <w:b w:val="false"/>
                <w:i w:val="false"/>
                <w:color w:val="000000"/>
                <w:sz w:val="20"/>
              </w:rPr>
              <w:t xml:space="preserve">
   5.2.2.1.1. Держатель регистрационного удостоверения включает пояснительную запись по критическим и существенным результатам аудита системы фармаконадзора в мастер-файл системы фармаконадзора. Основываясь на результатах аудита, держатель регистрационного удостоверения обеспечивает подготовку и реализацию соответствующего плана, в котором подробно указываются корректирующие и предупреждающие мероприятия. После выполнения корректирующих и предупреждающих мероприятий в полном объеме запись в мастер-файле удаляется. Для удаления каких-либо сведений, касающихся аудита, из мастер-файла системы фармаконадзора требуются объективные подтверждающие данные. </w:t>
            </w:r>
          </w:p>
          <w:p>
            <w:pPr>
              <w:spacing w:after="20"/>
              <w:ind w:left="20"/>
              <w:jc w:val="both"/>
            </w:pPr>
            <w:r>
              <w:rPr>
                <w:rFonts w:ascii="Times New Roman"/>
                <w:b w:val="false"/>
                <w:i w:val="false"/>
                <w:color w:val="000000"/>
                <w:sz w:val="20"/>
              </w:rPr>
              <w:t>
   5.2.2.1.2. Держатель регистрационного удостоверения обеспечивает включение списка всех запланированных и проведенных аудитов в приложение к мастер-файлу системы фармаконадзора, выполнение всех запланированных аудитов с соблюдением обязательств по отчетности, предусмотренных требованиями действующего законодательства Республики Казахстан по фармаконадзору, настоящего Стандарта и внутренними стандартами отчетности. Даты и результаты проведенных аудитов и контрольные аудиты надлежащим образом документируются.</w:t>
            </w:r>
          </w:p>
          <w:p>
            <w:pPr>
              <w:spacing w:after="20"/>
              <w:ind w:left="20"/>
              <w:jc w:val="both"/>
            </w:pPr>
            <w:r>
              <w:rPr>
                <w:rFonts w:ascii="Times New Roman"/>
                <w:b w:val="false"/>
                <w:i w:val="false"/>
                <w:color w:val="000000"/>
                <w:sz w:val="20"/>
              </w:rPr>
              <w:t xml:space="preserve">
   5.2.2.2. Отчетность уполномоченного органа, уполномоченной организации </w:t>
            </w:r>
          </w:p>
          <w:p>
            <w:pPr>
              <w:spacing w:after="20"/>
              <w:ind w:left="20"/>
              <w:jc w:val="both"/>
            </w:pPr>
            <w:r>
              <w:rPr>
                <w:rFonts w:ascii="Times New Roman"/>
                <w:b w:val="false"/>
                <w:i w:val="false"/>
                <w:color w:val="000000"/>
                <w:sz w:val="20"/>
              </w:rPr>
              <w:t xml:space="preserve">
   Уполномоченный орган, уполномоченная организация обеспечивают соблюдение обязательств по представлению отчетности по выполненным аудитам в соответствии с требованиями действующего законодательства Республики Казахстан по фармаконадзору, настоящего Стандарта и внутренними стандартами отчетности. </w:t>
            </w:r>
          </w:p>
          <w:p>
            <w:pPr>
              <w:spacing w:after="20"/>
              <w:ind w:left="20"/>
              <w:jc w:val="both"/>
            </w:pPr>
            <w:r>
              <w:rPr>
                <w:rFonts w:ascii="Times New Roman"/>
                <w:b w:val="false"/>
                <w:i w:val="false"/>
                <w:color w:val="000000"/>
                <w:sz w:val="20"/>
              </w:rPr>
              <w:t>
   5.2.3. Конфиденциальность</w:t>
            </w:r>
          </w:p>
          <w:p>
            <w:pPr>
              <w:spacing w:after="20"/>
              <w:ind w:left="20"/>
              <w:jc w:val="both"/>
            </w:pPr>
            <w:r>
              <w:rPr>
                <w:rFonts w:ascii="Times New Roman"/>
                <w:b w:val="false"/>
                <w:i w:val="false"/>
                <w:color w:val="000000"/>
                <w:sz w:val="20"/>
              </w:rPr>
              <w:t>
   С документами и информацией, собранной внутренним аудитором, обращаются с должным уровнем конфиденциальности и осмотрительности.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Система управления рисками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Введение</w:t>
            </w:r>
          </w:p>
          <w:p>
            <w:pPr>
              <w:spacing w:after="20"/>
              <w:ind w:left="20"/>
              <w:jc w:val="both"/>
            </w:pPr>
            <w:r>
              <w:rPr>
                <w:rFonts w:ascii="Times New Roman"/>
                <w:b w:val="false"/>
                <w:i w:val="false"/>
                <w:color w:val="000000"/>
                <w:sz w:val="20"/>
              </w:rPr>
              <w:t>
   Процесс управления рисками состоит из трех взаимосвязанных и повторяющихся стадий:</w:t>
            </w:r>
          </w:p>
          <w:p>
            <w:pPr>
              <w:spacing w:after="20"/>
              <w:ind w:left="20"/>
              <w:jc w:val="both"/>
            </w:pPr>
            <w:r>
              <w:rPr>
                <w:rFonts w:ascii="Times New Roman"/>
                <w:b w:val="false"/>
                <w:i w:val="false"/>
                <w:color w:val="000000"/>
                <w:sz w:val="20"/>
              </w:rPr>
              <w:t>
   1. Характеристика профиля безопасности лекарственного препарата, включая известные и неизвестные аспекты.</w:t>
            </w:r>
          </w:p>
          <w:p>
            <w:pPr>
              <w:spacing w:after="20"/>
              <w:ind w:left="20"/>
              <w:jc w:val="both"/>
            </w:pPr>
            <w:r>
              <w:rPr>
                <w:rFonts w:ascii="Times New Roman"/>
                <w:b w:val="false"/>
                <w:i w:val="false"/>
                <w:color w:val="000000"/>
                <w:sz w:val="20"/>
              </w:rPr>
              <w:t>
   2. Планирование деятельности по фармаконадзору по характеристике рисков и выявлению новых рисков, а также повышения общего уровня знаний о профиле безопасности лекарственного препарата.</w:t>
            </w:r>
          </w:p>
          <w:p>
            <w:pPr>
              <w:spacing w:after="20"/>
              <w:ind w:left="20"/>
              <w:jc w:val="both"/>
            </w:pPr>
            <w:r>
              <w:rPr>
                <w:rFonts w:ascii="Times New Roman"/>
                <w:b w:val="false"/>
                <w:i w:val="false"/>
                <w:color w:val="000000"/>
                <w:sz w:val="20"/>
              </w:rPr>
              <w:t>
   3. Планирование и осуществление деятельности по минимизации последствий рисков, а также оценки эффективности данной деятельности.</w:t>
            </w:r>
          </w:p>
          <w:p>
            <w:pPr>
              <w:spacing w:after="20"/>
              <w:ind w:left="20"/>
              <w:jc w:val="both"/>
            </w:pPr>
            <w:r>
              <w:rPr>
                <w:rFonts w:ascii="Times New Roman"/>
                <w:b w:val="false"/>
                <w:i w:val="false"/>
                <w:color w:val="000000"/>
                <w:sz w:val="20"/>
              </w:rPr>
              <w:t>
   </w:t>
            </w:r>
            <w:r>
              <w:rPr>
                <w:rFonts w:ascii="Times New Roman"/>
                <w:b/>
                <w:i w:val="false"/>
                <w:color w:val="000000"/>
                <w:sz w:val="20"/>
              </w:rPr>
              <w:t>6.2. Структуры и процессы</w:t>
            </w:r>
          </w:p>
          <w:p>
            <w:pPr>
              <w:spacing w:after="20"/>
              <w:ind w:left="20"/>
              <w:jc w:val="both"/>
            </w:pPr>
            <w:r>
              <w:rPr>
                <w:rFonts w:ascii="Times New Roman"/>
                <w:b w:val="false"/>
                <w:i w:val="false"/>
                <w:color w:val="000000"/>
                <w:sz w:val="20"/>
              </w:rPr>
              <w:t>
   6.2.1. Принципы управления рисками</w:t>
            </w:r>
          </w:p>
          <w:p>
            <w:pPr>
              <w:spacing w:after="20"/>
              <w:ind w:left="20"/>
              <w:jc w:val="both"/>
            </w:pPr>
            <w:r>
              <w:rPr>
                <w:rFonts w:ascii="Times New Roman"/>
                <w:b w:val="false"/>
                <w:i w:val="false"/>
                <w:color w:val="000000"/>
                <w:sz w:val="20"/>
              </w:rPr>
              <w:t xml:space="preserve">
   Основной целью процесса управления рисками является обеспечение применения лекарственного препарата при максимально возможном превышении пользы определенного лекарственного препарата (или совокупности лекарственных препаратов) над рисками для каждого пациента и для целевых популяций в целом. Это достигается либо путем увеличения пользы или путем снижения рисков. Процесс управления рисками носит цикличный характер и состоит из повторяющихся этапов по определению и анализу рисков и пользы, оценке соотношения польза-риск с определением возможности оптимизации, выбору и планированию методов характеристики (минимизации) рисков, внедрению мероприятий по характеристике (минимизации) рисков, сбору данных с мониторингом эффективности принятых мер. </w:t>
            </w:r>
          </w:p>
          <w:p>
            <w:pPr>
              <w:spacing w:after="20"/>
              <w:ind w:left="20"/>
              <w:jc w:val="both"/>
            </w:pPr>
            <w:r>
              <w:rPr>
                <w:rFonts w:ascii="Times New Roman"/>
                <w:b w:val="false"/>
                <w:i w:val="false"/>
                <w:color w:val="000000"/>
                <w:sz w:val="20"/>
              </w:rPr>
              <w:t>
   6.2.2. Ответственность за управление рисками в рамках организации</w:t>
            </w:r>
          </w:p>
          <w:p>
            <w:pPr>
              <w:spacing w:after="20"/>
              <w:ind w:left="20"/>
              <w:jc w:val="both"/>
            </w:pPr>
            <w:r>
              <w:rPr>
                <w:rFonts w:ascii="Times New Roman"/>
                <w:b w:val="false"/>
                <w:i w:val="false"/>
                <w:color w:val="000000"/>
                <w:sz w:val="20"/>
              </w:rPr>
              <w:t>
   Основными организациями, непосредственно вовлеченными в планирование управления рисками лекарственных препаратов, являются держатель регистрационного удостоверения и уполномоченный орган, ответственный за регулирование процесса обращения лекарственных препаратов.</w:t>
            </w:r>
          </w:p>
          <w:p>
            <w:pPr>
              <w:spacing w:after="20"/>
              <w:ind w:left="20"/>
              <w:jc w:val="both"/>
            </w:pPr>
            <w:r>
              <w:rPr>
                <w:rFonts w:ascii="Times New Roman"/>
                <w:b w:val="false"/>
                <w:i w:val="false"/>
                <w:color w:val="000000"/>
                <w:sz w:val="20"/>
              </w:rPr>
              <w:t>
   6.2.2.1. Держатель регистрационного удостоверения</w:t>
            </w:r>
          </w:p>
          <w:p>
            <w:pPr>
              <w:spacing w:after="20"/>
              <w:ind w:left="20"/>
              <w:jc w:val="both"/>
            </w:pPr>
            <w:r>
              <w:rPr>
                <w:rFonts w:ascii="Times New Roman"/>
                <w:b w:val="false"/>
                <w:i w:val="false"/>
                <w:color w:val="000000"/>
                <w:sz w:val="20"/>
              </w:rPr>
              <w:t>
   В отношении процесса управления рисками, связанными с выпускаемым лекарственным препаратом, держатель регистрационного удостоверения несет ответственность за:</w:t>
            </w:r>
          </w:p>
          <w:p>
            <w:pPr>
              <w:spacing w:after="20"/>
              <w:ind w:left="20"/>
              <w:jc w:val="both"/>
            </w:pPr>
            <w:r>
              <w:rPr>
                <w:rFonts w:ascii="Times New Roman"/>
                <w:b w:val="false"/>
                <w:i w:val="false"/>
                <w:color w:val="000000"/>
                <w:sz w:val="20"/>
              </w:rPr>
              <w:t>
   1) обеспечение постоянного контроля рисков, связанных с применением лекарственного препарата, согласно требованиям действующего законодательства Республики Казахстан и представление получаемых результатов в уполномоченный орган;</w:t>
            </w:r>
          </w:p>
          <w:p>
            <w:pPr>
              <w:spacing w:after="20"/>
              <w:ind w:left="20"/>
              <w:jc w:val="both"/>
            </w:pPr>
            <w:r>
              <w:rPr>
                <w:rFonts w:ascii="Times New Roman"/>
                <w:b w:val="false"/>
                <w:i w:val="false"/>
                <w:color w:val="000000"/>
                <w:sz w:val="20"/>
              </w:rPr>
              <w:t>
   2) принятие всех необходимых мер по минимизации рисков, связанных с применением лекарственного препарата и для достижения максимально возможной пользы, включая обеспечение достоверности всей информации, представляемой держателем регистрационного удостоверения в отношении лекарственного препарата, а также ее активное обновление и представление новой информации по мере ее получения.</w:t>
            </w:r>
          </w:p>
          <w:p>
            <w:pPr>
              <w:spacing w:after="20"/>
              <w:ind w:left="20"/>
              <w:jc w:val="both"/>
            </w:pPr>
            <w:r>
              <w:rPr>
                <w:rFonts w:ascii="Times New Roman"/>
                <w:b w:val="false"/>
                <w:i w:val="false"/>
                <w:color w:val="000000"/>
                <w:sz w:val="20"/>
              </w:rPr>
              <w:t>
   6.2.2.2. Уполномоченная организация</w:t>
            </w:r>
          </w:p>
          <w:p>
            <w:pPr>
              <w:spacing w:after="20"/>
              <w:ind w:left="20"/>
              <w:jc w:val="both"/>
            </w:pPr>
            <w:r>
              <w:rPr>
                <w:rFonts w:ascii="Times New Roman"/>
                <w:b w:val="false"/>
                <w:i w:val="false"/>
                <w:color w:val="000000"/>
                <w:sz w:val="20"/>
              </w:rPr>
              <w:t>
   Обязанностями уполномоченной организации в отношении процесса управления рисками являются:</w:t>
            </w:r>
          </w:p>
          <w:p>
            <w:pPr>
              <w:spacing w:after="20"/>
              <w:ind w:left="20"/>
              <w:jc w:val="both"/>
            </w:pPr>
            <w:r>
              <w:rPr>
                <w:rFonts w:ascii="Times New Roman"/>
                <w:b w:val="false"/>
                <w:i w:val="false"/>
                <w:color w:val="000000"/>
                <w:sz w:val="20"/>
              </w:rPr>
              <w:t>
   1) постоянный мониторинг пользы и рисков лекарственного препарата, включая оценку сообщений о выявленных нежелательных реакциях, представленных держателем регистрационного удостоверения, медицинскими и фармацевтическими работниками, пациентами и полученными из других источников информации, в случаях когда это необходимо;</w:t>
            </w:r>
          </w:p>
          <w:p>
            <w:pPr>
              <w:spacing w:after="20"/>
              <w:ind w:left="20"/>
              <w:jc w:val="both"/>
            </w:pPr>
            <w:r>
              <w:rPr>
                <w:rFonts w:ascii="Times New Roman"/>
                <w:b w:val="false"/>
                <w:i w:val="false"/>
                <w:color w:val="000000"/>
                <w:sz w:val="20"/>
              </w:rPr>
              <w:t>
   2) принятие соответствующих мер по минимизации рисков, связанных с лекарственным препаратом, и обеспечение получения максимально возможной пользы, включая обеспечение точности и полноты всей информации, представляемой держателем регистрационного удостоверения в отношении лекарственного препарата;</w:t>
            </w:r>
          </w:p>
          <w:p>
            <w:pPr>
              <w:spacing w:after="20"/>
              <w:ind w:left="20"/>
              <w:jc w:val="both"/>
            </w:pPr>
            <w:r>
              <w:rPr>
                <w:rFonts w:ascii="Times New Roman"/>
                <w:b w:val="false"/>
                <w:i w:val="false"/>
                <w:color w:val="000000"/>
                <w:sz w:val="20"/>
              </w:rPr>
              <w:t>
   3) обеспечение выполнения мероприятий по минимизации рисков на территории Республики Казахстан;</w:t>
            </w:r>
          </w:p>
          <w:p>
            <w:pPr>
              <w:spacing w:after="20"/>
              <w:ind w:left="20"/>
              <w:jc w:val="both"/>
            </w:pPr>
            <w:r>
              <w:rPr>
                <w:rFonts w:ascii="Times New Roman"/>
                <w:b w:val="false"/>
                <w:i w:val="false"/>
                <w:color w:val="000000"/>
                <w:sz w:val="20"/>
              </w:rPr>
              <w:t>
   4) эффективный обмен данными с участниками системы фармаконадзора при наличии новой доступной информации. Сюда входит предоставление информации в соответствующем формате пациентам, медицинским и фармацевтическим работникам, группам пациентов, научным сообществам;</w:t>
            </w:r>
          </w:p>
          <w:p>
            <w:pPr>
              <w:spacing w:after="20"/>
              <w:ind w:left="20"/>
              <w:jc w:val="both"/>
            </w:pPr>
            <w:r>
              <w:rPr>
                <w:rFonts w:ascii="Times New Roman"/>
                <w:b w:val="false"/>
                <w:i w:val="false"/>
                <w:color w:val="000000"/>
                <w:sz w:val="20"/>
              </w:rPr>
              <w:t>
   5) обеспечение принятия соответствующих мер по минимизации рисков, при их определении, всеми держателями регистрационного удостоверения, как оригинальных, так и генерических лекарственных препаратов;</w:t>
            </w:r>
          </w:p>
          <w:p>
            <w:pPr>
              <w:spacing w:after="20"/>
              <w:ind w:left="20"/>
              <w:jc w:val="both"/>
            </w:pPr>
            <w:r>
              <w:rPr>
                <w:rFonts w:ascii="Times New Roman"/>
                <w:b w:val="false"/>
                <w:i w:val="false"/>
                <w:color w:val="000000"/>
                <w:sz w:val="20"/>
              </w:rPr>
              <w:t>
   6) представление информации другим уполномоченным органам, включающее уведомление о любой деятельности по обеспечению безопасности в отношении лекарственного препарата, в том числе об изменениях в информации об оригинальном лекарственном препарате.</w:t>
            </w:r>
          </w:p>
          <w:p>
            <w:pPr>
              <w:spacing w:after="20"/>
              <w:ind w:left="20"/>
              <w:jc w:val="both"/>
            </w:pPr>
            <w:r>
              <w:rPr>
                <w:rFonts w:ascii="Times New Roman"/>
                <w:b w:val="false"/>
                <w:i w:val="false"/>
                <w:color w:val="000000"/>
                <w:sz w:val="20"/>
              </w:rPr>
              <w:t>
   6.2.3. Цели ПУР</w:t>
            </w:r>
          </w:p>
          <w:p>
            <w:pPr>
              <w:spacing w:after="20"/>
              <w:ind w:left="20"/>
              <w:jc w:val="both"/>
            </w:pPr>
            <w:r>
              <w:rPr>
                <w:rFonts w:ascii="Times New Roman"/>
                <w:b w:val="false"/>
                <w:i w:val="false"/>
                <w:color w:val="000000"/>
                <w:sz w:val="20"/>
              </w:rPr>
              <w:t>
   6.2.3.1. ПУР содержит информацию, необходимую для выполнения следующих требований:</w:t>
            </w:r>
          </w:p>
          <w:p>
            <w:pPr>
              <w:spacing w:after="20"/>
              <w:ind w:left="20"/>
              <w:jc w:val="both"/>
            </w:pPr>
            <w:r>
              <w:rPr>
                <w:rFonts w:ascii="Times New Roman"/>
                <w:b w:val="false"/>
                <w:i w:val="false"/>
                <w:color w:val="000000"/>
                <w:sz w:val="20"/>
              </w:rPr>
              <w:t>
   1) определять и характеризовать профиль безопасности лекарственного препарата;</w:t>
            </w:r>
          </w:p>
          <w:p>
            <w:pPr>
              <w:spacing w:after="20"/>
              <w:ind w:left="20"/>
              <w:jc w:val="both"/>
            </w:pPr>
            <w:r>
              <w:rPr>
                <w:rFonts w:ascii="Times New Roman"/>
                <w:b w:val="false"/>
                <w:i w:val="false"/>
                <w:color w:val="000000"/>
                <w:sz w:val="20"/>
              </w:rPr>
              <w:t>
   2) указывать, каким образом способствовать дальнейшей характеристике профиля профиля безопасности лекарственного препарата;</w:t>
            </w:r>
          </w:p>
          <w:p>
            <w:pPr>
              <w:spacing w:after="20"/>
              <w:ind w:left="20"/>
              <w:jc w:val="both"/>
            </w:pPr>
            <w:r>
              <w:rPr>
                <w:rFonts w:ascii="Times New Roman"/>
                <w:b w:val="false"/>
                <w:i w:val="false"/>
                <w:color w:val="000000"/>
                <w:sz w:val="20"/>
              </w:rPr>
              <w:t>
   3) подтверждать документально меры по предотвращению или минимизации рисков, связанных с применением лекарственного препарата, включая оценку эффективности данных мероприятий;</w:t>
            </w:r>
          </w:p>
          <w:p>
            <w:pPr>
              <w:spacing w:after="20"/>
              <w:ind w:left="20"/>
              <w:jc w:val="both"/>
            </w:pPr>
            <w:r>
              <w:rPr>
                <w:rFonts w:ascii="Times New Roman"/>
                <w:b w:val="false"/>
                <w:i w:val="false"/>
                <w:color w:val="000000"/>
                <w:sz w:val="20"/>
              </w:rPr>
              <w:t>
   4) подтверждать документально выполнение пострегистрационных обязательств по обеспечению безопасности применения, введенных при регистрации лекарственного препарата.</w:t>
            </w:r>
          </w:p>
          <w:p>
            <w:pPr>
              <w:spacing w:after="20"/>
              <w:ind w:left="20"/>
              <w:jc w:val="both"/>
            </w:pPr>
            <w:r>
              <w:rPr>
                <w:rFonts w:ascii="Times New Roman"/>
                <w:b w:val="false"/>
                <w:i w:val="false"/>
                <w:color w:val="000000"/>
                <w:sz w:val="20"/>
              </w:rPr>
              <w:t>
   6.2.3.2. Для выполнения указанных требований ПУР содержит:</w:t>
            </w:r>
          </w:p>
          <w:p>
            <w:pPr>
              <w:spacing w:after="20"/>
              <w:ind w:left="20"/>
              <w:jc w:val="both"/>
            </w:pPr>
            <w:r>
              <w:rPr>
                <w:rFonts w:ascii="Times New Roman"/>
                <w:b w:val="false"/>
                <w:i w:val="false"/>
                <w:color w:val="000000"/>
                <w:sz w:val="20"/>
              </w:rPr>
              <w:t>
   1) описание известной и неизвестной информации о профиле безопасности лекарственного препарата;</w:t>
            </w:r>
          </w:p>
          <w:p>
            <w:pPr>
              <w:spacing w:after="20"/>
              <w:ind w:left="20"/>
              <w:jc w:val="both"/>
            </w:pPr>
            <w:r>
              <w:rPr>
                <w:rFonts w:ascii="Times New Roman"/>
                <w:b w:val="false"/>
                <w:i w:val="false"/>
                <w:color w:val="000000"/>
                <w:sz w:val="20"/>
              </w:rPr>
              <w:t>
   2) указания по степени уверенности в том, что эффективность лекарственного препарата, продемонстрированная у целевых популяций при проведении клинических испытаний, достигнется в повседневной медицинской практике и документальному подтверждению возможной необходимости исследований эффективности в пострегистрационном периоде;</w:t>
            </w:r>
          </w:p>
          <w:p>
            <w:pPr>
              <w:spacing w:after="20"/>
              <w:ind w:left="20"/>
              <w:jc w:val="both"/>
            </w:pPr>
            <w:r>
              <w:rPr>
                <w:rFonts w:ascii="Times New Roman"/>
                <w:b w:val="false"/>
                <w:i w:val="false"/>
                <w:color w:val="000000"/>
                <w:sz w:val="20"/>
              </w:rPr>
              <w:t>
   3) планирование способов оценки эффективности мер по минимизации рисков.</w:t>
            </w:r>
          </w:p>
          <w:p>
            <w:pPr>
              <w:spacing w:after="20"/>
              <w:ind w:left="20"/>
              <w:jc w:val="both"/>
            </w:pPr>
            <w:r>
              <w:rPr>
                <w:rFonts w:ascii="Times New Roman"/>
                <w:b w:val="false"/>
                <w:i w:val="false"/>
                <w:color w:val="000000"/>
                <w:sz w:val="20"/>
              </w:rPr>
              <w:t>
   6.2.3.3. ПУР является динамично изменяющимся, самостоятельным документом, который обновляется на протяжении всего жизненного цикла продукции. Для лекарственного препарата, требующего составления периодических отчетов по безопасности, некоторые части (модули) используются для обеих целей.</w:t>
            </w:r>
          </w:p>
          <w:p>
            <w:pPr>
              <w:spacing w:after="20"/>
              <w:ind w:left="20"/>
              <w:jc w:val="both"/>
            </w:pPr>
            <w:r>
              <w:rPr>
                <w:rFonts w:ascii="Times New Roman"/>
                <w:b w:val="false"/>
                <w:i w:val="false"/>
                <w:color w:val="000000"/>
                <w:sz w:val="20"/>
              </w:rPr>
              <w:t>
   6.2.4. Структура плана управления рисками</w:t>
            </w:r>
          </w:p>
          <w:p>
            <w:pPr>
              <w:spacing w:after="20"/>
              <w:ind w:left="20"/>
              <w:jc w:val="both"/>
            </w:pPr>
            <w:r>
              <w:rPr>
                <w:rFonts w:ascii="Times New Roman"/>
                <w:b w:val="false"/>
                <w:i w:val="false"/>
                <w:color w:val="000000"/>
                <w:sz w:val="20"/>
              </w:rPr>
              <w:t>
   ПУР включает семь информационных частей:</w:t>
            </w:r>
          </w:p>
          <w:p>
            <w:pPr>
              <w:spacing w:after="20"/>
              <w:ind w:left="20"/>
              <w:jc w:val="both"/>
            </w:pPr>
            <w:r>
              <w:rPr>
                <w:rFonts w:ascii="Times New Roman"/>
                <w:b w:val="false"/>
                <w:i w:val="false"/>
                <w:color w:val="000000"/>
                <w:sz w:val="20"/>
              </w:rPr>
              <w:t>
   Часть I      Обзорная информация по лекарственному препарату</w:t>
            </w:r>
          </w:p>
          <w:p>
            <w:pPr>
              <w:spacing w:after="20"/>
              <w:ind w:left="20"/>
              <w:jc w:val="both"/>
            </w:pPr>
            <w:r>
              <w:rPr>
                <w:rFonts w:ascii="Times New Roman"/>
                <w:b w:val="false"/>
                <w:i w:val="false"/>
                <w:color w:val="000000"/>
                <w:sz w:val="20"/>
              </w:rPr>
              <w:t>
   Часть II     Спецификация по безопасности</w:t>
            </w:r>
          </w:p>
          <w:p>
            <w:pPr>
              <w:spacing w:after="20"/>
              <w:ind w:left="20"/>
              <w:jc w:val="both"/>
            </w:pPr>
            <w:r>
              <w:rPr>
                <w:rFonts w:ascii="Times New Roman"/>
                <w:b w:val="false"/>
                <w:i w:val="false"/>
                <w:color w:val="000000"/>
                <w:sz w:val="20"/>
              </w:rPr>
              <w:t>
   Модуль СI: Эпидемиология показаний по целевой популяции</w:t>
            </w:r>
          </w:p>
          <w:p>
            <w:pPr>
              <w:spacing w:after="20"/>
              <w:ind w:left="20"/>
              <w:jc w:val="both"/>
            </w:pPr>
            <w:r>
              <w:rPr>
                <w:rFonts w:ascii="Times New Roman"/>
                <w:b w:val="false"/>
                <w:i w:val="false"/>
                <w:color w:val="000000"/>
                <w:sz w:val="20"/>
              </w:rPr>
              <w:t xml:space="preserve">
   Модуль СII: Доклиническая часть </w:t>
            </w:r>
          </w:p>
          <w:p>
            <w:pPr>
              <w:spacing w:after="20"/>
              <w:ind w:left="20"/>
              <w:jc w:val="both"/>
            </w:pPr>
            <w:r>
              <w:rPr>
                <w:rFonts w:ascii="Times New Roman"/>
                <w:b w:val="false"/>
                <w:i w:val="false"/>
                <w:color w:val="000000"/>
                <w:sz w:val="20"/>
              </w:rPr>
              <w:t>
   Модуль СIII: Воздействие лекарственного препарата в ходе клинических исследований (испытаний)</w:t>
            </w:r>
          </w:p>
          <w:p>
            <w:pPr>
              <w:spacing w:after="20"/>
              <w:ind w:left="20"/>
              <w:jc w:val="both"/>
            </w:pPr>
            <w:r>
              <w:rPr>
                <w:rFonts w:ascii="Times New Roman"/>
                <w:b w:val="false"/>
                <w:i w:val="false"/>
                <w:color w:val="000000"/>
                <w:sz w:val="20"/>
              </w:rPr>
              <w:t>
   Модуль СIV: Популяции, не изученные в ходе клинических исследований (испытаний)</w:t>
            </w:r>
          </w:p>
          <w:p>
            <w:pPr>
              <w:spacing w:after="20"/>
              <w:ind w:left="20"/>
              <w:jc w:val="both"/>
            </w:pPr>
            <w:r>
              <w:rPr>
                <w:rFonts w:ascii="Times New Roman"/>
                <w:b w:val="false"/>
                <w:i w:val="false"/>
                <w:color w:val="000000"/>
                <w:sz w:val="20"/>
              </w:rPr>
              <w:t>
   Модуль СV: Пострегистрационный опыт применения</w:t>
            </w:r>
          </w:p>
          <w:p>
            <w:pPr>
              <w:spacing w:after="20"/>
              <w:ind w:left="20"/>
              <w:jc w:val="both"/>
            </w:pPr>
            <w:r>
              <w:rPr>
                <w:rFonts w:ascii="Times New Roman"/>
                <w:b w:val="false"/>
                <w:i w:val="false"/>
                <w:color w:val="000000"/>
                <w:sz w:val="20"/>
              </w:rPr>
              <w:t>
   Модуль СVI: Дополнительные требования к спецификации по безопасности</w:t>
            </w:r>
          </w:p>
          <w:p>
            <w:pPr>
              <w:spacing w:after="20"/>
              <w:ind w:left="20"/>
              <w:jc w:val="both"/>
            </w:pPr>
            <w:r>
              <w:rPr>
                <w:rFonts w:ascii="Times New Roman"/>
                <w:b w:val="false"/>
                <w:i w:val="false"/>
                <w:color w:val="000000"/>
                <w:sz w:val="20"/>
              </w:rPr>
              <w:t>
   Модуль СVII: Идентифицированные и потенциальные риски</w:t>
            </w:r>
          </w:p>
          <w:p>
            <w:pPr>
              <w:spacing w:after="20"/>
              <w:ind w:left="20"/>
              <w:jc w:val="both"/>
            </w:pPr>
            <w:r>
              <w:rPr>
                <w:rFonts w:ascii="Times New Roman"/>
                <w:b w:val="false"/>
                <w:i w:val="false"/>
                <w:color w:val="000000"/>
                <w:sz w:val="20"/>
              </w:rPr>
              <w:t>
   Модуль СVIII: Обобщенная информация по проблемам безопасности</w:t>
            </w:r>
          </w:p>
          <w:p>
            <w:pPr>
              <w:spacing w:after="20"/>
              <w:ind w:left="20"/>
              <w:jc w:val="both"/>
            </w:pPr>
            <w:r>
              <w:rPr>
                <w:rFonts w:ascii="Times New Roman"/>
                <w:b w:val="false"/>
                <w:i w:val="false"/>
                <w:color w:val="000000"/>
                <w:sz w:val="20"/>
              </w:rPr>
              <w:t>
   Часть III     План по фармаконадзору</w:t>
            </w:r>
          </w:p>
          <w:p>
            <w:pPr>
              <w:spacing w:after="20"/>
              <w:ind w:left="20"/>
              <w:jc w:val="both"/>
            </w:pPr>
            <w:r>
              <w:rPr>
                <w:rFonts w:ascii="Times New Roman"/>
                <w:b w:val="false"/>
                <w:i w:val="false"/>
                <w:color w:val="000000"/>
                <w:sz w:val="20"/>
              </w:rPr>
              <w:t>
   Часть IV      План пострегистрационных исследований эффективности</w:t>
            </w:r>
          </w:p>
          <w:p>
            <w:pPr>
              <w:spacing w:after="20"/>
              <w:ind w:left="20"/>
              <w:jc w:val="both"/>
            </w:pPr>
            <w:r>
              <w:rPr>
                <w:rFonts w:ascii="Times New Roman"/>
                <w:b w:val="false"/>
                <w:i w:val="false"/>
                <w:color w:val="000000"/>
                <w:sz w:val="20"/>
              </w:rPr>
              <w:t>
   Часть V       Меры минимизации рисков (включая оценку эффективности мер по минимизации рисков)</w:t>
            </w:r>
          </w:p>
          <w:p>
            <w:pPr>
              <w:spacing w:after="20"/>
              <w:ind w:left="20"/>
              <w:jc w:val="both"/>
            </w:pPr>
            <w:r>
              <w:rPr>
                <w:rFonts w:ascii="Times New Roman"/>
                <w:b w:val="false"/>
                <w:i w:val="false"/>
                <w:color w:val="000000"/>
                <w:sz w:val="20"/>
              </w:rPr>
              <w:t>
   Часть VI      Резюме плана управления рисками</w:t>
            </w:r>
          </w:p>
          <w:p>
            <w:pPr>
              <w:spacing w:after="20"/>
              <w:ind w:left="20"/>
              <w:jc w:val="both"/>
            </w:pPr>
            <w:r>
              <w:rPr>
                <w:rFonts w:ascii="Times New Roman"/>
                <w:b w:val="false"/>
                <w:i w:val="false"/>
                <w:color w:val="000000"/>
                <w:sz w:val="20"/>
              </w:rPr>
              <w:t>
   Часть VII     Приложения</w:t>
            </w:r>
          </w:p>
          <w:p>
            <w:pPr>
              <w:spacing w:after="20"/>
              <w:ind w:left="20"/>
              <w:jc w:val="both"/>
            </w:pPr>
            <w:r>
              <w:rPr>
                <w:rFonts w:ascii="Times New Roman"/>
                <w:b w:val="false"/>
                <w:i w:val="false"/>
                <w:color w:val="000000"/>
                <w:sz w:val="20"/>
              </w:rPr>
              <w:t>
   Если ПУР составляется на несколько лекарственных препаратов, то для каждого из лекарственных препаратов предусмотривается отдельная часть.</w:t>
            </w:r>
          </w:p>
          <w:p>
            <w:pPr>
              <w:spacing w:after="20"/>
              <w:ind w:left="20"/>
              <w:jc w:val="both"/>
            </w:pPr>
            <w:r>
              <w:rPr>
                <w:rFonts w:ascii="Times New Roman"/>
                <w:b w:val="false"/>
                <w:i w:val="false"/>
                <w:color w:val="000000"/>
                <w:sz w:val="20"/>
              </w:rPr>
              <w:t>
   6.2.5. Подробное описание каждой части плана управления рисками</w:t>
            </w:r>
          </w:p>
          <w:p>
            <w:pPr>
              <w:spacing w:after="20"/>
              <w:ind w:left="20"/>
              <w:jc w:val="both"/>
            </w:pPr>
            <w:r>
              <w:rPr>
                <w:rFonts w:ascii="Times New Roman"/>
                <w:b w:val="false"/>
                <w:i w:val="false"/>
                <w:color w:val="000000"/>
                <w:sz w:val="20"/>
              </w:rPr>
              <w:t>
   6.2.5.1. Часть I ПУР "Обзорная информация по лекарственному препарату"</w:t>
            </w:r>
          </w:p>
          <w:p>
            <w:pPr>
              <w:spacing w:after="20"/>
              <w:ind w:left="20"/>
              <w:jc w:val="both"/>
            </w:pPr>
            <w:r>
              <w:rPr>
                <w:rFonts w:ascii="Times New Roman"/>
                <w:b w:val="false"/>
                <w:i w:val="false"/>
                <w:color w:val="000000"/>
                <w:sz w:val="20"/>
              </w:rPr>
              <w:t>
   Данная часть представляет административную информацию о ПУР и обзорную информацию по лекарственному препарату, на которое составляется ПУР.</w:t>
            </w:r>
          </w:p>
          <w:p>
            <w:pPr>
              <w:spacing w:after="20"/>
              <w:ind w:left="20"/>
              <w:jc w:val="both"/>
            </w:pPr>
            <w:r>
              <w:rPr>
                <w:rFonts w:ascii="Times New Roman"/>
                <w:b w:val="false"/>
                <w:i w:val="false"/>
                <w:color w:val="000000"/>
                <w:sz w:val="20"/>
              </w:rPr>
              <w:t>
   Раздел включает:</w:t>
            </w:r>
          </w:p>
          <w:p>
            <w:pPr>
              <w:spacing w:after="20"/>
              <w:ind w:left="20"/>
              <w:jc w:val="both"/>
            </w:pPr>
            <w:r>
              <w:rPr>
                <w:rFonts w:ascii="Times New Roman"/>
                <w:b w:val="false"/>
                <w:i w:val="false"/>
                <w:color w:val="000000"/>
                <w:sz w:val="20"/>
              </w:rPr>
              <w:t>
   6.2.5.1.1. Информация об активном веществе:</w:t>
            </w:r>
          </w:p>
          <w:p>
            <w:pPr>
              <w:spacing w:after="20"/>
              <w:ind w:left="20"/>
              <w:jc w:val="both"/>
            </w:pPr>
            <w:r>
              <w:rPr>
                <w:rFonts w:ascii="Times New Roman"/>
                <w:b w:val="false"/>
                <w:i w:val="false"/>
                <w:color w:val="000000"/>
                <w:sz w:val="20"/>
              </w:rPr>
              <w:t>
   1) активное вещество;</w:t>
            </w:r>
          </w:p>
          <w:p>
            <w:pPr>
              <w:spacing w:after="20"/>
              <w:ind w:left="20"/>
              <w:jc w:val="both"/>
            </w:pPr>
            <w:r>
              <w:rPr>
                <w:rFonts w:ascii="Times New Roman"/>
                <w:b w:val="false"/>
                <w:i w:val="false"/>
                <w:color w:val="000000"/>
                <w:sz w:val="20"/>
              </w:rPr>
              <w:t>
   2) фармакотерапевтическая группа (код АТХ-АТС);</w:t>
            </w:r>
          </w:p>
          <w:p>
            <w:pPr>
              <w:spacing w:after="20"/>
              <w:ind w:left="20"/>
              <w:jc w:val="both"/>
            </w:pPr>
            <w:r>
              <w:rPr>
                <w:rFonts w:ascii="Times New Roman"/>
                <w:b w:val="false"/>
                <w:i w:val="false"/>
                <w:color w:val="000000"/>
                <w:sz w:val="20"/>
              </w:rPr>
              <w:t>
   3) название держателя регистрационного удостоверения;</w:t>
            </w:r>
          </w:p>
          <w:p>
            <w:pPr>
              <w:spacing w:after="20"/>
              <w:ind w:left="20"/>
              <w:jc w:val="both"/>
            </w:pPr>
            <w:r>
              <w:rPr>
                <w:rFonts w:ascii="Times New Roman"/>
                <w:b w:val="false"/>
                <w:i w:val="false"/>
                <w:color w:val="000000"/>
                <w:sz w:val="20"/>
              </w:rPr>
              <w:t>
   4) дата и страна первой регистрации в мире (если применимо);</w:t>
            </w:r>
          </w:p>
          <w:p>
            <w:pPr>
              <w:spacing w:after="20"/>
              <w:ind w:left="20"/>
              <w:jc w:val="both"/>
            </w:pPr>
            <w:r>
              <w:rPr>
                <w:rFonts w:ascii="Times New Roman"/>
                <w:b w:val="false"/>
                <w:i w:val="false"/>
                <w:color w:val="000000"/>
                <w:sz w:val="20"/>
              </w:rPr>
              <w:t>
   5) дата и страна, начавшая медицинское применение (если применимо);</w:t>
            </w:r>
          </w:p>
          <w:p>
            <w:pPr>
              <w:spacing w:after="20"/>
              <w:ind w:left="20"/>
              <w:jc w:val="both"/>
            </w:pPr>
            <w:r>
              <w:rPr>
                <w:rFonts w:ascii="Times New Roman"/>
                <w:b w:val="false"/>
                <w:i w:val="false"/>
                <w:color w:val="000000"/>
                <w:sz w:val="20"/>
              </w:rPr>
              <w:t>
   6) количество лекарственных препаратов, включенных в ПУР.</w:t>
            </w:r>
          </w:p>
          <w:p>
            <w:pPr>
              <w:spacing w:after="20"/>
              <w:ind w:left="20"/>
              <w:jc w:val="both"/>
            </w:pPr>
            <w:r>
              <w:rPr>
                <w:rFonts w:ascii="Times New Roman"/>
                <w:b w:val="false"/>
                <w:i w:val="false"/>
                <w:color w:val="000000"/>
                <w:sz w:val="20"/>
              </w:rPr>
              <w:t>
   6.2.5.1.2. Административная информация о ПУР:</w:t>
            </w:r>
          </w:p>
          <w:p>
            <w:pPr>
              <w:spacing w:after="20"/>
              <w:ind w:left="20"/>
              <w:jc w:val="both"/>
            </w:pPr>
            <w:r>
              <w:rPr>
                <w:rFonts w:ascii="Times New Roman"/>
                <w:b w:val="false"/>
                <w:i w:val="false"/>
                <w:color w:val="000000"/>
                <w:sz w:val="20"/>
              </w:rPr>
              <w:t>
   1)    дата окончания сбора данных в рамках текущего ПУР;</w:t>
            </w:r>
          </w:p>
          <w:p>
            <w:pPr>
              <w:spacing w:after="20"/>
              <w:ind w:left="20"/>
              <w:jc w:val="both"/>
            </w:pPr>
            <w:r>
              <w:rPr>
                <w:rFonts w:ascii="Times New Roman"/>
                <w:b w:val="false"/>
                <w:i w:val="false"/>
                <w:color w:val="000000"/>
                <w:sz w:val="20"/>
              </w:rPr>
              <w:t>
   2)    дата представления и номер версии;</w:t>
            </w:r>
          </w:p>
          <w:p>
            <w:pPr>
              <w:spacing w:after="20"/>
              <w:ind w:left="20"/>
              <w:jc w:val="both"/>
            </w:pPr>
            <w:r>
              <w:rPr>
                <w:rFonts w:ascii="Times New Roman"/>
                <w:b w:val="false"/>
                <w:i w:val="false"/>
                <w:color w:val="000000"/>
                <w:sz w:val="20"/>
              </w:rPr>
              <w:t>
   3)    перечень всех частей и модулей ПУР с представлением информации о дате и версии ПУР, в рамках которого в последний раз обновлялась и представлялась часть (модуль).</w:t>
            </w:r>
          </w:p>
          <w:p>
            <w:pPr>
              <w:spacing w:after="20"/>
              <w:ind w:left="20"/>
              <w:jc w:val="both"/>
            </w:pPr>
            <w:r>
              <w:rPr>
                <w:rFonts w:ascii="Times New Roman"/>
                <w:b w:val="false"/>
                <w:i w:val="false"/>
                <w:color w:val="000000"/>
                <w:sz w:val="20"/>
              </w:rPr>
              <w:t>
   6.2.5.1.3. Информация для каждого лекарственного препарата, включенного в ПУР:</w:t>
            </w:r>
          </w:p>
          <w:p>
            <w:pPr>
              <w:spacing w:after="20"/>
              <w:ind w:left="20"/>
              <w:jc w:val="both"/>
            </w:pPr>
            <w:r>
              <w:rPr>
                <w:rFonts w:ascii="Times New Roman"/>
                <w:b w:val="false"/>
                <w:i w:val="false"/>
                <w:color w:val="000000"/>
                <w:sz w:val="20"/>
              </w:rPr>
              <w:t>
   1) торговое наименование в Республике Казахстан;</w:t>
            </w:r>
          </w:p>
          <w:p>
            <w:pPr>
              <w:spacing w:after="20"/>
              <w:ind w:left="20"/>
              <w:jc w:val="both"/>
            </w:pPr>
            <w:r>
              <w:rPr>
                <w:rFonts w:ascii="Times New Roman"/>
                <w:b w:val="false"/>
                <w:i w:val="false"/>
                <w:color w:val="000000"/>
                <w:sz w:val="20"/>
              </w:rPr>
              <w:t>
   2) краткое описание лекарственного препарата, включающее:</w:t>
            </w:r>
          </w:p>
          <w:p>
            <w:pPr>
              <w:spacing w:after="20"/>
              <w:ind w:left="20"/>
              <w:jc w:val="both"/>
            </w:pPr>
            <w:r>
              <w:rPr>
                <w:rFonts w:ascii="Times New Roman"/>
                <w:b w:val="false"/>
                <w:i w:val="false"/>
                <w:color w:val="000000"/>
                <w:sz w:val="20"/>
              </w:rPr>
              <w:t>
   химический класс;</w:t>
            </w:r>
          </w:p>
          <w:p>
            <w:pPr>
              <w:spacing w:after="20"/>
              <w:ind w:left="20"/>
              <w:jc w:val="both"/>
            </w:pPr>
            <w:r>
              <w:rPr>
                <w:rFonts w:ascii="Times New Roman"/>
                <w:b w:val="false"/>
                <w:i w:val="false"/>
                <w:color w:val="000000"/>
                <w:sz w:val="20"/>
              </w:rPr>
              <w:t>
   краткое описание механизма действия;</w:t>
            </w:r>
          </w:p>
          <w:p>
            <w:pPr>
              <w:spacing w:after="20"/>
              <w:ind w:left="20"/>
              <w:jc w:val="both"/>
            </w:pPr>
            <w:r>
              <w:rPr>
                <w:rFonts w:ascii="Times New Roman"/>
                <w:b w:val="false"/>
                <w:i w:val="false"/>
                <w:color w:val="000000"/>
                <w:sz w:val="20"/>
              </w:rPr>
              <w:t>
   важная информация о его составе (происхождение активного вещества биологических лекарственных препаратов, соответствующих адъювантов для вакцин);</w:t>
            </w:r>
          </w:p>
          <w:p>
            <w:pPr>
              <w:spacing w:after="20"/>
              <w:ind w:left="20"/>
              <w:jc w:val="both"/>
            </w:pPr>
            <w:r>
              <w:rPr>
                <w:rFonts w:ascii="Times New Roman"/>
                <w:b w:val="false"/>
                <w:i w:val="false"/>
                <w:color w:val="000000"/>
                <w:sz w:val="20"/>
              </w:rPr>
              <w:t>
   3) показания:</w:t>
            </w:r>
          </w:p>
          <w:p>
            <w:pPr>
              <w:spacing w:after="20"/>
              <w:ind w:left="20"/>
              <w:jc w:val="both"/>
            </w:pPr>
            <w:r>
              <w:rPr>
                <w:rFonts w:ascii="Times New Roman"/>
                <w:b w:val="false"/>
                <w:i w:val="false"/>
                <w:color w:val="000000"/>
                <w:sz w:val="20"/>
              </w:rPr>
              <w:t>
   одобренные (если применимо);</w:t>
            </w:r>
          </w:p>
          <w:p>
            <w:pPr>
              <w:spacing w:after="20"/>
              <w:ind w:left="20"/>
              <w:jc w:val="both"/>
            </w:pPr>
            <w:r>
              <w:rPr>
                <w:rFonts w:ascii="Times New Roman"/>
                <w:b w:val="false"/>
                <w:i w:val="false"/>
                <w:color w:val="000000"/>
                <w:sz w:val="20"/>
              </w:rPr>
              <w:t>
   предлагаемые (если применимо);</w:t>
            </w:r>
          </w:p>
          <w:p>
            <w:pPr>
              <w:spacing w:after="20"/>
              <w:ind w:left="20"/>
              <w:jc w:val="both"/>
            </w:pPr>
            <w:r>
              <w:rPr>
                <w:rFonts w:ascii="Times New Roman"/>
                <w:b w:val="false"/>
                <w:i w:val="false"/>
                <w:color w:val="000000"/>
                <w:sz w:val="20"/>
              </w:rPr>
              <w:t>
   4) режим дозирования:</w:t>
            </w:r>
          </w:p>
          <w:p>
            <w:pPr>
              <w:spacing w:after="20"/>
              <w:ind w:left="20"/>
              <w:jc w:val="both"/>
            </w:pPr>
            <w:r>
              <w:rPr>
                <w:rFonts w:ascii="Times New Roman"/>
                <w:b w:val="false"/>
                <w:i w:val="false"/>
                <w:color w:val="000000"/>
                <w:sz w:val="20"/>
              </w:rPr>
              <w:t>
   одобренный (если применимо);</w:t>
            </w:r>
          </w:p>
          <w:p>
            <w:pPr>
              <w:spacing w:after="20"/>
              <w:ind w:left="20"/>
              <w:jc w:val="both"/>
            </w:pPr>
            <w:r>
              <w:rPr>
                <w:rFonts w:ascii="Times New Roman"/>
                <w:b w:val="false"/>
                <w:i w:val="false"/>
                <w:color w:val="000000"/>
                <w:sz w:val="20"/>
              </w:rPr>
              <w:t>
   предлагаемый (если применимо);</w:t>
            </w:r>
          </w:p>
          <w:p>
            <w:pPr>
              <w:spacing w:after="20"/>
              <w:ind w:left="20"/>
              <w:jc w:val="both"/>
            </w:pPr>
            <w:r>
              <w:rPr>
                <w:rFonts w:ascii="Times New Roman"/>
                <w:b w:val="false"/>
                <w:i w:val="false"/>
                <w:color w:val="000000"/>
                <w:sz w:val="20"/>
              </w:rPr>
              <w:t>
   6) лекарственные формы и дозировка:</w:t>
            </w:r>
          </w:p>
          <w:p>
            <w:pPr>
              <w:spacing w:after="20"/>
              <w:ind w:left="20"/>
              <w:jc w:val="both"/>
            </w:pPr>
            <w:r>
              <w:rPr>
                <w:rFonts w:ascii="Times New Roman"/>
                <w:b w:val="false"/>
                <w:i w:val="false"/>
                <w:color w:val="000000"/>
                <w:sz w:val="20"/>
              </w:rPr>
              <w:t>
   одобренная (если применимо);</w:t>
            </w:r>
          </w:p>
          <w:p>
            <w:pPr>
              <w:spacing w:after="20"/>
              <w:ind w:left="20"/>
              <w:jc w:val="both"/>
            </w:pPr>
            <w:r>
              <w:rPr>
                <w:rFonts w:ascii="Times New Roman"/>
                <w:b w:val="false"/>
                <w:i w:val="false"/>
                <w:color w:val="000000"/>
                <w:sz w:val="20"/>
              </w:rPr>
              <w:t>
   предлагаемая (если применимо);</w:t>
            </w:r>
          </w:p>
          <w:p>
            <w:pPr>
              <w:spacing w:after="20"/>
              <w:ind w:left="20"/>
              <w:jc w:val="both"/>
            </w:pPr>
            <w:r>
              <w:rPr>
                <w:rFonts w:ascii="Times New Roman"/>
                <w:b w:val="false"/>
                <w:i w:val="false"/>
                <w:color w:val="000000"/>
                <w:sz w:val="20"/>
              </w:rPr>
              <w:t>
   7) общемировой регуляторный статус с разбивкой по странам (дата регистрации (отказа), дата размещения на рынке, текущий статус регистрации, пояснительные комментарии).</w:t>
            </w:r>
          </w:p>
          <w:p>
            <w:pPr>
              <w:spacing w:after="20"/>
              <w:ind w:left="20"/>
              <w:jc w:val="both"/>
            </w:pPr>
            <w:r>
              <w:rPr>
                <w:rFonts w:ascii="Times New Roman"/>
                <w:b w:val="false"/>
                <w:i w:val="false"/>
                <w:color w:val="000000"/>
                <w:sz w:val="20"/>
              </w:rPr>
              <w:t>
   6.2.5.2. Часть II ПУР "Спецификация по безопасности"</w:t>
            </w:r>
          </w:p>
          <w:p>
            <w:pPr>
              <w:spacing w:after="20"/>
              <w:ind w:left="20"/>
              <w:jc w:val="both"/>
            </w:pPr>
            <w:r>
              <w:rPr>
                <w:rFonts w:ascii="Times New Roman"/>
                <w:b w:val="false"/>
                <w:i w:val="false"/>
                <w:color w:val="000000"/>
                <w:sz w:val="20"/>
              </w:rPr>
              <w:t>
   Целью раздела является представление краткого обзора профиля безопасности лекарственного препарата, с указанием известной информации по безопасности и определения разделов профиля, по которым безопасность не является достаточно изученной. Спецификация по безопасности представляет резюме важных идентифицированных рисков лекарственного препарата, важных потенциальных рисков и важной отсутствующей информации. Спецификация по безопасности в ПУР формирует основу плана фармаконадзора и плана по минимизации рисков.</w:t>
            </w:r>
          </w:p>
          <w:p>
            <w:pPr>
              <w:spacing w:after="20"/>
              <w:ind w:left="20"/>
              <w:jc w:val="both"/>
            </w:pPr>
            <w:r>
              <w:rPr>
                <w:rFonts w:ascii="Times New Roman"/>
                <w:b w:val="false"/>
                <w:i w:val="false"/>
                <w:color w:val="000000"/>
                <w:sz w:val="20"/>
              </w:rPr>
              <w:t>
   Спецификация по безопасности в ПУР включает восемь разделов:</w:t>
            </w:r>
          </w:p>
          <w:p>
            <w:pPr>
              <w:spacing w:after="20"/>
              <w:ind w:left="20"/>
              <w:jc w:val="both"/>
            </w:pPr>
            <w:r>
              <w:rPr>
                <w:rFonts w:ascii="Times New Roman"/>
                <w:b w:val="false"/>
                <w:i w:val="false"/>
                <w:color w:val="000000"/>
                <w:sz w:val="20"/>
              </w:rPr>
              <w:t>
   Модуль СI      Эпидемиология показаний по целевой популяции</w:t>
            </w:r>
          </w:p>
          <w:p>
            <w:pPr>
              <w:spacing w:after="20"/>
              <w:ind w:left="20"/>
              <w:jc w:val="both"/>
            </w:pPr>
            <w:r>
              <w:rPr>
                <w:rFonts w:ascii="Times New Roman"/>
                <w:b w:val="false"/>
                <w:i w:val="false"/>
                <w:color w:val="000000"/>
                <w:sz w:val="20"/>
              </w:rPr>
              <w:t xml:space="preserve">
   Модуль СII     Доклиническая часть  </w:t>
            </w:r>
          </w:p>
          <w:p>
            <w:pPr>
              <w:spacing w:after="20"/>
              <w:ind w:left="20"/>
              <w:jc w:val="both"/>
            </w:pPr>
            <w:r>
              <w:rPr>
                <w:rFonts w:ascii="Times New Roman"/>
                <w:b w:val="false"/>
                <w:i w:val="false"/>
                <w:color w:val="000000"/>
                <w:sz w:val="20"/>
              </w:rPr>
              <w:t>
   Модуль СIII    Воздействие лекарственного препарата в ходе клинических исследований</w:t>
            </w:r>
          </w:p>
          <w:p>
            <w:pPr>
              <w:spacing w:after="20"/>
              <w:ind w:left="20"/>
              <w:jc w:val="both"/>
            </w:pPr>
            <w:r>
              <w:rPr>
                <w:rFonts w:ascii="Times New Roman"/>
                <w:b w:val="false"/>
                <w:i w:val="false"/>
                <w:color w:val="000000"/>
                <w:sz w:val="20"/>
              </w:rPr>
              <w:t>
   Модуль СIV     Популяции, не изученные в ходе клинических исследований</w:t>
            </w:r>
          </w:p>
          <w:p>
            <w:pPr>
              <w:spacing w:after="20"/>
              <w:ind w:left="20"/>
              <w:jc w:val="both"/>
            </w:pPr>
            <w:r>
              <w:rPr>
                <w:rFonts w:ascii="Times New Roman"/>
                <w:b w:val="false"/>
                <w:i w:val="false"/>
                <w:color w:val="000000"/>
                <w:sz w:val="20"/>
              </w:rPr>
              <w:t>
   Модуль СV      Пострегистрационный опыт применения</w:t>
            </w:r>
          </w:p>
          <w:p>
            <w:pPr>
              <w:spacing w:after="20"/>
              <w:ind w:left="20"/>
              <w:jc w:val="both"/>
            </w:pPr>
            <w:r>
              <w:rPr>
                <w:rFonts w:ascii="Times New Roman"/>
                <w:b w:val="false"/>
                <w:i w:val="false"/>
                <w:color w:val="000000"/>
                <w:sz w:val="20"/>
              </w:rPr>
              <w:t>
   Модуль СVI     Дополнительные требования к спецификации по безопасности</w:t>
            </w:r>
          </w:p>
          <w:p>
            <w:pPr>
              <w:spacing w:after="20"/>
              <w:ind w:left="20"/>
              <w:jc w:val="both"/>
            </w:pPr>
            <w:r>
              <w:rPr>
                <w:rFonts w:ascii="Times New Roman"/>
                <w:b w:val="false"/>
                <w:i w:val="false"/>
                <w:color w:val="000000"/>
                <w:sz w:val="20"/>
              </w:rPr>
              <w:t>
   Модуль СVII Идентифицированные и потенциальные риски</w:t>
            </w:r>
          </w:p>
          <w:p>
            <w:pPr>
              <w:spacing w:after="20"/>
              <w:ind w:left="20"/>
              <w:jc w:val="both"/>
            </w:pPr>
            <w:r>
              <w:rPr>
                <w:rFonts w:ascii="Times New Roman"/>
                <w:b w:val="false"/>
                <w:i w:val="false"/>
                <w:color w:val="000000"/>
                <w:sz w:val="20"/>
              </w:rPr>
              <w:t>
   Модуль СVIII Обобщенная информация по проблемам по безопасности</w:t>
            </w:r>
          </w:p>
          <w:p>
            <w:pPr>
              <w:spacing w:after="20"/>
              <w:ind w:left="20"/>
              <w:jc w:val="both"/>
            </w:pPr>
            <w:r>
              <w:rPr>
                <w:rFonts w:ascii="Times New Roman"/>
                <w:b w:val="false"/>
                <w:i w:val="false"/>
                <w:color w:val="000000"/>
                <w:sz w:val="20"/>
              </w:rPr>
              <w:t xml:space="preserve">
   Спецификация по безопасности включает дополнительные элементы в зависимости от свойств лекарственного препарата, программы его разработки и изучения, включая аспекты качества и их влияние на профиль безопасности и эффективности лекарственного препарата, риска связанного с формой выпуска и иных аспектов, модифицирующих профиль безопасности. </w:t>
            </w:r>
          </w:p>
          <w:p>
            <w:pPr>
              <w:spacing w:after="20"/>
              <w:ind w:left="20"/>
              <w:jc w:val="both"/>
            </w:pPr>
            <w:r>
              <w:rPr>
                <w:rFonts w:ascii="Times New Roman"/>
                <w:b w:val="false"/>
                <w:i w:val="false"/>
                <w:color w:val="000000"/>
                <w:sz w:val="20"/>
              </w:rPr>
              <w:t>
   6.2.5.2.1. Модуль СI ПУР "Эпидемиология показаний по целевой популяции"</w:t>
            </w:r>
          </w:p>
          <w:p>
            <w:pPr>
              <w:spacing w:after="20"/>
              <w:ind w:left="20"/>
              <w:jc w:val="both"/>
            </w:pPr>
            <w:r>
              <w:rPr>
                <w:rFonts w:ascii="Times New Roman"/>
                <w:b w:val="false"/>
                <w:i w:val="false"/>
                <w:color w:val="000000"/>
                <w:sz w:val="20"/>
              </w:rPr>
              <w:t>
   Эпидемиология показаний является предметом описания и оценки в данном разделе. Описание включает оценку уровня заболеваемости, распространенности, смертности, распространенных в целевой популяции сопутствующих заболеваний и по возможности представляется со стратификацией по возрасту, полу и расовому и (или) этническому происхождению. Различия в эпидемиологии в разных регионах подвергаются оценке и описанию. Предоставляется информация о важных сопутствующих заболеваниях целевой популяции и возможном влиянии лекарственного препарата на сопутствующую патологию. Включается информация о предполагаемом назначении лекарственного препарата, в частности, предназначено ли оно для профилактики заболеваний, для предотвращения некоторых серьезных исходов в связи с определенными заболеваниями или для торможения прогрессирования хронического заболевания. Предоставляется краткий обзор места лекарственного препарата в терапевтическом арсенале лекарственных препаратов.</w:t>
            </w:r>
          </w:p>
          <w:p>
            <w:pPr>
              <w:spacing w:after="20"/>
              <w:ind w:left="20"/>
              <w:jc w:val="both"/>
            </w:pPr>
            <w:r>
              <w:rPr>
                <w:rFonts w:ascii="Times New Roman"/>
                <w:b w:val="false"/>
                <w:i w:val="false"/>
                <w:color w:val="000000"/>
                <w:sz w:val="20"/>
              </w:rPr>
              <w:t>
   6.2.5.2.2. Модуль СII ПУР "Доклиническая часть"</w:t>
            </w:r>
          </w:p>
          <w:p>
            <w:pPr>
              <w:spacing w:after="20"/>
              <w:ind w:left="20"/>
              <w:jc w:val="both"/>
            </w:pPr>
            <w:r>
              <w:rPr>
                <w:rFonts w:ascii="Times New Roman"/>
                <w:b w:val="false"/>
                <w:i w:val="false"/>
                <w:color w:val="000000"/>
                <w:sz w:val="20"/>
              </w:rPr>
              <w:t>
   Данный модуль ПУР представляет резюме важных данных, полученных в результате доклинических исследований безопасности, в частности:</w:t>
            </w:r>
          </w:p>
          <w:p>
            <w:pPr>
              <w:spacing w:after="20"/>
              <w:ind w:left="20"/>
              <w:jc w:val="both"/>
            </w:pPr>
            <w:r>
              <w:rPr>
                <w:rFonts w:ascii="Times New Roman"/>
                <w:b w:val="false"/>
                <w:i w:val="false"/>
                <w:color w:val="000000"/>
                <w:sz w:val="20"/>
              </w:rPr>
              <w:t>
   1) исследование токсичности (ключевые данные по токсичности, полученные в ходе исследования, в частности, хронической токсичности, репродуктивной токсичности, эмбриотоксичности, тератогенности, нефротоксичности, гепатотоксичности, генотоксичности, канцерогенности);</w:t>
            </w:r>
          </w:p>
          <w:p>
            <w:pPr>
              <w:spacing w:after="20"/>
              <w:ind w:left="20"/>
              <w:jc w:val="both"/>
            </w:pPr>
            <w:r>
              <w:rPr>
                <w:rFonts w:ascii="Times New Roman"/>
                <w:b w:val="false"/>
                <w:i w:val="false"/>
                <w:color w:val="000000"/>
                <w:sz w:val="20"/>
              </w:rPr>
              <w:t>
   2) данные по общим фармакологическим свойствам (влияние на сердечно-сосудистую систему, включая удлинение QT интервала, нервную систему);</w:t>
            </w:r>
          </w:p>
          <w:p>
            <w:pPr>
              <w:spacing w:after="20"/>
              <w:ind w:left="20"/>
              <w:jc w:val="both"/>
            </w:pPr>
            <w:r>
              <w:rPr>
                <w:rFonts w:ascii="Times New Roman"/>
                <w:b w:val="false"/>
                <w:i w:val="false"/>
                <w:color w:val="000000"/>
                <w:sz w:val="20"/>
              </w:rPr>
              <w:t>
   3) данные по реакциям взаимодействия лекарственного препарата;</w:t>
            </w:r>
          </w:p>
          <w:p>
            <w:pPr>
              <w:spacing w:after="20"/>
              <w:ind w:left="20"/>
              <w:jc w:val="both"/>
            </w:pPr>
            <w:r>
              <w:rPr>
                <w:rFonts w:ascii="Times New Roman"/>
                <w:b w:val="false"/>
                <w:i w:val="false"/>
                <w:color w:val="000000"/>
                <w:sz w:val="20"/>
              </w:rPr>
              <w:t>
   4) иные данные по токсичности.</w:t>
            </w:r>
          </w:p>
          <w:p>
            <w:pPr>
              <w:spacing w:after="20"/>
              <w:ind w:left="20"/>
              <w:jc w:val="both"/>
            </w:pPr>
            <w:r>
              <w:rPr>
                <w:rFonts w:ascii="Times New Roman"/>
                <w:b w:val="false"/>
                <w:i w:val="false"/>
                <w:color w:val="000000"/>
                <w:sz w:val="20"/>
              </w:rPr>
              <w:t>
   В разделе содержится информация о значимых токсических свойствах и актуальности выводов при использовании на людях. Значимость данных определяется применительно к свойствам лекарственного препарата, особенностям целевой популяции и опыта применения подобных соединений или подходов к терапии при применении лекарственных препаратов той же группы. Помимо этого, обсуждаются аспекты качества, в случае если они могут значимо отразиться на профиле безопасности лекарственного препарата (важная информация об активном веществе или его примесях, в частности, генотоксических примесях). Если лекарственный препарат предназначен для применения женщинами детородного возраста, в документе упоминаются данные о репродуктивной токсичности и влиянии на развитие плода и о последствиях использования лекарственного препарата у данной группы пациентов. Остальные особые группы населения рассматриваются в зависимости от утвержденных показаний и целевой популяции и от необходимости наличия конкретных доклинических данных.</w:t>
            </w:r>
          </w:p>
          <w:p>
            <w:pPr>
              <w:spacing w:after="20"/>
              <w:ind w:left="20"/>
              <w:jc w:val="both"/>
            </w:pPr>
            <w:r>
              <w:rPr>
                <w:rFonts w:ascii="Times New Roman"/>
                <w:b w:val="false"/>
                <w:i w:val="false"/>
                <w:color w:val="000000"/>
                <w:sz w:val="20"/>
              </w:rPr>
              <w:t>
   6.2.5.2.3. Модуль СIII ПУР "Воздействие лекарственного препарата в ходе клинических исследований (испытаний)"</w:t>
            </w:r>
          </w:p>
          <w:p>
            <w:pPr>
              <w:spacing w:after="20"/>
              <w:ind w:left="20"/>
              <w:jc w:val="both"/>
            </w:pPr>
            <w:r>
              <w:rPr>
                <w:rFonts w:ascii="Times New Roman"/>
                <w:b w:val="false"/>
                <w:i w:val="false"/>
                <w:color w:val="000000"/>
                <w:sz w:val="20"/>
              </w:rPr>
              <w:t>
   В разделе представляются данные о пациентах, включенных в клинические исследования (испытания) (на каких группах пациентов изучался лекарственный препарат). Данные представляются в формате, удобном для анализа, как правило, в форме таблиц (графиков). Объем исследуемой популяции подробно описывается с указанием данных о количестве пациентов и временного промежутка (пациенто-лет, пациенто-месяцев), в течение которого пациенты подвергались воздействию лекарственного препарата. Данные по популяциям, включенным в клинические исследования (испытания) стратифицируются в зависимости от типа исследования (испытания) (популяция, включенная в ослепленное рандомизированное исследование и популяции, включенные во все клинические исследования). Стратификация популяционных подгрупп, как правило, включает в себя:</w:t>
            </w:r>
          </w:p>
          <w:p>
            <w:pPr>
              <w:spacing w:after="20"/>
              <w:ind w:left="20"/>
              <w:jc w:val="both"/>
            </w:pPr>
            <w:r>
              <w:rPr>
                <w:rFonts w:ascii="Times New Roman"/>
                <w:b w:val="false"/>
                <w:i w:val="false"/>
                <w:color w:val="000000"/>
                <w:sz w:val="20"/>
              </w:rPr>
              <w:t>
   1) возраст и пол;</w:t>
            </w:r>
          </w:p>
          <w:p>
            <w:pPr>
              <w:spacing w:after="20"/>
              <w:ind w:left="20"/>
              <w:jc w:val="both"/>
            </w:pPr>
            <w:r>
              <w:rPr>
                <w:rFonts w:ascii="Times New Roman"/>
                <w:b w:val="false"/>
                <w:i w:val="false"/>
                <w:color w:val="000000"/>
                <w:sz w:val="20"/>
              </w:rPr>
              <w:t>
   2) показания;</w:t>
            </w:r>
          </w:p>
          <w:p>
            <w:pPr>
              <w:spacing w:after="20"/>
              <w:ind w:left="20"/>
              <w:jc w:val="both"/>
            </w:pPr>
            <w:r>
              <w:rPr>
                <w:rFonts w:ascii="Times New Roman"/>
                <w:b w:val="false"/>
                <w:i w:val="false"/>
                <w:color w:val="000000"/>
                <w:sz w:val="20"/>
              </w:rPr>
              <w:t>
   3) дозировка;</w:t>
            </w:r>
          </w:p>
          <w:p>
            <w:pPr>
              <w:spacing w:after="20"/>
              <w:ind w:left="20"/>
              <w:jc w:val="both"/>
            </w:pPr>
            <w:r>
              <w:rPr>
                <w:rFonts w:ascii="Times New Roman"/>
                <w:b w:val="false"/>
                <w:i w:val="false"/>
                <w:color w:val="000000"/>
                <w:sz w:val="20"/>
              </w:rPr>
              <w:t>
   4) расовое происхождение.</w:t>
            </w:r>
          </w:p>
          <w:p>
            <w:pPr>
              <w:spacing w:after="20"/>
              <w:ind w:left="20"/>
              <w:jc w:val="both"/>
            </w:pPr>
            <w:r>
              <w:rPr>
                <w:rFonts w:ascii="Times New Roman"/>
                <w:b w:val="false"/>
                <w:i w:val="false"/>
                <w:color w:val="000000"/>
                <w:sz w:val="20"/>
              </w:rPr>
              <w:t>
   Продолжительность воздействия изображается либо графически (путем нанесения на график точек, соответствующих количеству пациентов и времени) или в формате таблицы.</w:t>
            </w:r>
          </w:p>
          <w:p>
            <w:pPr>
              <w:spacing w:after="20"/>
              <w:ind w:left="20"/>
              <w:jc w:val="both"/>
            </w:pPr>
            <w:r>
              <w:rPr>
                <w:rFonts w:ascii="Times New Roman"/>
                <w:b w:val="false"/>
                <w:i w:val="false"/>
                <w:color w:val="000000"/>
                <w:sz w:val="20"/>
              </w:rPr>
              <w:t>
   В случае необходимости представляется информация об изучении воздействия на отдельные популяционные группы (беременные женщины, кормящие матери, пациенты с почечной недостаточностью, печеночной недостаточностью, нарушениями сердечно-сосудистой системы, подгруппы населения с соответствующим генетическим полиморфизмом). Указывается степень тяжести нарушения функции почек, печени или сердечно-сосудистой системы и генетического полиморфизма).</w:t>
            </w:r>
          </w:p>
          <w:p>
            <w:pPr>
              <w:spacing w:after="20"/>
              <w:ind w:left="20"/>
              <w:jc w:val="both"/>
            </w:pPr>
            <w:r>
              <w:rPr>
                <w:rFonts w:ascii="Times New Roman"/>
                <w:b w:val="false"/>
                <w:i w:val="false"/>
                <w:color w:val="000000"/>
                <w:sz w:val="20"/>
              </w:rPr>
              <w:t xml:space="preserve">
   При представлении данных о возрасте выбираются категории, имеющие отношение к целевой популяции. Данные по педиатрическим и пожилым пациентам разделяются в соответствии с принятыми возрастными категориями (в частности, по категориям 65-74, 75-84 и старше 85 лет для пожилых пациентов). Для лекарственных препаратов, обладающих тератогенным действием, стратификация строится исходя из возрастных категорий женской части популяции сообразно детородному потенциалу. Итоговые результаты представляются в конце каждой таблицы (диаграммы) по мере необходимости. </w:t>
            </w:r>
          </w:p>
          <w:p>
            <w:pPr>
              <w:spacing w:after="20"/>
              <w:ind w:left="20"/>
              <w:jc w:val="both"/>
            </w:pPr>
            <w:r>
              <w:rPr>
                <w:rFonts w:ascii="Times New Roman"/>
                <w:b w:val="false"/>
                <w:i w:val="false"/>
                <w:color w:val="000000"/>
                <w:sz w:val="20"/>
              </w:rPr>
              <w:t>
   За исключением случаев, когда это является обоснованным, данные по клиническим исследованиям представляются в обобщенной форме с суммированием показателей по графам и разделам в случаях, когда это уместно. В случае, если одна и та же группа пациентов включена в более, чем одно исследование (в частности, продолжение открытого наблюдения после окончания клинического исследования), она включается в таблицу по группе возраст – пол - раса один раз. В случае, если между таблицами возникает несоответствие по числу пациентов, даются соответствующие разъяснения.</w:t>
            </w:r>
          </w:p>
          <w:p>
            <w:pPr>
              <w:spacing w:after="20"/>
              <w:ind w:left="20"/>
              <w:jc w:val="both"/>
            </w:pPr>
            <w:r>
              <w:rPr>
                <w:rFonts w:ascii="Times New Roman"/>
                <w:b w:val="false"/>
                <w:i w:val="false"/>
                <w:color w:val="000000"/>
                <w:sz w:val="20"/>
              </w:rPr>
              <w:t>
   Если ПУР представляется вместе с заявлением на внесение нового показания, отдельно в начале раздела и в сводных таблицах представляются данные по новой лекарственной форме или способу введения, данные клинических испытаний, специфичные для данного показания.</w:t>
            </w:r>
          </w:p>
          <w:p>
            <w:pPr>
              <w:spacing w:after="20"/>
              <w:ind w:left="20"/>
              <w:jc w:val="both"/>
            </w:pPr>
            <w:r>
              <w:rPr>
                <w:rFonts w:ascii="Times New Roman"/>
                <w:b w:val="false"/>
                <w:i w:val="false"/>
                <w:color w:val="000000"/>
                <w:sz w:val="20"/>
              </w:rPr>
              <w:t>
   6.2.5.2.4. Модуль СIV ПУР "Популяции, не изученные в ходе клинических исследований (испытаний)"</w:t>
            </w:r>
          </w:p>
          <w:p>
            <w:pPr>
              <w:spacing w:after="20"/>
              <w:ind w:left="20"/>
              <w:jc w:val="both"/>
            </w:pPr>
            <w:r>
              <w:rPr>
                <w:rFonts w:ascii="Times New Roman"/>
                <w:b w:val="false"/>
                <w:i w:val="false"/>
                <w:color w:val="000000"/>
                <w:sz w:val="20"/>
              </w:rPr>
              <w:t>
   В модуле СIV ПУР представляется информация о том, какие подгруппы пациентов целевых популяций не изучались или изучались лишь в ограниченной степени в пределах групп пациентов, включенных в клинические исследования (испытания). Ограничения клинических исследований (испытаний) представляются с точки зрения релевантности критериев включения и невключения в отношении целевых популяций, а также различий, возникающих в зависимости от параметров испытаний (в частности, больничная или общая практика). Выводы о возможности прогнозирования безопасности для целевых популяций основываются на точной и подробной оценке ограничений имеющихся данных клинических исследований либо их отсутствии для каких-либо подгрупп. Также излагается информация об ограничениях клинической базы данных в отношении выявления нежелательных реакций по причине:</w:t>
            </w:r>
          </w:p>
          <w:p>
            <w:pPr>
              <w:spacing w:after="20"/>
              <w:ind w:left="20"/>
              <w:jc w:val="both"/>
            </w:pPr>
            <w:r>
              <w:rPr>
                <w:rFonts w:ascii="Times New Roman"/>
                <w:b w:val="false"/>
                <w:i w:val="false"/>
                <w:color w:val="000000"/>
                <w:sz w:val="20"/>
              </w:rPr>
              <w:t>
   1) количества включенных в исследование пациентов;</w:t>
            </w:r>
          </w:p>
          <w:p>
            <w:pPr>
              <w:spacing w:after="20"/>
              <w:ind w:left="20"/>
              <w:jc w:val="both"/>
            </w:pPr>
            <w:r>
              <w:rPr>
                <w:rFonts w:ascii="Times New Roman"/>
                <w:b w:val="false"/>
                <w:i w:val="false"/>
                <w:color w:val="000000"/>
                <w:sz w:val="20"/>
              </w:rPr>
              <w:t>
   2) кумулятивного воздействия (специфическая органотоксичность);</w:t>
            </w:r>
          </w:p>
          <w:p>
            <w:pPr>
              <w:spacing w:after="20"/>
              <w:ind w:left="20"/>
              <w:jc w:val="both"/>
            </w:pPr>
            <w:r>
              <w:rPr>
                <w:rFonts w:ascii="Times New Roman"/>
                <w:b w:val="false"/>
                <w:i w:val="false"/>
                <w:color w:val="000000"/>
                <w:sz w:val="20"/>
              </w:rPr>
              <w:t>
   3) длительности применения (оценка канцерогенности).</w:t>
            </w:r>
          </w:p>
          <w:p>
            <w:pPr>
              <w:spacing w:after="20"/>
              <w:ind w:left="20"/>
              <w:jc w:val="both"/>
            </w:pPr>
            <w:r>
              <w:rPr>
                <w:rFonts w:ascii="Times New Roman"/>
                <w:b w:val="false"/>
                <w:i w:val="false"/>
                <w:color w:val="000000"/>
                <w:sz w:val="20"/>
              </w:rPr>
              <w:t>
   Если отсутствующая информация представляет серьезный риск для целевых популяций, то следует включить в качестве проблемы по безопасности в раздел СVIII ПУР.</w:t>
            </w:r>
          </w:p>
          <w:p>
            <w:pPr>
              <w:spacing w:after="20"/>
              <w:ind w:left="20"/>
              <w:jc w:val="both"/>
            </w:pPr>
            <w:r>
              <w:rPr>
                <w:rFonts w:ascii="Times New Roman"/>
                <w:b w:val="false"/>
                <w:i w:val="false"/>
                <w:color w:val="000000"/>
                <w:sz w:val="20"/>
              </w:rPr>
              <w:t>
   Рассматриваемые группы пациентов включают (но не ограничиваются):</w:t>
            </w:r>
          </w:p>
          <w:p>
            <w:pPr>
              <w:spacing w:after="20"/>
              <w:ind w:left="20"/>
              <w:jc w:val="both"/>
            </w:pPr>
            <w:r>
              <w:rPr>
                <w:rFonts w:ascii="Times New Roman"/>
                <w:b w:val="false"/>
                <w:i w:val="false"/>
                <w:color w:val="000000"/>
                <w:sz w:val="20"/>
              </w:rPr>
              <w:t>
   1) педиатрическую популяцию</w:t>
            </w:r>
          </w:p>
          <w:p>
            <w:pPr>
              <w:spacing w:after="20"/>
              <w:ind w:left="20"/>
              <w:jc w:val="both"/>
            </w:pPr>
            <w:r>
              <w:rPr>
                <w:rFonts w:ascii="Times New Roman"/>
                <w:b w:val="false"/>
                <w:i w:val="false"/>
                <w:color w:val="000000"/>
                <w:sz w:val="20"/>
              </w:rPr>
              <w:t xml:space="preserve">
   Дети (от рождения и до 18 лет с учетом различных возрастных категорий или, если это необходимо, с учетом других групп, значимых с точки зрения развития, т.е. с учетом конкретных периодов развития). </w:t>
            </w:r>
          </w:p>
          <w:p>
            <w:pPr>
              <w:spacing w:after="20"/>
              <w:ind w:left="20"/>
              <w:jc w:val="both"/>
            </w:pPr>
            <w:r>
              <w:rPr>
                <w:rFonts w:ascii="Times New Roman"/>
                <w:b w:val="false"/>
                <w:i w:val="false"/>
                <w:color w:val="000000"/>
                <w:sz w:val="20"/>
              </w:rPr>
              <w:t>
   2) пожилых пациентов</w:t>
            </w:r>
          </w:p>
          <w:p>
            <w:pPr>
              <w:spacing w:after="20"/>
              <w:ind w:left="20"/>
              <w:jc w:val="both"/>
            </w:pPr>
            <w:r>
              <w:rPr>
                <w:rFonts w:ascii="Times New Roman"/>
                <w:b w:val="false"/>
                <w:i w:val="false"/>
                <w:color w:val="000000"/>
                <w:sz w:val="20"/>
              </w:rPr>
              <w:t>
   Оцениваются последствия применения лекарственных препаратов у пациентов в возрасте старше 65 лет, соответственным образом учитывающие наиболее пожилых представителей данной группы. Оценка влияния сопутствующей патологии или нарушения функции органов (почек, печени) применительно к данной популяционной подгруппе делается с учетом возможного одновременного наличия нескольких факторов, в частности, множественной сопутствующей патологии и многокомпонентной лекарственной терапии, оказывающих одновременное воздействие, модифицирующее профиль безопасности лекарственного препарата. Оценивается необходимость проведения лабораторного скрининга в плановом порядке при назначении лекарственного препарата пациентам в данной подгруппе пациентов. В оценке отдельно рассматриваются нежелательные реакции, представляющие особую опасность для пожилых пациентов, как правило, головокружение или воздействие на центральную нервную систему.</w:t>
            </w:r>
          </w:p>
          <w:p>
            <w:pPr>
              <w:spacing w:after="20"/>
              <w:ind w:left="20"/>
              <w:jc w:val="both"/>
            </w:pPr>
            <w:r>
              <w:rPr>
                <w:rFonts w:ascii="Times New Roman"/>
                <w:b w:val="false"/>
                <w:i w:val="false"/>
                <w:color w:val="000000"/>
                <w:sz w:val="20"/>
              </w:rPr>
              <w:t>
   3) беременных или кормящих женщин</w:t>
            </w:r>
          </w:p>
          <w:p>
            <w:pPr>
              <w:spacing w:after="20"/>
              <w:ind w:left="20"/>
              <w:jc w:val="both"/>
            </w:pPr>
            <w:r>
              <w:rPr>
                <w:rFonts w:ascii="Times New Roman"/>
                <w:b w:val="false"/>
                <w:i w:val="false"/>
                <w:color w:val="000000"/>
                <w:sz w:val="20"/>
              </w:rPr>
              <w:t>
   Если в целевую популяцию входят женщины детородного возраста, рассматриваются последствия применения лекарственного препарата в период беременности и (или) кормления грудью. Если лекарственный препарат не предназначен специально для применения во время беременности, оцениваются результаты любых беременностей, зафиксированных в ходе клинического изучения лекарственного препарата. Если условием включения в клиническое исследование является применение контрацептивных средств, рассмотрение хода беременности также включает анализ причин, по которым принятые меры контрацепции оказались безуспешными (если применимо) и последствий для использования в менее контролируемых условиях повседневной медицинской практики.</w:t>
            </w:r>
          </w:p>
          <w:p>
            <w:pPr>
              <w:spacing w:after="20"/>
              <w:ind w:left="20"/>
              <w:jc w:val="both"/>
            </w:pPr>
            <w:r>
              <w:rPr>
                <w:rFonts w:ascii="Times New Roman"/>
                <w:b w:val="false"/>
                <w:i w:val="false"/>
                <w:color w:val="000000"/>
                <w:sz w:val="20"/>
              </w:rPr>
              <w:t>
   4) пациентов с нарушениями функции печени</w:t>
            </w:r>
          </w:p>
          <w:p>
            <w:pPr>
              <w:spacing w:after="20"/>
              <w:ind w:left="20"/>
              <w:jc w:val="both"/>
            </w:pPr>
            <w:r>
              <w:rPr>
                <w:rFonts w:ascii="Times New Roman"/>
                <w:b w:val="false"/>
                <w:i w:val="false"/>
                <w:color w:val="000000"/>
                <w:sz w:val="20"/>
              </w:rPr>
              <w:t>
   6) пациентов с нарушениями функции почек</w:t>
            </w:r>
          </w:p>
          <w:p>
            <w:pPr>
              <w:spacing w:after="20"/>
              <w:ind w:left="20"/>
              <w:jc w:val="both"/>
            </w:pPr>
            <w:r>
              <w:rPr>
                <w:rFonts w:ascii="Times New Roman"/>
                <w:b w:val="false"/>
                <w:i w:val="false"/>
                <w:color w:val="000000"/>
                <w:sz w:val="20"/>
              </w:rPr>
              <w:t>
   7) пациентов с прочими значимыми сопутствующими заболеваниями (в частности, сердечно-сосудистой патологией, иммунодефицитными состояниями)</w:t>
            </w:r>
          </w:p>
          <w:p>
            <w:pPr>
              <w:spacing w:after="20"/>
              <w:ind w:left="20"/>
              <w:jc w:val="both"/>
            </w:pPr>
            <w:r>
              <w:rPr>
                <w:rFonts w:ascii="Times New Roman"/>
                <w:b w:val="false"/>
                <w:i w:val="false"/>
                <w:color w:val="000000"/>
                <w:sz w:val="20"/>
              </w:rPr>
              <w:t>
   8) пациентов, степень тяжести заболевания которых отличается от изученной в ходе клинических испытаний.</w:t>
            </w:r>
          </w:p>
          <w:p>
            <w:pPr>
              <w:spacing w:after="20"/>
              <w:ind w:left="20"/>
              <w:jc w:val="both"/>
            </w:pPr>
            <w:r>
              <w:rPr>
                <w:rFonts w:ascii="Times New Roman"/>
                <w:b w:val="false"/>
                <w:i w:val="false"/>
                <w:color w:val="000000"/>
                <w:sz w:val="20"/>
              </w:rPr>
              <w:t>
   Рассматривается любой опыт применения у пациентов с различной степенью тяжести заболевания, в частности, если заявляемое показание ограничено в отношении пациентов с конкретной степенью тяжести заболевания.</w:t>
            </w:r>
          </w:p>
          <w:p>
            <w:pPr>
              <w:spacing w:after="20"/>
              <w:ind w:left="20"/>
              <w:jc w:val="both"/>
            </w:pPr>
            <w:r>
              <w:rPr>
                <w:rFonts w:ascii="Times New Roman"/>
                <w:b w:val="false"/>
                <w:i w:val="false"/>
                <w:color w:val="000000"/>
                <w:sz w:val="20"/>
              </w:rPr>
              <w:t>
   9) подгрупп пациентов, являющихся носителями известного и релевантного генетического полиморфизма.</w:t>
            </w:r>
          </w:p>
          <w:p>
            <w:pPr>
              <w:spacing w:after="20"/>
              <w:ind w:left="20"/>
              <w:jc w:val="both"/>
            </w:pPr>
            <w:r>
              <w:rPr>
                <w:rFonts w:ascii="Times New Roman"/>
                <w:b w:val="false"/>
                <w:i w:val="false"/>
                <w:color w:val="000000"/>
                <w:sz w:val="20"/>
              </w:rPr>
              <w:t>
   Рассматривается степень фармакогенетического влияния, применение у пациентов с неизвестными или различными генотипами, последствия использования генетических биомаркеров в целевой группе пациентов. Следует сделать оценку возможного влияния на целевую популяцию и определить насколько применение лекарственного препарата у пациентов с неизвестным или отличным генотипом представляет проблему по безопасности.</w:t>
            </w:r>
          </w:p>
          <w:p>
            <w:pPr>
              <w:spacing w:after="20"/>
              <w:ind w:left="20"/>
              <w:jc w:val="both"/>
            </w:pPr>
            <w:r>
              <w:rPr>
                <w:rFonts w:ascii="Times New Roman"/>
                <w:b w:val="false"/>
                <w:i w:val="false"/>
                <w:color w:val="000000"/>
                <w:sz w:val="20"/>
              </w:rPr>
              <w:t xml:space="preserve">
   Если потенциально клинически значимый генетический полиморфизм был определен, но не полностью изучен в ходе клинической программы разработки, это следует рассматривать как отсутствующую информацию и (или) потенциальный риск. Эта информация отражается в спецификации по безопасности и в плане фармаконадзора. Определение данного явления как проблемы по безопасности оценивается исходя из клинической значимости возможных последствий. </w:t>
            </w:r>
          </w:p>
          <w:p>
            <w:pPr>
              <w:spacing w:after="20"/>
              <w:ind w:left="20"/>
              <w:jc w:val="both"/>
            </w:pPr>
            <w:r>
              <w:rPr>
                <w:rFonts w:ascii="Times New Roman"/>
                <w:b w:val="false"/>
                <w:i w:val="false"/>
                <w:color w:val="000000"/>
                <w:sz w:val="20"/>
              </w:rPr>
              <w:t>
   10) пациенты различного расового и (или) этнического происхождения</w:t>
            </w:r>
          </w:p>
          <w:p>
            <w:pPr>
              <w:spacing w:after="20"/>
              <w:ind w:left="20"/>
              <w:jc w:val="both"/>
            </w:pPr>
            <w:r>
              <w:rPr>
                <w:rFonts w:ascii="Times New Roman"/>
                <w:b w:val="false"/>
                <w:i w:val="false"/>
                <w:color w:val="000000"/>
                <w:sz w:val="20"/>
              </w:rPr>
              <w:t>
   Рассматривается опыт применения на пациентах различного расового и (или) этнического происхождения и влияние данного различия на эффективность, безопасность и фармакокинетику в целевых популяциях. В случае наличия вероятности влияния различий расовой или этнической принадлежности на эффективность лекарственного препарата, делается оценка возможной необходимости проведения пострегистрационных исследований эффективности.</w:t>
            </w:r>
          </w:p>
          <w:p>
            <w:pPr>
              <w:spacing w:after="20"/>
              <w:ind w:left="20"/>
              <w:jc w:val="both"/>
            </w:pPr>
            <w:r>
              <w:rPr>
                <w:rFonts w:ascii="Times New Roman"/>
                <w:b w:val="false"/>
                <w:i w:val="false"/>
                <w:color w:val="000000"/>
                <w:sz w:val="20"/>
              </w:rPr>
              <w:t>
   6.2.5.2.5. Модуль СV ПУР "Пострегистрационный опыт применения"</w:t>
            </w:r>
          </w:p>
          <w:p>
            <w:pPr>
              <w:spacing w:after="20"/>
              <w:ind w:left="20"/>
              <w:jc w:val="both"/>
            </w:pPr>
            <w:r>
              <w:rPr>
                <w:rFonts w:ascii="Times New Roman"/>
                <w:b w:val="false"/>
                <w:i w:val="false"/>
                <w:color w:val="000000"/>
                <w:sz w:val="20"/>
              </w:rPr>
              <w:t>
   Целью данного модуля ПУР является представление информации о количестве пациентов, получавшим на пострегистрационном этапе применения лекарственный препарат; особенностях применения в пострегистрационной медицинской практике, включая назначение особым группам пациентов, указанным в модуле СIV ПУР, о количестве пациентов, включенных в наблюдательные исследования (испытания), в ходе которых собираются данные о безопасности и предпринимаются уполномоченные меры для приведения информации о безопасности лекарственных препаратов в соответствие с имеющимися данными.</w:t>
            </w:r>
          </w:p>
          <w:p>
            <w:pPr>
              <w:spacing w:after="20"/>
              <w:ind w:left="20"/>
              <w:jc w:val="both"/>
            </w:pPr>
            <w:r>
              <w:rPr>
                <w:rFonts w:ascii="Times New Roman"/>
                <w:b w:val="false"/>
                <w:i w:val="false"/>
                <w:color w:val="000000"/>
                <w:sz w:val="20"/>
              </w:rPr>
              <w:t>
   1. Модуль СV ПУР, подраздел "Уполномоченные действия и действия держателя регистрационного удостоверения, связанные с безопасностью лекарственного препарата"</w:t>
            </w:r>
          </w:p>
          <w:p>
            <w:pPr>
              <w:spacing w:after="20"/>
              <w:ind w:left="20"/>
              <w:jc w:val="both"/>
            </w:pPr>
            <w:r>
              <w:rPr>
                <w:rFonts w:ascii="Times New Roman"/>
                <w:b w:val="false"/>
                <w:i w:val="false"/>
                <w:color w:val="000000"/>
                <w:sz w:val="20"/>
              </w:rPr>
              <w:t xml:space="preserve">
   В подразделе указываются все уполномоченные действия на любом рынке (в том числе, предпринятые по инициативе держателя регистрационного удостоверения), предпринятые в связи с выявленными проблемами по безопасности лекарственного препарата. Этот перечень содержит перечисление и описание предпринятых уполномоченных действий с указанием страны и даты. При составлении обновлений ПУР, в данной части описываются действия, предпринятые с момента последнего представления ПУР с кратким описанием причин их принятия. </w:t>
            </w:r>
          </w:p>
          <w:p>
            <w:pPr>
              <w:spacing w:after="20"/>
              <w:ind w:left="20"/>
              <w:jc w:val="both"/>
            </w:pPr>
            <w:r>
              <w:rPr>
                <w:rFonts w:ascii="Times New Roman"/>
                <w:b w:val="false"/>
                <w:i w:val="false"/>
                <w:color w:val="000000"/>
                <w:sz w:val="20"/>
              </w:rPr>
              <w:t>
   2. Модуль СV ПУР, подраздел "Результаты пострегистрационного применения, полученные не в ходе клинических исследований"</w:t>
            </w:r>
          </w:p>
          <w:p>
            <w:pPr>
              <w:spacing w:after="20"/>
              <w:ind w:left="20"/>
              <w:jc w:val="both"/>
            </w:pPr>
            <w:r>
              <w:rPr>
                <w:rFonts w:ascii="Times New Roman"/>
                <w:b w:val="false"/>
                <w:i w:val="false"/>
                <w:color w:val="000000"/>
                <w:sz w:val="20"/>
              </w:rPr>
              <w:t xml:space="preserve">
   По результатам реализации лекарственного препарата на различных рынках держатель регистрационного удостоверения представляет совокупные данные по количеству пациентов, подвергшихся воздействию на пострегистрационном этапе. По возможности эти данные стратифицируются по соответствующим категориям, включающим возраст, пол, показания, дозу и географический регион. В зависимости от лекарственного препарата в случае необходимости представляются дополнительные переменные, в частности, количество курсов вакцинации, путь введения или продолжительность лечения. Осуществляется количественная и дифференцированная оценка воздействия с использованием обоснованной методики расчета исходя из особенностей применения и целевых популяций. Выполнение расчета исходя из количества реализованного лекарственного препарата в весовом (количественном) измерении и соотнесения со средней рекомендуемой дозой возможно только в случае, если лекарственный препарат во всех случаях назначается в одной дозе и имеет одинаковый фиксированный курс применения (назначения), что не является применимым для большинства лекарственных препаратов. </w:t>
            </w:r>
          </w:p>
          <w:p>
            <w:pPr>
              <w:spacing w:after="20"/>
              <w:ind w:left="20"/>
              <w:jc w:val="both"/>
            </w:pPr>
            <w:r>
              <w:rPr>
                <w:rFonts w:ascii="Times New Roman"/>
                <w:b w:val="false"/>
                <w:i w:val="false"/>
                <w:color w:val="000000"/>
                <w:sz w:val="20"/>
              </w:rPr>
              <w:t xml:space="preserve">
   Для лекарственных препаратов с различными путями введения расчет воздействия делается отдельно, если это представляется возможным. Уполномоченный орган имеет право запросить дополнительную стратификацию данных по воздействию, в частности, данные по воздействию в различных возрастных группах или в рамках различных утвержденных показаний. Однако, если лекарственный препарат применяется по различным показаниям, в разных режимах дозирования, либо присутствуют иные факторы, удовлетворяющие критериям стратификации, держатель регистрационного удостоверения изначально представляет данные с соответствующей стратификацией, в случаях когда это представляется возможным. </w:t>
            </w:r>
          </w:p>
          <w:p>
            <w:pPr>
              <w:spacing w:after="20"/>
              <w:ind w:left="20"/>
              <w:jc w:val="both"/>
            </w:pPr>
            <w:r>
              <w:rPr>
                <w:rFonts w:ascii="Times New Roman"/>
                <w:b w:val="false"/>
                <w:i w:val="false"/>
                <w:color w:val="000000"/>
                <w:sz w:val="20"/>
              </w:rPr>
              <w:t>
   3. Модуль СV ПУР, подраздел "Результаты пострегистрационного опыта применения у групп пациентов, не изученных в ходе клинических исследований (испытаний)"</w:t>
            </w:r>
          </w:p>
          <w:p>
            <w:pPr>
              <w:spacing w:after="20"/>
              <w:ind w:left="20"/>
              <w:jc w:val="both"/>
            </w:pPr>
            <w:r>
              <w:rPr>
                <w:rFonts w:ascii="Times New Roman"/>
                <w:b w:val="false"/>
                <w:i w:val="false"/>
                <w:color w:val="000000"/>
                <w:sz w:val="20"/>
              </w:rPr>
              <w:t>
   Если пострегистрационное использование лекарственного препарата фиксируется у особых групп пациентов, определенных в модуле СIV ПУР, как подвергавшихся ограниченному воздействию или вовсе не подвергавшихся воздействию, то предоставляется оценка числа пациентов, подвергшихся воздействию, и метод расчета вне зависимости от того, использовался ли лекарственный препарат по утвержденным показаниям или вне утвержденных показаний к применению. При применении у педиатрической популяции осуществляется ссылка на модуль СVI ПУР, раздел "Особые аспекты применения в педиатрии". Также представляется информация о профиле безопасности лекарственного препарата в отношении этих особых групп пациентов по сравнению с остальной частью целевой популяции. В подразделе представляется любая информация о возможном изменении профиля пользы (профиля эффективности) в особой группе пациентов. Любые особые группы пациентов, оказавшиеся в зоне повышенного или пониженного риска в отношении конкретного аспекта профиля безопасности, также рассматриваются в рамках оценки специфического риска в модуле СVI ПУР, но в данном разделе следует указание о рисках и группах пациентов, подверженным им.</w:t>
            </w:r>
          </w:p>
          <w:p>
            <w:pPr>
              <w:spacing w:after="20"/>
              <w:ind w:left="20"/>
              <w:jc w:val="both"/>
            </w:pPr>
            <w:r>
              <w:rPr>
                <w:rFonts w:ascii="Times New Roman"/>
                <w:b w:val="false"/>
                <w:i w:val="false"/>
                <w:color w:val="000000"/>
                <w:sz w:val="20"/>
              </w:rPr>
              <w:t>
   4. Модуль СV ПУР, подраздел "Утвержденные показания к применению и фактическое применение"</w:t>
            </w:r>
          </w:p>
          <w:p>
            <w:pPr>
              <w:spacing w:after="20"/>
              <w:ind w:left="20"/>
              <w:jc w:val="both"/>
            </w:pPr>
            <w:r>
              <w:rPr>
                <w:rFonts w:ascii="Times New Roman"/>
                <w:b w:val="false"/>
                <w:i w:val="false"/>
                <w:color w:val="000000"/>
                <w:sz w:val="20"/>
              </w:rPr>
              <w:t>
   Для обновления спецификации по безопасности осуществляются конкретные ссылки на то, каким образом фактическое применение в медицинской практике отличается от применения, прогнозируемого в модуле СVII ПУР, и от одобренных показаний и противопоказаний к применению (использование вне утвержденных показаний к применению). В раздел включается информация, полученная из исследования использования лекарственного препарата (или в результате других обсервационных исследований, в которые включалось исследование показаний к применению лекарственного препарата), включая исследования использования лекарственного препарата, проводимое по запросу уполномоченного органа для целей, отличных от управления рисками.</w:t>
            </w:r>
          </w:p>
          <w:p>
            <w:pPr>
              <w:spacing w:after="20"/>
              <w:ind w:left="20"/>
              <w:jc w:val="both"/>
            </w:pPr>
            <w:r>
              <w:rPr>
                <w:rFonts w:ascii="Times New Roman"/>
                <w:b w:val="false"/>
                <w:i w:val="false"/>
                <w:color w:val="000000"/>
                <w:sz w:val="20"/>
              </w:rPr>
              <w:t>
   Применение не в соответствии с утвержденными показаниями включает, помимо прочего, неодобренное применение у педиатрических пациентов различных возрастных категорий и применение по неодобренным в инструкции по медицинскому применению показаниям в случаях, если это применение происходит не в рамках клинического исследования (испытания).</w:t>
            </w:r>
          </w:p>
          <w:p>
            <w:pPr>
              <w:spacing w:after="20"/>
              <w:ind w:left="20"/>
              <w:jc w:val="both"/>
            </w:pPr>
            <w:r>
              <w:rPr>
                <w:rFonts w:ascii="Times New Roman"/>
                <w:b w:val="false"/>
                <w:i w:val="false"/>
                <w:color w:val="000000"/>
                <w:sz w:val="20"/>
              </w:rPr>
              <w:t>
   В случае, если у уполномоченного органа возникают опасения в отношении имеющегося применения лекарственного препарата не по утвержденным показаниям, держатель регистрационного удостоверения количественно оценивает данное применение с указанием использованного метода оценки получения данных.</w:t>
            </w:r>
          </w:p>
          <w:p>
            <w:pPr>
              <w:spacing w:after="20"/>
              <w:ind w:left="20"/>
              <w:jc w:val="both"/>
            </w:pPr>
            <w:r>
              <w:rPr>
                <w:rFonts w:ascii="Times New Roman"/>
                <w:b w:val="false"/>
                <w:i w:val="false"/>
                <w:color w:val="000000"/>
                <w:sz w:val="20"/>
              </w:rPr>
              <w:t>
   5. Модуль СV ПУР, подраздел "Применение в ходе эпидемиологических исследований"</w:t>
            </w:r>
          </w:p>
          <w:p>
            <w:pPr>
              <w:spacing w:after="20"/>
              <w:ind w:left="20"/>
              <w:jc w:val="both"/>
            </w:pPr>
            <w:r>
              <w:rPr>
                <w:rFonts w:ascii="Times New Roman"/>
                <w:b w:val="false"/>
                <w:i w:val="false"/>
                <w:color w:val="000000"/>
                <w:sz w:val="20"/>
              </w:rPr>
              <w:t>
   Подраздел включает перечень эпидемиологических исследований, включающих сбор и оценку данных по безопасности. Представляется информация о названии исследования, типе исследования (в частности, когортное исследование, исследование случай-контроль), изучаемой популяции (включая страну и другие соответствующие популяционные характеристики), продолжительности исследования, количестве пациентов в каждой категории, заболевании при необходимости и статусе исследования (завершено или продолжается). Если исследование было опубликовано, в данный раздел ПУР включается ссылка, а в приложение 7 ПУР представляется соответствующая публикация.</w:t>
            </w:r>
          </w:p>
          <w:p>
            <w:pPr>
              <w:spacing w:after="20"/>
              <w:ind w:left="20"/>
              <w:jc w:val="both"/>
            </w:pPr>
            <w:r>
              <w:rPr>
                <w:rFonts w:ascii="Times New Roman"/>
                <w:b w:val="false"/>
                <w:i w:val="false"/>
                <w:color w:val="000000"/>
                <w:sz w:val="20"/>
              </w:rPr>
              <w:t>
   6.2.5.2.6. Модуль СVI ПУР, раздел "Дополнительные требования к спецификации по безопасности"</w:t>
            </w:r>
          </w:p>
          <w:p>
            <w:pPr>
              <w:spacing w:after="20"/>
              <w:ind w:left="20"/>
              <w:jc w:val="both"/>
            </w:pPr>
            <w:r>
              <w:rPr>
                <w:rFonts w:ascii="Times New Roman"/>
                <w:b w:val="false"/>
                <w:i w:val="false"/>
                <w:color w:val="000000"/>
                <w:sz w:val="20"/>
              </w:rPr>
              <w:t>
   1. Модуль СVI ПУР, подраздел "Потенциальный риск передозировки"</w:t>
            </w:r>
          </w:p>
          <w:p>
            <w:pPr>
              <w:spacing w:after="20"/>
              <w:ind w:left="20"/>
              <w:jc w:val="both"/>
            </w:pPr>
            <w:r>
              <w:rPr>
                <w:rFonts w:ascii="Times New Roman"/>
                <w:b w:val="false"/>
                <w:i w:val="false"/>
                <w:color w:val="000000"/>
                <w:sz w:val="20"/>
              </w:rPr>
              <w:t>
   Особое внимание уделяется лекарственным препаратам, в отношении которых существует потенциальный риск передозировки, как преднамеренной, так и случайной. Примеры включают лекарственные препараты с узким терапевтическим интервалом или лекарственные препараты, вызывающие обширные дозозависимые токсические реакции и (или) в отношении которых существует высокий риск преднамеренной передозировки у целевой популяции (в частности, при депрессии). В случае определения риска передозировки как проблемы по безопасности, по данному аспекту безопасности предлагаются дополнительные меры в состав соответствующих мер по минимизации рисков, изложенных в части V ПУР.</w:t>
            </w:r>
          </w:p>
          <w:p>
            <w:pPr>
              <w:spacing w:after="20"/>
              <w:ind w:left="20"/>
              <w:jc w:val="both"/>
            </w:pPr>
            <w:r>
              <w:rPr>
                <w:rFonts w:ascii="Times New Roman"/>
                <w:b w:val="false"/>
                <w:i w:val="false"/>
                <w:color w:val="000000"/>
                <w:sz w:val="20"/>
              </w:rPr>
              <w:t>
   2. Модуль СVI ПУР, подраздел "Потенциальный риск передачи инфекционных агентов"</w:t>
            </w:r>
          </w:p>
          <w:p>
            <w:pPr>
              <w:spacing w:after="20"/>
              <w:ind w:left="20"/>
              <w:jc w:val="both"/>
            </w:pPr>
            <w:r>
              <w:rPr>
                <w:rFonts w:ascii="Times New Roman"/>
                <w:b w:val="false"/>
                <w:i w:val="false"/>
                <w:color w:val="000000"/>
                <w:sz w:val="20"/>
              </w:rPr>
              <w:t xml:space="preserve">
   Держатель регистрационного удостоверения осуществляет оценку потенциального риска передачи инфекционных агентов. Это связано с характером производственного процесса или используемыми материалами. Что касается вакцин, то рассматривается любой потенциальный риск передачи живого вируса. </w:t>
            </w:r>
          </w:p>
          <w:p>
            <w:pPr>
              <w:spacing w:after="20"/>
              <w:ind w:left="20"/>
              <w:jc w:val="both"/>
            </w:pPr>
            <w:r>
              <w:rPr>
                <w:rFonts w:ascii="Times New Roman"/>
                <w:b w:val="false"/>
                <w:i w:val="false"/>
                <w:color w:val="000000"/>
                <w:sz w:val="20"/>
              </w:rPr>
              <w:t>
   3. Модуль СVI ПУР, подраздел "Потенциальный риск злоупотребления и использования в незаконных целях"</w:t>
            </w:r>
          </w:p>
          <w:p>
            <w:pPr>
              <w:spacing w:after="20"/>
              <w:ind w:left="20"/>
              <w:jc w:val="both"/>
            </w:pPr>
            <w:r>
              <w:rPr>
                <w:rFonts w:ascii="Times New Roman"/>
                <w:b w:val="false"/>
                <w:i w:val="false"/>
                <w:color w:val="000000"/>
                <w:sz w:val="20"/>
              </w:rPr>
              <w:t>
   В подразделе осуществляется оценка потенциального риска злоупотребления и использования в незаконных целях. При необходимости в плане управления рисками рассматриваются меры по ограничению подобных действий, в частности, использование красителей и (или) ароматизаторов в лекарственной форме, ограниченный размер упаковки и контролируемое распространение.</w:t>
            </w:r>
          </w:p>
          <w:p>
            <w:pPr>
              <w:spacing w:after="20"/>
              <w:ind w:left="20"/>
              <w:jc w:val="both"/>
            </w:pPr>
            <w:r>
              <w:rPr>
                <w:rFonts w:ascii="Times New Roman"/>
                <w:b w:val="false"/>
                <w:i w:val="false"/>
                <w:color w:val="000000"/>
                <w:sz w:val="20"/>
              </w:rPr>
              <w:t>
   4. Модуль СVI ПУР, подраздел "Потенциальный риск возникновения ошибок при назначении (приеме) лекарственных препаратов"</w:t>
            </w:r>
          </w:p>
          <w:p>
            <w:pPr>
              <w:spacing w:after="20"/>
              <w:ind w:left="20"/>
              <w:jc w:val="both"/>
            </w:pPr>
            <w:r>
              <w:rPr>
                <w:rFonts w:ascii="Times New Roman"/>
                <w:b w:val="false"/>
                <w:i w:val="false"/>
                <w:color w:val="000000"/>
                <w:sz w:val="20"/>
              </w:rPr>
              <w:t>
   Держатель регистрационного удостоверения обязан регулярно рассматривать возможность возникновения ошибок при приеме лекарственных препаратов. В частности, до поступления лекарственного препарата на рынок держатель регистрационного удостоверения обязан оценить общие источники ошибок при назначении (приеме) лекарственного препарата. В ходе разработки и на этапе проектирования выхода лекарственного препарата на рынок заявитель принимает во внимание возможные причины возникновения ошибок при приеме лекарственных препаратов. Учитываются: наименование, характеристики формы выпуска (в частности, размер, форма и цвет лекарственной формы и упаковки), инструкции по медицинскому применению (в частности, в отношении разведения, парентерального пути введения, расчета дозы) и маркировка. Необходимо следовать требованиям по обеспечению читаемости этикетки и информации для пациента. Если использование лекарственного препарата имеет потенциальный риск нанесения серьезного вреда из-за неправильного пути введения, следует рассмотреть вопрос о предотвращении подобного неправильного пути введения. Это опасение в особенности обоснованно, когда частью рутинной медицинской практики является введение лекарственного препарата одновременно с другими лекарственными препаратами, назначаемыми путем какого-либо опасного введения. В данном случае риск возникновения ошибок при назначении лекарственного препарата рассматривается в качестве проблемы по безопасности.</w:t>
            </w:r>
          </w:p>
          <w:p>
            <w:pPr>
              <w:spacing w:after="20"/>
              <w:ind w:left="20"/>
              <w:jc w:val="both"/>
            </w:pPr>
            <w:r>
              <w:rPr>
                <w:rFonts w:ascii="Times New Roman"/>
                <w:b w:val="false"/>
                <w:i w:val="false"/>
                <w:color w:val="000000"/>
                <w:sz w:val="20"/>
              </w:rPr>
              <w:t>
   В случае наличия форм с различной дозировкой лекарственного препарата оценивается достаточность визуальной (или физической) дифференциации между лекарственными препаратами с различными дозировками и между лекарственными препаратами, как правило назначаемыми или принимаемыми одновременно. В случае, если на рынке имеются другие лекарственные препараты с тем же действующим веществом, для которых не была подтверждена биоэквивалентность, предпринимаются меры по предупреждению медицинских ошибок и минимизации риска.</w:t>
            </w:r>
          </w:p>
          <w:p>
            <w:pPr>
              <w:spacing w:after="20"/>
              <w:ind w:left="20"/>
              <w:jc w:val="both"/>
            </w:pPr>
            <w:r>
              <w:rPr>
                <w:rFonts w:ascii="Times New Roman"/>
                <w:b w:val="false"/>
                <w:i w:val="false"/>
                <w:color w:val="000000"/>
                <w:sz w:val="20"/>
              </w:rPr>
              <w:t>
   Если лекарственный препарат планируется использовать у слабовидящей группы населения, особое внимание уделяется возможности совершения ошибки при приеме лекарственного препарата, рассматриваемой при установлении риска в качестве проблемы по безопасности.</w:t>
            </w:r>
          </w:p>
          <w:p>
            <w:pPr>
              <w:spacing w:after="20"/>
              <w:ind w:left="20"/>
              <w:jc w:val="both"/>
            </w:pPr>
            <w:r>
              <w:rPr>
                <w:rFonts w:ascii="Times New Roman"/>
                <w:b w:val="false"/>
                <w:i w:val="false"/>
                <w:color w:val="000000"/>
                <w:sz w:val="20"/>
              </w:rPr>
              <w:t>
   Оценивается риск и меры по предотвращению случайного проглатывания или других случаев непреднамеренного использования детьми.</w:t>
            </w:r>
          </w:p>
          <w:p>
            <w:pPr>
              <w:spacing w:after="20"/>
              <w:ind w:left="20"/>
              <w:jc w:val="both"/>
            </w:pPr>
            <w:r>
              <w:rPr>
                <w:rFonts w:ascii="Times New Roman"/>
                <w:b w:val="false"/>
                <w:i w:val="false"/>
                <w:color w:val="000000"/>
                <w:sz w:val="20"/>
              </w:rPr>
              <w:t>
   Осуществляется рассмотрение ошибок при приеме лекарственного препарата, выявленных в ходе разработки продукта, включая клинические исследования (испытания) и представляется информация о самих ошибках, их потенциальных причинах и способах их устранения. В случае необходимости указывается, каким образом вышеупомянутые факты принимались во внимание на окончательных стадиях разработки лекарственного препарата.</w:t>
            </w:r>
          </w:p>
          <w:p>
            <w:pPr>
              <w:spacing w:after="20"/>
              <w:ind w:left="20"/>
              <w:jc w:val="both"/>
            </w:pPr>
            <w:r>
              <w:rPr>
                <w:rFonts w:ascii="Times New Roman"/>
                <w:b w:val="false"/>
                <w:i w:val="false"/>
                <w:color w:val="000000"/>
                <w:sz w:val="20"/>
              </w:rPr>
              <w:t>
   В случае выявления в ходе пострегистрационного периода нежелательных реакций, явившихся результатом медицинских ошибок, данная тема рассматривается в обновлении ПУР и предлагаются пути по минимизации ошибок.</w:t>
            </w:r>
          </w:p>
          <w:p>
            <w:pPr>
              <w:spacing w:after="20"/>
              <w:ind w:left="20"/>
              <w:jc w:val="both"/>
            </w:pPr>
            <w:r>
              <w:rPr>
                <w:rFonts w:ascii="Times New Roman"/>
                <w:b w:val="false"/>
                <w:i w:val="false"/>
                <w:color w:val="000000"/>
                <w:sz w:val="20"/>
              </w:rPr>
              <w:t>
   В случае изменения состава и дозировки лекарственного препарата, риск возникновения ошибок при приеме лекарственного препарата рассматривается в качестве проблемы по безопасности, а меры, предпринимаемые держателем регистрационного удостоверения для предотвращения перепутывания между старым и новым лекарственным препаратом проводятся в рамках плана по минимизации рисков. Оценивается целесообразность мероприятий по минимизации рисков в отношении изменений формы представления, размера упаковки, пути введения или прочих характеристик выпускаемого лекарственного препарата.</w:t>
            </w:r>
          </w:p>
          <w:p>
            <w:pPr>
              <w:spacing w:after="20"/>
              <w:ind w:left="20"/>
              <w:jc w:val="both"/>
            </w:pPr>
            <w:r>
              <w:rPr>
                <w:rFonts w:ascii="Times New Roman"/>
                <w:b w:val="false"/>
                <w:i w:val="false"/>
                <w:color w:val="000000"/>
                <w:sz w:val="20"/>
              </w:rPr>
              <w:t>
   Если лекарственный препарат применяется вместе с медицинским устройством (встроенным или нет), рассматриваются все факторы опасности, представляющие риск для пациента (неисправности медицинского устройства).</w:t>
            </w:r>
          </w:p>
          <w:p>
            <w:pPr>
              <w:spacing w:after="20"/>
              <w:ind w:left="20"/>
              <w:jc w:val="both"/>
            </w:pPr>
            <w:r>
              <w:rPr>
                <w:rFonts w:ascii="Times New Roman"/>
                <w:b w:val="false"/>
                <w:i w:val="false"/>
                <w:color w:val="000000"/>
                <w:sz w:val="20"/>
              </w:rPr>
              <w:t>
   5. Модуль СVI ПУР, подраздел "Особые аспекты применения в педиатрии"</w:t>
            </w:r>
          </w:p>
          <w:p>
            <w:pPr>
              <w:spacing w:after="20"/>
              <w:ind w:left="20"/>
              <w:jc w:val="both"/>
            </w:pPr>
            <w:r>
              <w:rPr>
                <w:rFonts w:ascii="Times New Roman"/>
                <w:b w:val="false"/>
                <w:i w:val="false"/>
                <w:color w:val="000000"/>
                <w:sz w:val="20"/>
              </w:rPr>
              <w:t>
   В данном подразделе рассматриваются аспекты использования лекарственных препаратов в педиатрии, не указанные в модуле СIV ПУР.</w:t>
            </w:r>
          </w:p>
          <w:p>
            <w:pPr>
              <w:spacing w:after="20"/>
              <w:ind w:left="20"/>
              <w:jc w:val="both"/>
            </w:pPr>
            <w:r>
              <w:rPr>
                <w:rFonts w:ascii="Times New Roman"/>
                <w:b w:val="false"/>
                <w:i w:val="false"/>
                <w:color w:val="000000"/>
                <w:sz w:val="20"/>
              </w:rPr>
              <w:t>
   1) Проблемы, выявленные в плане педиатрических исследований</w:t>
            </w:r>
          </w:p>
          <w:p>
            <w:pPr>
              <w:spacing w:after="20"/>
              <w:ind w:left="20"/>
              <w:jc w:val="both"/>
            </w:pPr>
            <w:r>
              <w:rPr>
                <w:rFonts w:ascii="Times New Roman"/>
                <w:b w:val="false"/>
                <w:i w:val="false"/>
                <w:color w:val="000000"/>
                <w:sz w:val="20"/>
              </w:rPr>
              <w:t>
   В подразделе указываются любые рекомендации по длительному последующему мониторингу безопасности и эффективности при применении у пациентов педиатрической популяции. В случае, если данный аспект более не является предметом опасений по безопасности, предоставляются соответствующее объяснение и обоснование.</w:t>
            </w:r>
          </w:p>
          <w:p>
            <w:pPr>
              <w:spacing w:after="20"/>
              <w:ind w:left="20"/>
              <w:jc w:val="both"/>
            </w:pPr>
            <w:r>
              <w:rPr>
                <w:rFonts w:ascii="Times New Roman"/>
                <w:b w:val="false"/>
                <w:i w:val="false"/>
                <w:color w:val="000000"/>
                <w:sz w:val="20"/>
              </w:rPr>
              <w:t xml:space="preserve">
   Предложения о проведении определенных долгосрочных педиатрических исследований (испытаний) рассматривается на момент подачи заявления на введение педиатрических показаний и, при наличии сомнений в отношении их необходимости, требуется представить соответствующие обоснования. </w:t>
            </w:r>
          </w:p>
          <w:p>
            <w:pPr>
              <w:spacing w:after="20"/>
              <w:ind w:left="20"/>
              <w:jc w:val="both"/>
            </w:pPr>
            <w:r>
              <w:rPr>
                <w:rFonts w:ascii="Times New Roman"/>
                <w:b w:val="false"/>
                <w:i w:val="false"/>
                <w:color w:val="000000"/>
                <w:sz w:val="20"/>
              </w:rPr>
              <w:t>
   2) Потенциал для педиатрического использования вне утвержденных показаний к применению</w:t>
            </w:r>
          </w:p>
          <w:p>
            <w:pPr>
              <w:spacing w:after="20"/>
              <w:ind w:left="20"/>
              <w:jc w:val="both"/>
            </w:pPr>
            <w:r>
              <w:rPr>
                <w:rFonts w:ascii="Times New Roman"/>
                <w:b w:val="false"/>
                <w:i w:val="false"/>
                <w:color w:val="000000"/>
                <w:sz w:val="20"/>
              </w:rPr>
              <w:t xml:space="preserve">
   Оценивается риск применения лекарственного препарата вне утвержденных показаний к применению у педиатрической популяции либо какой-либо ее части в случае если нозология, являющаяся одобренным показанием применения лекарственного препарата, встречается и в педиатрической популяции, но применение у последней не является одобренным. Все возможные фактические направления применения лекарственного препарата отражаются в разделе </w:t>
            </w:r>
            <w:r>
              <w:rPr>
                <w:rFonts w:ascii="Times New Roman"/>
                <w:b/>
                <w:i w:val="false"/>
                <w:color w:val="000000"/>
                <w:sz w:val="20"/>
              </w:rPr>
              <w:t>"</w:t>
            </w:r>
            <w:r>
              <w:rPr>
                <w:rFonts w:ascii="Times New Roman"/>
                <w:b w:val="false"/>
                <w:i w:val="false"/>
                <w:color w:val="000000"/>
                <w:sz w:val="20"/>
              </w:rPr>
              <w:t>Опыт пострегистрационного применения" (см. 6.2.5.2., модуль СV ПУР) и в подразделе "Результаты пострегистрационного применения у групп пациентов, не изученных в ходе клинических исследований" (см. 6.2.5.3., модуль СV ПУР) ПУР.</w:t>
            </w:r>
          </w:p>
          <w:p>
            <w:pPr>
              <w:spacing w:after="20"/>
              <w:ind w:left="20"/>
              <w:jc w:val="both"/>
            </w:pPr>
            <w:r>
              <w:rPr>
                <w:rFonts w:ascii="Times New Roman"/>
                <w:b w:val="false"/>
                <w:i w:val="false"/>
                <w:color w:val="000000"/>
                <w:sz w:val="20"/>
              </w:rPr>
              <w:t>
   6. Модуль СVI ПУР, подраздел "Прогнозируемое пострегистрационное использование"</w:t>
            </w:r>
          </w:p>
          <w:p>
            <w:pPr>
              <w:spacing w:after="20"/>
              <w:ind w:left="20"/>
              <w:jc w:val="both"/>
            </w:pPr>
            <w:r>
              <w:rPr>
                <w:rFonts w:ascii="Times New Roman"/>
                <w:b w:val="false"/>
                <w:i w:val="false"/>
                <w:color w:val="000000"/>
                <w:sz w:val="20"/>
              </w:rPr>
              <w:t>
   Для предрегистрационных ПУР или подаче заявления на введение значительных изменений в показания по медицинскому применению держатель регистрационного удостоверения предоставляет подробную информацию о прогнозируемом направлении применения, предполагаемом применении пациентами лекарственного препарата с течением времени, положении лекарственного препарата в терапевтическом арсенале.</w:t>
            </w:r>
          </w:p>
          <w:p>
            <w:pPr>
              <w:spacing w:after="20"/>
              <w:ind w:left="20"/>
              <w:jc w:val="both"/>
            </w:pPr>
            <w:r>
              <w:rPr>
                <w:rFonts w:ascii="Times New Roman"/>
                <w:b w:val="false"/>
                <w:i w:val="false"/>
                <w:color w:val="000000"/>
                <w:sz w:val="20"/>
              </w:rPr>
              <w:t>
   1) Потенциал для использования вне одобренных показаний к применению</w:t>
            </w:r>
          </w:p>
          <w:p>
            <w:pPr>
              <w:spacing w:after="20"/>
              <w:ind w:left="20"/>
              <w:jc w:val="both"/>
            </w:pPr>
            <w:r>
              <w:rPr>
                <w:rFonts w:ascii="Times New Roman"/>
                <w:b w:val="false"/>
                <w:i w:val="false"/>
                <w:color w:val="000000"/>
                <w:sz w:val="20"/>
              </w:rPr>
              <w:t xml:space="preserve">
   Осуществляется оценка потенциала для применения лекарственного препарата вне утвержденных показаний к применению. </w:t>
            </w:r>
          </w:p>
          <w:p>
            <w:pPr>
              <w:spacing w:after="20"/>
              <w:ind w:left="20"/>
              <w:jc w:val="both"/>
            </w:pPr>
            <w:r>
              <w:rPr>
                <w:rFonts w:ascii="Times New Roman"/>
                <w:b w:val="false"/>
                <w:i w:val="false"/>
                <w:color w:val="000000"/>
                <w:sz w:val="20"/>
              </w:rPr>
              <w:t>
   6.2.5.2.7. Модуль СVII ПУР "Идентифицированные и потенциальные риски"</w:t>
            </w:r>
          </w:p>
          <w:p>
            <w:pPr>
              <w:spacing w:after="20"/>
              <w:ind w:left="20"/>
              <w:jc w:val="both"/>
            </w:pPr>
            <w:r>
              <w:rPr>
                <w:rFonts w:ascii="Times New Roman"/>
                <w:b w:val="false"/>
                <w:i w:val="false"/>
                <w:color w:val="000000"/>
                <w:sz w:val="20"/>
              </w:rPr>
              <w:t xml:space="preserve">
   Данный модуль ПУР содержит информацию о важных идентифицированных и потенциальных рисках, связанных с использованием лекарственного препарата, включая информацию о выявленных и потенциальных нежелательных реакциях, выявленном и потенциальном взаимодействии с другими лекарственными препаратами, продуктами питания и другими веществами, а также о фармакологических классовых эффектах. </w:t>
            </w:r>
          </w:p>
          <w:p>
            <w:pPr>
              <w:spacing w:after="20"/>
              <w:ind w:left="20"/>
              <w:jc w:val="both"/>
            </w:pPr>
            <w:r>
              <w:rPr>
                <w:rFonts w:ascii="Times New Roman"/>
                <w:b w:val="false"/>
                <w:i w:val="false"/>
                <w:color w:val="000000"/>
                <w:sz w:val="20"/>
              </w:rPr>
              <w:t>
   1. Модуль СVII ПУР, подраздел "Новые идентифицированные риски"</w:t>
            </w:r>
          </w:p>
          <w:p>
            <w:pPr>
              <w:spacing w:after="20"/>
              <w:ind w:left="20"/>
              <w:jc w:val="both"/>
            </w:pPr>
            <w:r>
              <w:rPr>
                <w:rFonts w:ascii="Times New Roman"/>
                <w:b w:val="false"/>
                <w:i w:val="false"/>
                <w:color w:val="000000"/>
                <w:sz w:val="20"/>
              </w:rPr>
              <w:t>
   Проблемы по безопасности, выявленные со времени последнего представления ПУР, перечисляются в данном разделе и подробно оцениваются в соответствующем разделе ниже. В разделе указывается причинный фактор проблемы по безопасности; информация о том, является ли данный аспект риска важным идентифицированным или важным потенциальным риском; дается обоснование по возможным необходимым мерам минимизации рисков или новым специальным исследованиям (испытаниям) по данному аспекту риска.</w:t>
            </w:r>
          </w:p>
          <w:p>
            <w:pPr>
              <w:spacing w:after="20"/>
              <w:ind w:left="20"/>
              <w:jc w:val="both"/>
            </w:pPr>
            <w:r>
              <w:rPr>
                <w:rFonts w:ascii="Times New Roman"/>
                <w:b w:val="false"/>
                <w:i w:val="false"/>
                <w:color w:val="000000"/>
                <w:sz w:val="20"/>
              </w:rPr>
              <w:t>
   2. Модуль СVII ПУР, подраздел "Подробная информация о важных идентифицированных и важных потенциальных рисках"</w:t>
            </w:r>
          </w:p>
          <w:p>
            <w:pPr>
              <w:spacing w:after="20"/>
              <w:ind w:left="20"/>
              <w:jc w:val="both"/>
            </w:pPr>
            <w:r>
              <w:rPr>
                <w:rFonts w:ascii="Times New Roman"/>
                <w:b w:val="false"/>
                <w:i w:val="false"/>
                <w:color w:val="000000"/>
                <w:sz w:val="20"/>
              </w:rPr>
              <w:t>
   В разделе представляется подробная информация о наиболее важных идентифицированных и важных потенциальных рисках. Данный раздел является кратким и не представляет собой выборку данных из таблиц и списков нежелательных реакций, возникших в результате клинических исследований (испытаний), или предлагаемое или фактическое содержание раздела "Нежелательные реакции" инструкции по медицинскому применению.</w:t>
            </w:r>
          </w:p>
          <w:p>
            <w:pPr>
              <w:spacing w:after="20"/>
              <w:ind w:left="20"/>
              <w:jc w:val="both"/>
            </w:pPr>
            <w:r>
              <w:rPr>
                <w:rFonts w:ascii="Times New Roman"/>
                <w:b w:val="false"/>
                <w:i w:val="false"/>
                <w:color w:val="000000"/>
                <w:sz w:val="20"/>
              </w:rPr>
              <w:t xml:space="preserve">
   Понятие важного риска зависит от нескольких факторов, включая воздействие на отдельного пациента, серьезность риска и влияние на здоровье населения. Как правило, любой риск, включенный в противопоказания или предупреждения и меры предосторожности инструкции по медицинскому применению, включается в данный раздел. Взаимодействия, имеющие важное клиническое значение и важные фармакологические классовые эффекты, также включаются в данный раздел. Кроме того, риски, не являющиеся настолько серьезными и не требующие конкретных предупреждений или мер предосторожности, но вероятность возникновения которых возможна в отношении значительной части исследуемой группы населения, влияющие на качество жизни пациента, и ведущие к серьезным последствиям при отсутствии надлежащего лечения (в частности, сильная тошнота и рвота, связанная с химиотерапией или иной лекарственной терапией), рассматриваются на предмет включения в данный раздел. </w:t>
            </w:r>
          </w:p>
          <w:p>
            <w:pPr>
              <w:spacing w:after="20"/>
              <w:ind w:left="20"/>
              <w:jc w:val="both"/>
            </w:pPr>
            <w:r>
              <w:rPr>
                <w:rFonts w:ascii="Times New Roman"/>
                <w:b w:val="false"/>
                <w:i w:val="false"/>
                <w:color w:val="000000"/>
                <w:sz w:val="20"/>
              </w:rPr>
              <w:t>
   Для некоторых лекарственных препаратов рассматриваются риски, связанные с утилизацией использованного лекарственного препарата (в частности, для трансдермальных пластырей). Также возможны случаи возникновения экологической опасности при утилизации лекарственного препарата из-за известного пагубного воздействия на окружающую среду, в частности, вещества, являющиеся особенно опасными для водной флоры и фауны и которые не утилизируются на свалках.</w:t>
            </w:r>
          </w:p>
          <w:p>
            <w:pPr>
              <w:spacing w:after="20"/>
              <w:ind w:left="20"/>
              <w:jc w:val="both"/>
            </w:pPr>
            <w:r>
              <w:rPr>
                <w:rFonts w:ascii="Times New Roman"/>
                <w:b w:val="false"/>
                <w:i w:val="false"/>
                <w:color w:val="000000"/>
                <w:sz w:val="20"/>
              </w:rPr>
              <w:t>
   Представление данных о рисках:</w:t>
            </w:r>
          </w:p>
          <w:p>
            <w:pPr>
              <w:spacing w:after="20"/>
              <w:ind w:left="20"/>
              <w:jc w:val="both"/>
            </w:pPr>
            <w:r>
              <w:rPr>
                <w:rFonts w:ascii="Times New Roman"/>
                <w:b w:val="false"/>
                <w:i w:val="false"/>
                <w:color w:val="000000"/>
                <w:sz w:val="20"/>
              </w:rPr>
              <w:t>
   При наличии соответствующей информации подробные данные о рисках включают:</w:t>
            </w:r>
          </w:p>
          <w:p>
            <w:pPr>
              <w:spacing w:after="20"/>
              <w:ind w:left="20"/>
              <w:jc w:val="both"/>
            </w:pPr>
            <w:r>
              <w:rPr>
                <w:rFonts w:ascii="Times New Roman"/>
                <w:b w:val="false"/>
                <w:i w:val="false"/>
                <w:color w:val="000000"/>
                <w:sz w:val="20"/>
              </w:rPr>
              <w:t>
   1) частоту;</w:t>
            </w:r>
          </w:p>
          <w:p>
            <w:pPr>
              <w:spacing w:after="20"/>
              <w:ind w:left="20"/>
              <w:jc w:val="both"/>
            </w:pPr>
            <w:r>
              <w:rPr>
                <w:rFonts w:ascii="Times New Roman"/>
                <w:b w:val="false"/>
                <w:i w:val="false"/>
                <w:color w:val="000000"/>
                <w:sz w:val="20"/>
              </w:rPr>
              <w:t>
   2) воздействие на здоровье населения (тяжесть и серьезность-обратимость-исход);</w:t>
            </w:r>
          </w:p>
          <w:p>
            <w:pPr>
              <w:spacing w:after="20"/>
              <w:ind w:left="20"/>
              <w:jc w:val="both"/>
            </w:pPr>
            <w:r>
              <w:rPr>
                <w:rFonts w:ascii="Times New Roman"/>
                <w:b w:val="false"/>
                <w:i w:val="false"/>
                <w:color w:val="000000"/>
                <w:sz w:val="20"/>
              </w:rPr>
              <w:t>
   3) воздействие на отдельного пациента (влияние на качество жизни);</w:t>
            </w:r>
          </w:p>
          <w:p>
            <w:pPr>
              <w:spacing w:after="20"/>
              <w:ind w:left="20"/>
              <w:jc w:val="both"/>
            </w:pPr>
            <w:r>
              <w:rPr>
                <w:rFonts w:ascii="Times New Roman"/>
                <w:b w:val="false"/>
                <w:i w:val="false"/>
                <w:color w:val="000000"/>
                <w:sz w:val="20"/>
              </w:rPr>
              <w:t>
   4) факторы риска (в том числе факторы, касающиеся пациента, дозы, период риска, аддитивные или синергичные факторы);</w:t>
            </w:r>
          </w:p>
          <w:p>
            <w:pPr>
              <w:spacing w:after="20"/>
              <w:ind w:left="20"/>
              <w:jc w:val="both"/>
            </w:pPr>
            <w:r>
              <w:rPr>
                <w:rFonts w:ascii="Times New Roman"/>
                <w:b w:val="false"/>
                <w:i w:val="false"/>
                <w:color w:val="000000"/>
                <w:sz w:val="20"/>
              </w:rPr>
              <w:t>
   5) предотвратимость (т.е. предсказуемость, возможность предотвратить развитие или возможность выявления на начальном этап6);</w:t>
            </w:r>
          </w:p>
          <w:p>
            <w:pPr>
              <w:spacing w:after="20"/>
              <w:ind w:left="20"/>
              <w:jc w:val="both"/>
            </w:pPr>
            <w:r>
              <w:rPr>
                <w:rFonts w:ascii="Times New Roman"/>
                <w:b w:val="false"/>
                <w:i w:val="false"/>
                <w:color w:val="000000"/>
                <w:sz w:val="20"/>
              </w:rPr>
              <w:t>
   6) возможный механизм развития;</w:t>
            </w:r>
          </w:p>
          <w:p>
            <w:pPr>
              <w:spacing w:after="20"/>
              <w:ind w:left="20"/>
              <w:jc w:val="both"/>
            </w:pPr>
            <w:r>
              <w:rPr>
                <w:rFonts w:ascii="Times New Roman"/>
                <w:b w:val="false"/>
                <w:i w:val="false"/>
                <w:color w:val="000000"/>
                <w:sz w:val="20"/>
              </w:rPr>
              <w:t>
   7) источник данных и уровень доказательности.</w:t>
            </w:r>
          </w:p>
          <w:p>
            <w:pPr>
              <w:spacing w:after="20"/>
              <w:ind w:left="20"/>
              <w:jc w:val="both"/>
            </w:pPr>
            <w:r>
              <w:rPr>
                <w:rFonts w:ascii="Times New Roman"/>
                <w:b w:val="false"/>
                <w:i w:val="false"/>
                <w:color w:val="000000"/>
                <w:sz w:val="20"/>
              </w:rPr>
              <w:t>
   Данные по частоте развития приводятся с учетом и указанием источника данных по безопасности. Частота развития не оценивается на основании данных спонтанных сообщений, поскольку данный метод не позволяет выполнять оценку параметра частоты с требуемым уровнем достоверности. Если в отношении важных идентифицированных рисков необходимо вычислить точную частоту, то основываются на систематических исследованиях (в частности, клинические исследования (испытания) или эпидемиологические исследования), в которых известно точное число пациентов, подвергающихся воздействию лекарственного препарата, и количество пациентов, у которых отмечалось проявление соответствующего идентифицированного риска.</w:t>
            </w:r>
          </w:p>
          <w:p>
            <w:pPr>
              <w:spacing w:after="20"/>
              <w:ind w:left="20"/>
              <w:jc w:val="both"/>
            </w:pPr>
            <w:r>
              <w:rPr>
                <w:rFonts w:ascii="Times New Roman"/>
                <w:b w:val="false"/>
                <w:i w:val="false"/>
                <w:color w:val="000000"/>
                <w:sz w:val="20"/>
              </w:rPr>
              <w:t>
   Знаменатель выражается с использованием соответствующих единиц измерения: в частности, количество пациентов, пациенто-дней или эквивалентных единиц (курсы лечения, рецепты). Указывается используемый показатель частоты (в каких единицах измерения выражен знаменатель). Также указываются доверительные интервалы. При использовании единицы измерения "количество пациентов в установленный промежуток времени" основываются на предположении о том, что функция опасности является практически постоянной в течение последующего времени. В противном случае ее следует разбить на соответствующие категории, в рамках которых выполняется предположение о постоянстве. Это особенно важно, если длительность лечения представляет собой фактор риска. В случае необходимости определяется период наибольшего риска. Частота идентифицированного риска представляется для популяции в целом и для соответствующих популяционных подгрупп.</w:t>
            </w:r>
          </w:p>
          <w:p>
            <w:pPr>
              <w:spacing w:after="20"/>
              <w:ind w:left="20"/>
              <w:jc w:val="both"/>
            </w:pPr>
            <w:r>
              <w:rPr>
                <w:rFonts w:ascii="Times New Roman"/>
                <w:b w:val="false"/>
                <w:i w:val="false"/>
                <w:color w:val="000000"/>
                <w:sz w:val="20"/>
              </w:rPr>
              <w:t>
   В отношении важных идентифицированных рисков, представляется информация о превышении частоты развития таковых в группе сравнения. Обобщаются данные по времени до начала развития нежелательных событий с использованием методов оценки выживаемости. Используется функция совокупных рисков для представления данных по кумулятивной вероятности развития нежелательных реакций.</w:t>
            </w:r>
          </w:p>
          <w:p>
            <w:pPr>
              <w:spacing w:after="20"/>
              <w:ind w:left="20"/>
              <w:jc w:val="both"/>
            </w:pPr>
            <w:r>
              <w:rPr>
                <w:rFonts w:ascii="Times New Roman"/>
                <w:b w:val="false"/>
                <w:i w:val="false"/>
                <w:color w:val="000000"/>
                <w:sz w:val="20"/>
              </w:rPr>
              <w:t>
   В отношении потенциальных рисков предоставляются данные о базисной частоте (распространенности) в целевой популяции.</w:t>
            </w:r>
          </w:p>
          <w:p>
            <w:pPr>
              <w:spacing w:after="20"/>
              <w:ind w:left="20"/>
              <w:jc w:val="both"/>
            </w:pPr>
            <w:r>
              <w:rPr>
                <w:rFonts w:ascii="Times New Roman"/>
                <w:b w:val="false"/>
                <w:i w:val="false"/>
                <w:color w:val="000000"/>
                <w:sz w:val="20"/>
              </w:rPr>
              <w:t>
   Для большинства ПУР, включающих единичные лекарственные препараты, риски, касающиеся непосредственно показаний к применению или состава, как правило рассматриваются как отдельные проблемы по безопасности, в частности, случайное внутривенное введение представляет проблему по безопасности для отдельного лекарственного препарата как применительно к форме для перорального, так и подкожного введения.</w:t>
            </w:r>
          </w:p>
          <w:p>
            <w:pPr>
              <w:spacing w:after="20"/>
              <w:ind w:left="20"/>
              <w:jc w:val="both"/>
            </w:pPr>
            <w:r>
              <w:rPr>
                <w:rFonts w:ascii="Times New Roman"/>
                <w:b w:val="false"/>
                <w:i w:val="false"/>
                <w:color w:val="000000"/>
                <w:sz w:val="20"/>
              </w:rPr>
              <w:t>
   В отношении ПУР, распространяющихся на несколько лекарственных препаратов и имеющих значительные различия в отношении идентифицированных и потенциальных рисков, целесообразно классифицировать риски, чтобы показать, какой риск имеет отношение к какому лекарственному препарату. Рекомендуется рассмотреть следующие заголовки:</w:t>
            </w:r>
          </w:p>
          <w:p>
            <w:pPr>
              <w:spacing w:after="20"/>
              <w:ind w:left="20"/>
              <w:jc w:val="both"/>
            </w:pPr>
            <w:r>
              <w:rPr>
                <w:rFonts w:ascii="Times New Roman"/>
                <w:b w:val="false"/>
                <w:i w:val="false"/>
                <w:color w:val="000000"/>
                <w:sz w:val="20"/>
              </w:rPr>
              <w:t>
   1) Риски, связанные с действующим веществом</w:t>
            </w:r>
          </w:p>
          <w:p>
            <w:pPr>
              <w:spacing w:after="20"/>
              <w:ind w:left="20"/>
              <w:jc w:val="both"/>
            </w:pPr>
            <w:r>
              <w:rPr>
                <w:rFonts w:ascii="Times New Roman"/>
                <w:b w:val="false"/>
                <w:i w:val="false"/>
                <w:color w:val="000000"/>
                <w:sz w:val="20"/>
              </w:rPr>
              <w:t>
   В эту категорию входят важные идентифицированные или потенциальные риски, общие для всех составов лекарственных препаратов, способов введения и целевых групп населения. Вероятнее всего, в данную категорию попадет большинство рисков, характерных для большинства лекарственных препаратов.</w:t>
            </w:r>
          </w:p>
          <w:p>
            <w:pPr>
              <w:spacing w:after="20"/>
              <w:ind w:left="20"/>
              <w:jc w:val="both"/>
            </w:pPr>
            <w:r>
              <w:rPr>
                <w:rFonts w:ascii="Times New Roman"/>
                <w:b w:val="false"/>
                <w:i w:val="false"/>
                <w:color w:val="000000"/>
                <w:sz w:val="20"/>
              </w:rPr>
              <w:t>
   2) Риски, связанные с определенным составом или способом введения</w:t>
            </w:r>
          </w:p>
          <w:p>
            <w:pPr>
              <w:spacing w:after="20"/>
              <w:ind w:left="20"/>
              <w:jc w:val="both"/>
            </w:pPr>
            <w:r>
              <w:rPr>
                <w:rFonts w:ascii="Times New Roman"/>
                <w:b w:val="false"/>
                <w:i w:val="false"/>
                <w:color w:val="000000"/>
                <w:sz w:val="20"/>
              </w:rPr>
              <w:t>
   Примеры включают в себя ПУР с двумя лекарственными препаратами, в частности, форма для внутримышечного введения пролонгированного действия и форма для перорального введения. Дополнительные проблемы, касающиеся случайного внутривенного введения, очевидно, не будут касаться лекарственных препаратов для перорального введения.</w:t>
            </w:r>
          </w:p>
          <w:p>
            <w:pPr>
              <w:spacing w:after="20"/>
              <w:ind w:left="20"/>
              <w:jc w:val="both"/>
            </w:pPr>
            <w:r>
              <w:rPr>
                <w:rFonts w:ascii="Times New Roman"/>
                <w:b w:val="false"/>
                <w:i w:val="false"/>
                <w:color w:val="000000"/>
                <w:sz w:val="20"/>
              </w:rPr>
              <w:t>
   3) Риски, связанные с целевой популяцией</w:t>
            </w:r>
          </w:p>
          <w:p>
            <w:pPr>
              <w:spacing w:after="20"/>
              <w:ind w:left="20"/>
              <w:jc w:val="both"/>
            </w:pPr>
            <w:r>
              <w:rPr>
                <w:rFonts w:ascii="Times New Roman"/>
                <w:b w:val="false"/>
                <w:i w:val="false"/>
                <w:color w:val="000000"/>
                <w:sz w:val="20"/>
              </w:rPr>
              <w:t>
   Педиатрическая популяция представляет наиболее очевидный пример целевой популяции, в отношении которой возможно проявление дополнительных рисков, касающихся физического, психического и полового развития, что не применимо к лекарственному препарату, предназначенному исключительно для взрослых пациентов.</w:t>
            </w:r>
          </w:p>
          <w:p>
            <w:pPr>
              <w:spacing w:after="20"/>
              <w:ind w:left="20"/>
              <w:jc w:val="both"/>
            </w:pPr>
            <w:r>
              <w:rPr>
                <w:rFonts w:ascii="Times New Roman"/>
                <w:b w:val="false"/>
                <w:i w:val="false"/>
                <w:color w:val="000000"/>
                <w:sz w:val="20"/>
              </w:rPr>
              <w:t>
   4) Риски, связанные с переходом на отпуск лекарственного препарата без рецепта</w:t>
            </w:r>
          </w:p>
          <w:p>
            <w:pPr>
              <w:spacing w:after="20"/>
              <w:ind w:left="20"/>
              <w:jc w:val="both"/>
            </w:pPr>
            <w:r>
              <w:rPr>
                <w:rFonts w:ascii="Times New Roman"/>
                <w:b w:val="false"/>
                <w:i w:val="false"/>
                <w:color w:val="000000"/>
                <w:sz w:val="20"/>
              </w:rPr>
              <w:t>
   3. Модуль СVII ПУР, подраздел "Идентифицированные и потенциальные взаимодействия, включающие взаимодействия с другими лекарственными препаратами и продуктами питания"</w:t>
            </w:r>
          </w:p>
          <w:p>
            <w:pPr>
              <w:spacing w:after="20"/>
              <w:ind w:left="20"/>
              <w:jc w:val="both"/>
            </w:pPr>
            <w:r>
              <w:rPr>
                <w:rFonts w:ascii="Times New Roman"/>
                <w:b w:val="false"/>
                <w:i w:val="false"/>
                <w:color w:val="000000"/>
                <w:sz w:val="20"/>
              </w:rPr>
              <w:t>
   Идентифицированные и потенциальные фармакокинетические и фармакодинамические взаимодействия рассматриваются в отношении как схем лечения по одобренным показаниям к применению, так и в отношении наиболее часто используемых в целевой популяции лекарственных препаратов. Для каждого из них обобщаются имеющиеся данные и доказательная база, подтверждающая взаимодействие и возможный механизм. Дается оценка потенциальным рискам для здоровья, возникающим по различным показаниям и в различных группах населения. Взаимодействия, являющиеся клинически важными, включаются в раздел ПУР об идентифицированных и потенциальных рисках.</w:t>
            </w:r>
          </w:p>
          <w:p>
            <w:pPr>
              <w:spacing w:after="20"/>
              <w:ind w:left="20"/>
              <w:jc w:val="both"/>
            </w:pPr>
            <w:r>
              <w:rPr>
                <w:rFonts w:ascii="Times New Roman"/>
                <w:b w:val="false"/>
                <w:i w:val="false"/>
                <w:color w:val="000000"/>
                <w:sz w:val="20"/>
              </w:rPr>
              <w:t>
   4. Модуль СVII ПУР, подраздел "Фармакологические классовые эффекты"</w:t>
            </w:r>
          </w:p>
          <w:p>
            <w:pPr>
              <w:spacing w:after="20"/>
              <w:ind w:left="20"/>
              <w:jc w:val="both"/>
            </w:pPr>
            <w:r>
              <w:rPr>
                <w:rFonts w:ascii="Times New Roman"/>
                <w:b w:val="false"/>
                <w:i w:val="false"/>
                <w:color w:val="000000"/>
                <w:sz w:val="20"/>
              </w:rPr>
              <w:t>
   В разделе дается характеристика и оценка важных рисков, свойственных для фармакологического класса. Оценивается соотнесение частоты развития нежелательных реакций при применении лекарственного препарата с частотой, характерной для других лекарственных препаратов данной фармакологической группы.</w:t>
            </w:r>
          </w:p>
          <w:p>
            <w:pPr>
              <w:spacing w:after="20"/>
              <w:ind w:left="20"/>
              <w:jc w:val="both"/>
            </w:pPr>
            <w:r>
              <w:rPr>
                <w:rFonts w:ascii="Times New Roman"/>
                <w:b w:val="false"/>
                <w:i w:val="false"/>
                <w:color w:val="000000"/>
                <w:sz w:val="20"/>
              </w:rPr>
              <w:t>
   Если риск, возникновение которого является общим для других лекарственных препаратов фармакологического класса, не считается проблемой по безопасности в отношении лекарственного препарата, и, следовательно, не включается в перечень идентифицированных и потенциальных рисков, в подразделе представляются подтверждающие доказательства.</w:t>
            </w:r>
          </w:p>
          <w:p>
            <w:pPr>
              <w:spacing w:after="20"/>
              <w:ind w:left="20"/>
              <w:jc w:val="both"/>
            </w:pPr>
            <w:r>
              <w:rPr>
                <w:rFonts w:ascii="Times New Roman"/>
                <w:b w:val="false"/>
                <w:i w:val="false"/>
                <w:color w:val="000000"/>
                <w:sz w:val="20"/>
              </w:rPr>
              <w:t>
   6.2.5.2.8. Модуль СVIII ПУР "Обобщенная информация по проблемам безопасности"</w:t>
            </w:r>
          </w:p>
          <w:p>
            <w:pPr>
              <w:spacing w:after="20"/>
              <w:ind w:left="20"/>
              <w:jc w:val="both"/>
            </w:pPr>
            <w:r>
              <w:rPr>
                <w:rFonts w:ascii="Times New Roman"/>
                <w:b w:val="false"/>
                <w:i w:val="false"/>
                <w:color w:val="000000"/>
                <w:sz w:val="20"/>
              </w:rPr>
              <w:t>
   В разделе указывается обобщенная информация по определяемым проблемам по безопасности.</w:t>
            </w:r>
          </w:p>
          <w:p>
            <w:pPr>
              <w:spacing w:after="20"/>
              <w:ind w:left="20"/>
              <w:jc w:val="both"/>
            </w:pPr>
            <w:r>
              <w:rPr>
                <w:rFonts w:ascii="Times New Roman"/>
                <w:b w:val="false"/>
                <w:i w:val="false"/>
                <w:color w:val="000000"/>
                <w:sz w:val="20"/>
              </w:rPr>
              <w:t>
   Проблемами по безопасности являются:</w:t>
            </w:r>
          </w:p>
          <w:p>
            <w:pPr>
              <w:spacing w:after="20"/>
              <w:ind w:left="20"/>
              <w:jc w:val="both"/>
            </w:pPr>
            <w:r>
              <w:rPr>
                <w:rFonts w:ascii="Times New Roman"/>
                <w:b w:val="false"/>
                <w:i w:val="false"/>
                <w:color w:val="000000"/>
                <w:sz w:val="20"/>
              </w:rPr>
              <w:t>
   1) важный идентифицированный риск;</w:t>
            </w:r>
          </w:p>
          <w:p>
            <w:pPr>
              <w:spacing w:after="20"/>
              <w:ind w:left="20"/>
              <w:jc w:val="both"/>
            </w:pPr>
            <w:r>
              <w:rPr>
                <w:rFonts w:ascii="Times New Roman"/>
                <w:b w:val="false"/>
                <w:i w:val="false"/>
                <w:color w:val="000000"/>
                <w:sz w:val="20"/>
              </w:rPr>
              <w:t>
   2) важный потенциальный риск; или</w:t>
            </w:r>
          </w:p>
          <w:p>
            <w:pPr>
              <w:spacing w:after="20"/>
              <w:ind w:left="20"/>
              <w:jc w:val="both"/>
            </w:pPr>
            <w:r>
              <w:rPr>
                <w:rFonts w:ascii="Times New Roman"/>
                <w:b w:val="false"/>
                <w:i w:val="false"/>
                <w:color w:val="000000"/>
                <w:sz w:val="20"/>
              </w:rPr>
              <w:t>
   3) важная отсутствующая информация.</w:t>
            </w:r>
          </w:p>
          <w:p>
            <w:pPr>
              <w:spacing w:after="20"/>
              <w:ind w:left="20"/>
              <w:jc w:val="both"/>
            </w:pPr>
            <w:r>
              <w:rPr>
                <w:rFonts w:ascii="Times New Roman"/>
                <w:b w:val="false"/>
                <w:i w:val="false"/>
                <w:color w:val="000000"/>
                <w:sz w:val="20"/>
              </w:rPr>
              <w:t>
   В случае, если ПУР включает несколько лекарственных препаратов, целесообразным в данном разделе является разделение обобщающей информации по проблемам по безопасности на подгруппы (аналогично представлению данных в модуле СVII ПУР), при этом используется следующий подход по разделению:</w:t>
            </w:r>
          </w:p>
          <w:p>
            <w:pPr>
              <w:spacing w:after="20"/>
              <w:ind w:left="20"/>
              <w:jc w:val="both"/>
            </w:pPr>
            <w:r>
              <w:rPr>
                <w:rFonts w:ascii="Times New Roman"/>
                <w:b w:val="false"/>
                <w:i w:val="false"/>
                <w:color w:val="000000"/>
                <w:sz w:val="20"/>
              </w:rPr>
              <w:t>
   1) проблемы по безопасности, связанные с действующим веществом;</w:t>
            </w:r>
          </w:p>
          <w:p>
            <w:pPr>
              <w:spacing w:after="20"/>
              <w:ind w:left="20"/>
              <w:jc w:val="both"/>
            </w:pPr>
            <w:r>
              <w:rPr>
                <w:rFonts w:ascii="Times New Roman"/>
                <w:b w:val="false"/>
                <w:i w:val="false"/>
                <w:color w:val="000000"/>
                <w:sz w:val="20"/>
              </w:rPr>
              <w:t>
   2) проблемы по безопасности, связанные с определенным составом или способом введения;</w:t>
            </w:r>
          </w:p>
          <w:p>
            <w:pPr>
              <w:spacing w:after="20"/>
              <w:ind w:left="20"/>
              <w:jc w:val="both"/>
            </w:pPr>
            <w:r>
              <w:rPr>
                <w:rFonts w:ascii="Times New Roman"/>
                <w:b w:val="false"/>
                <w:i w:val="false"/>
                <w:color w:val="000000"/>
                <w:sz w:val="20"/>
              </w:rPr>
              <w:t>
   3) проблемы по безопасности, связанные с целевой популяцией;</w:t>
            </w:r>
          </w:p>
          <w:p>
            <w:pPr>
              <w:spacing w:after="20"/>
              <w:ind w:left="20"/>
              <w:jc w:val="both"/>
            </w:pPr>
            <w:r>
              <w:rPr>
                <w:rFonts w:ascii="Times New Roman"/>
                <w:b w:val="false"/>
                <w:i w:val="false"/>
                <w:color w:val="000000"/>
                <w:sz w:val="20"/>
              </w:rPr>
              <w:t>
   4) проблемы по безопасности, связанные с переходом на отпуск лекарственного препарата без рецепта.</w:t>
            </w:r>
          </w:p>
          <w:p>
            <w:pPr>
              <w:spacing w:after="20"/>
              <w:ind w:left="20"/>
              <w:jc w:val="both"/>
            </w:pPr>
            <w:r>
              <w:rPr>
                <w:rFonts w:ascii="Times New Roman"/>
                <w:b w:val="false"/>
                <w:i w:val="false"/>
                <w:color w:val="000000"/>
                <w:sz w:val="20"/>
              </w:rPr>
              <w:t>
   6.2.5.3. Часть III ПУР "План по фармаконадзору"</w:t>
            </w:r>
          </w:p>
          <w:p>
            <w:pPr>
              <w:spacing w:after="20"/>
              <w:ind w:left="20"/>
              <w:jc w:val="both"/>
            </w:pPr>
            <w:r>
              <w:rPr>
                <w:rFonts w:ascii="Times New Roman"/>
                <w:b w:val="false"/>
                <w:i w:val="false"/>
                <w:color w:val="000000"/>
                <w:sz w:val="20"/>
              </w:rPr>
              <w:t>
   Целью плана фармаконадзора является определение того, каким образом держатель регистрационного удостоверения планирует далее выявлять и (или) характеризовать риски, указанные в требованиях безопасности. План по фармаконадзору представляет структурированный план с целью:</w:t>
            </w:r>
          </w:p>
          <w:p>
            <w:pPr>
              <w:spacing w:after="20"/>
              <w:ind w:left="20"/>
              <w:jc w:val="both"/>
            </w:pPr>
            <w:r>
              <w:rPr>
                <w:rFonts w:ascii="Times New Roman"/>
                <w:b w:val="false"/>
                <w:i w:val="false"/>
                <w:color w:val="000000"/>
                <w:sz w:val="20"/>
              </w:rPr>
              <w:t>
   1) выявления новых проблем по безопасности;</w:t>
            </w:r>
          </w:p>
          <w:p>
            <w:pPr>
              <w:spacing w:after="20"/>
              <w:ind w:left="20"/>
              <w:jc w:val="both"/>
            </w:pPr>
            <w:r>
              <w:rPr>
                <w:rFonts w:ascii="Times New Roman"/>
                <w:b w:val="false"/>
                <w:i w:val="false"/>
                <w:color w:val="000000"/>
                <w:sz w:val="20"/>
              </w:rPr>
              <w:t>
   2) дальнейшей характеристики известных проблем по безопасности, включая определение факторов риска;</w:t>
            </w:r>
          </w:p>
          <w:p>
            <w:pPr>
              <w:spacing w:after="20"/>
              <w:ind w:left="20"/>
              <w:jc w:val="both"/>
            </w:pPr>
            <w:r>
              <w:rPr>
                <w:rFonts w:ascii="Times New Roman"/>
                <w:b w:val="false"/>
                <w:i w:val="false"/>
                <w:color w:val="000000"/>
                <w:sz w:val="20"/>
              </w:rPr>
              <w:t>
   3) исследования действительного наличия потенциальных проблем по безопасности;</w:t>
            </w:r>
          </w:p>
          <w:p>
            <w:pPr>
              <w:spacing w:after="20"/>
              <w:ind w:left="20"/>
              <w:jc w:val="both"/>
            </w:pPr>
            <w:r>
              <w:rPr>
                <w:rFonts w:ascii="Times New Roman"/>
                <w:b w:val="false"/>
                <w:i w:val="false"/>
                <w:color w:val="000000"/>
                <w:sz w:val="20"/>
              </w:rPr>
              <w:t>
   4) определения методов получения важной отсутствующей информации.</w:t>
            </w:r>
          </w:p>
          <w:p>
            <w:pPr>
              <w:spacing w:after="20"/>
              <w:ind w:left="20"/>
              <w:jc w:val="both"/>
            </w:pPr>
            <w:r>
              <w:rPr>
                <w:rFonts w:ascii="Times New Roman"/>
                <w:b w:val="false"/>
                <w:i w:val="false"/>
                <w:color w:val="000000"/>
                <w:sz w:val="20"/>
              </w:rPr>
              <w:t xml:space="preserve">
   План фармаконадзора основывается на проблемах по безопасности, обобщенных в модуле СVII ПУР "Спецификации по безопасности". </w:t>
            </w:r>
          </w:p>
          <w:p>
            <w:pPr>
              <w:spacing w:after="20"/>
              <w:ind w:left="20"/>
              <w:jc w:val="both"/>
            </w:pPr>
            <w:r>
              <w:rPr>
                <w:rFonts w:ascii="Times New Roman"/>
                <w:b w:val="false"/>
                <w:i w:val="false"/>
                <w:color w:val="000000"/>
                <w:sz w:val="20"/>
              </w:rPr>
              <w:t>
   Деятельность по фармаконадзору подразделяется на рутинные мероприятия по фармаконадзору и дополнительные мероприятия по фармаконадзору. В отношении каждой проблемы по безопасности держатель регистрационного удостоверения перечисляет запланированные со своей стороны мероприятия по фармаконадзору. Планы фармаконадзора являются соразмерными рискам лекарственного препарата. Если рутинные мероприятия по фармаконадзору обоснованно оцениваются как достаточные для обеспечения надлежащего пострегистрационного мониторинга безопасности и не требуют дополнительных действий (в частности, исследований безопасности), то основываются на "рутинном фармаконадзоре", направленном на дальнейшую работу с проблемами по безопасности.</w:t>
            </w:r>
          </w:p>
          <w:p>
            <w:pPr>
              <w:spacing w:after="20"/>
              <w:ind w:left="20"/>
              <w:jc w:val="both"/>
            </w:pPr>
            <w:r>
              <w:rPr>
                <w:rFonts w:ascii="Times New Roman"/>
                <w:b w:val="false"/>
                <w:i w:val="false"/>
                <w:color w:val="000000"/>
                <w:sz w:val="20"/>
              </w:rPr>
              <w:t>
   6.2.5.3.1. Часть III ПУР, раздел "Рутинные мероприятия по фармаконадзору"</w:t>
            </w:r>
          </w:p>
          <w:p>
            <w:pPr>
              <w:spacing w:after="20"/>
              <w:ind w:left="20"/>
              <w:jc w:val="both"/>
            </w:pPr>
            <w:r>
              <w:rPr>
                <w:rFonts w:ascii="Times New Roman"/>
                <w:b w:val="false"/>
                <w:i w:val="false"/>
                <w:color w:val="000000"/>
                <w:sz w:val="20"/>
              </w:rPr>
              <w:t>
   Рутинные мероприятия по фармаконадзору представляют комплекс мероприятий, регулярно проводимых держателем регистрационного удостоверения с целью обеспечения выполнения требований действующего законодательства по фармаконадзору Республики Казахстан. Мастер-файл системы фармаконадзора содержит подробную информацию о системах и процессах, реализуемых держателем регистрационного удостоверения для достижения указанной цели, данная информация не дублируется в ПУР.</w:t>
            </w:r>
          </w:p>
          <w:p>
            <w:pPr>
              <w:spacing w:after="20"/>
              <w:ind w:left="20"/>
              <w:jc w:val="both"/>
            </w:pPr>
            <w:r>
              <w:rPr>
                <w:rFonts w:ascii="Times New Roman"/>
                <w:b w:val="false"/>
                <w:i w:val="false"/>
                <w:color w:val="000000"/>
                <w:sz w:val="20"/>
              </w:rPr>
              <w:t>
   Уполномоченным органом осуществляется рекомендация держателю регистрационного удостоверения в отношении изменения действующих процедур сбора, верификации, оценки и представления информации о нежелательных реакциях, полученных в рамках спонтанного репортирования. В этом случае в данном разделе держатель регистрационного удостоверения приводит пояснение по изменениям в рутинной деятельности по фармаконадзору, внесенных согласно рекомендациям уполномоченного органа.</w:t>
            </w:r>
          </w:p>
          <w:p>
            <w:pPr>
              <w:spacing w:after="20"/>
              <w:ind w:left="20"/>
              <w:jc w:val="both"/>
            </w:pPr>
            <w:r>
              <w:rPr>
                <w:rFonts w:ascii="Times New Roman"/>
                <w:b w:val="false"/>
                <w:i w:val="false"/>
                <w:color w:val="000000"/>
                <w:sz w:val="20"/>
              </w:rPr>
              <w:t>
   Специальные опросники по последующему наблюдению за нежелательными реакциями</w:t>
            </w:r>
          </w:p>
          <w:p>
            <w:pPr>
              <w:spacing w:after="20"/>
              <w:ind w:left="20"/>
              <w:jc w:val="both"/>
            </w:pPr>
            <w:r>
              <w:rPr>
                <w:rFonts w:ascii="Times New Roman"/>
                <w:b w:val="false"/>
                <w:i w:val="false"/>
                <w:color w:val="000000"/>
                <w:sz w:val="20"/>
              </w:rPr>
              <w:t>
   Если от держателя регистрационного удостоверения требуется составить или же он планирует использовать специальные опросники для получения структурированной информации о выявленных нежелательных реакциях, представляющих особый интерес, в приложении 6 ПУР представляются копии данных опросников. Использование специальных опросников в качестве последующего наблюдения за репортируемыми подозреваемыми нежелательными реакциями причисляется к мерам рутинного фармаконадзора.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6.2.5.3.2. Часть III ПУР, раздел "Дополнительные мероприятия по фармаконадзору"</w:t>
            </w:r>
          </w:p>
          <w:p>
            <w:pPr>
              <w:spacing w:after="20"/>
              <w:ind w:left="20"/>
              <w:jc w:val="both"/>
            </w:pPr>
            <w:r>
              <w:rPr>
                <w:rFonts w:ascii="Times New Roman"/>
                <w:b w:val="false"/>
                <w:i w:val="false"/>
                <w:color w:val="000000"/>
                <w:sz w:val="20"/>
              </w:rPr>
              <w:t xml:space="preserve">
   Держатель регистрационного удостоверения оценивает ситуации, требующих принятия дополнительных мер по фармаконадзору по причине невозможности достижения цели по надлежащей оценке (изучению) риска при помощи рутинных методов фармаконадзора. </w:t>
            </w:r>
          </w:p>
          <w:p>
            <w:pPr>
              <w:spacing w:after="20"/>
              <w:ind w:left="20"/>
              <w:jc w:val="both"/>
            </w:pPr>
            <w:r>
              <w:rPr>
                <w:rFonts w:ascii="Times New Roman"/>
                <w:b w:val="false"/>
                <w:i w:val="false"/>
                <w:color w:val="000000"/>
                <w:sz w:val="20"/>
              </w:rPr>
              <w:t>
   Цели дополнительных мероприятия по фармаконадзору, как правило, различаются в зависимости от проблем по безопасности, на которые они направлены. Исследования в рамках плана фармаконадзора связываются с проблемами по безопасности, обозначенными в спецификации по безопасности, вне зависимости от того, нацелены ли исследования на выявление и характеристику рисков или на оценку эффективности мероприятий по минимизации рисков. Держатель регистрационного удостоверения включает сюда все исследования (испытания), направленные на изучение (оценку) проблем по безопасности, а также исследования (испытания), предоставляющую полезную информацию о безопасности, хотя при этом оцениваемые в рамках ПУР проблемы по безопасности могут не входить в число приоритетов исследования. Это включает в себя ПРИБ, исследования в области фармакоэпидемиологии, фармакокинетические исследования, клинические исследования (испытания) или дополнительные доклинические исследования. При проведении данных исследований (испытаний) придерживаются требований соответствующих руководств и действующего законодательства Республики Казахстан.</w:t>
            </w:r>
          </w:p>
          <w:p>
            <w:pPr>
              <w:spacing w:after="20"/>
              <w:ind w:left="20"/>
              <w:jc w:val="both"/>
            </w:pPr>
            <w:r>
              <w:rPr>
                <w:rFonts w:ascii="Times New Roman"/>
                <w:b w:val="false"/>
                <w:i w:val="false"/>
                <w:color w:val="000000"/>
                <w:sz w:val="20"/>
              </w:rPr>
              <w:t>
   Протоколы исследований (испытаний) в рамках плана по фармаконадзору представляются в приложении к ПУР.</w:t>
            </w:r>
          </w:p>
          <w:p>
            <w:pPr>
              <w:spacing w:after="20"/>
              <w:ind w:left="20"/>
              <w:jc w:val="both"/>
            </w:pPr>
            <w:r>
              <w:rPr>
                <w:rFonts w:ascii="Times New Roman"/>
                <w:b w:val="false"/>
                <w:i w:val="false"/>
                <w:color w:val="000000"/>
                <w:sz w:val="20"/>
              </w:rPr>
              <w:t>
   Резюме отчетов по результатам исследований (испытаний), выполненных в рамках дополнительных мероприятий по фармаконадзору, включаются в приложение к ПУР. Влияние новых данных на соотношение польза-риск лекарственного препарата тщательно оценивается и спецификация по безопасности, план по фармаконадзору и план по минимизации рисков дорабатываются соответствующим образом с учетом полученных данных по безопасности.</w:t>
            </w:r>
          </w:p>
          <w:p>
            <w:pPr>
              <w:spacing w:after="20"/>
              <w:ind w:left="20"/>
              <w:jc w:val="both"/>
            </w:pPr>
            <w:r>
              <w:rPr>
                <w:rFonts w:ascii="Times New Roman"/>
                <w:b w:val="false"/>
                <w:i w:val="false"/>
                <w:color w:val="000000"/>
                <w:sz w:val="20"/>
              </w:rPr>
              <w:t>
   Особые ситуации по ПРИБ</w:t>
            </w:r>
          </w:p>
          <w:p>
            <w:pPr>
              <w:spacing w:after="20"/>
              <w:ind w:left="20"/>
              <w:jc w:val="both"/>
            </w:pPr>
            <w:r>
              <w:rPr>
                <w:rFonts w:ascii="Times New Roman"/>
                <w:b w:val="false"/>
                <w:i w:val="false"/>
                <w:color w:val="000000"/>
                <w:sz w:val="20"/>
              </w:rPr>
              <w:t>
   Исследования, изучающие эффективность мер по минимизации рисков, включают в план фармаконадзора вместе с особыми факторами опасности и подробно описывают в плане по минимизации рисков.</w:t>
            </w:r>
          </w:p>
          <w:p>
            <w:pPr>
              <w:spacing w:after="20"/>
              <w:ind w:left="20"/>
              <w:jc w:val="both"/>
            </w:pPr>
            <w:r>
              <w:rPr>
                <w:rFonts w:ascii="Times New Roman"/>
                <w:b w:val="false"/>
                <w:i w:val="false"/>
                <w:color w:val="000000"/>
                <w:sz w:val="20"/>
              </w:rPr>
              <w:t>
   1) Исследования использования лекарственных препаратов</w:t>
            </w:r>
          </w:p>
          <w:p>
            <w:pPr>
              <w:spacing w:after="20"/>
              <w:ind w:left="20"/>
              <w:jc w:val="both"/>
            </w:pPr>
            <w:r>
              <w:rPr>
                <w:rFonts w:ascii="Times New Roman"/>
                <w:b w:val="false"/>
                <w:i w:val="false"/>
                <w:color w:val="000000"/>
                <w:sz w:val="20"/>
              </w:rPr>
              <w:t xml:space="preserve">
   Исследования использования лекарственных препаратов проводятся по требованию уполномоченного органа с целью мониторинга использования лекарственных препаратов на территории Республики Казахстан, часто в связи с оценкой механизмов компенсации государством населению средств, затрачиваемых на приобретение лекарственных препаратов. Данный тип исследований непосредственно не предназначается для изучения аспектов безопасности лекарственных препаратов, но имеет возможность предоставления полезной информации об эффективности мероприятий по минимизации рисков и демографии целевых групп населения. </w:t>
            </w:r>
          </w:p>
          <w:p>
            <w:pPr>
              <w:spacing w:after="20"/>
              <w:ind w:left="20"/>
              <w:jc w:val="both"/>
            </w:pPr>
            <w:r>
              <w:rPr>
                <w:rFonts w:ascii="Times New Roman"/>
                <w:b w:val="false"/>
                <w:i w:val="false"/>
                <w:color w:val="000000"/>
                <w:sz w:val="20"/>
              </w:rPr>
              <w:t>
   2) Совместные исследования</w:t>
            </w:r>
          </w:p>
          <w:p>
            <w:pPr>
              <w:spacing w:after="20"/>
              <w:ind w:left="20"/>
              <w:jc w:val="both"/>
            </w:pPr>
            <w:r>
              <w:rPr>
                <w:rFonts w:ascii="Times New Roman"/>
                <w:b w:val="false"/>
                <w:i w:val="false"/>
                <w:color w:val="000000"/>
                <w:sz w:val="20"/>
              </w:rPr>
              <w:t xml:space="preserve">
   Если проблема по безопасности распространяется более чем на один лекарственный препарат (либо на одно действующее вещество приходится несколько держателей регистрационного удостоверения), уполномоченный орган рекомендует держателям регистрационного удостоверения проводить совместное ПРИБ. Проведение совместных исследований является необходимым в случаях, когда количество пациентов ограничено (редкие заболевания) или неблагоприятные реакции наблюдаются редко. Уполномоченный орган способствует соглашению заинтересованных держателей регистрационного удостоверения разработать единый протокол для ПРИБ и совместно проводить исследование. Если в течение разумного периода времени, определенного уполномоченным органом, заинтересованные держатели регистрационных удостоверений не пришли к соглашению о создании единого протокола, уполномоченный орган назначает проведение ПРИБ и определяет либо общий основной протокол или ключевые элементы протокола, необходимый для соблюдения держателями регистрационного удостоверения в требуемые сроки. </w:t>
            </w:r>
          </w:p>
          <w:p>
            <w:pPr>
              <w:spacing w:after="20"/>
              <w:ind w:left="20"/>
              <w:jc w:val="both"/>
            </w:pPr>
            <w:r>
              <w:rPr>
                <w:rFonts w:ascii="Times New Roman"/>
                <w:b w:val="false"/>
                <w:i w:val="false"/>
                <w:color w:val="000000"/>
                <w:sz w:val="20"/>
              </w:rPr>
              <w:t>
   3) Регистр</w:t>
            </w:r>
          </w:p>
          <w:p>
            <w:pPr>
              <w:spacing w:after="20"/>
              <w:ind w:left="20"/>
              <w:jc w:val="both"/>
            </w:pPr>
            <w:r>
              <w:rPr>
                <w:rFonts w:ascii="Times New Roman"/>
                <w:b w:val="false"/>
                <w:i w:val="false"/>
                <w:color w:val="000000"/>
                <w:sz w:val="20"/>
              </w:rPr>
              <w:t xml:space="preserve">
   Регистр представляет вид проспективных неинтервенционных когортных исследований. Рекомендуется предусмотреть в регистре включение группы сравнения, в связи с чем регистр заболеваний окажется более предпочтительным, чем регистр, ограниченный определенным лекарственным препаратом. Протокол регистра предусматривает внесение в реестр данных по пациентам, имеющих выписанные соответствующие лекарственные препараты или одно и то же заболевание. </w:t>
            </w:r>
          </w:p>
          <w:p>
            <w:pPr>
              <w:spacing w:after="20"/>
              <w:ind w:left="20"/>
              <w:jc w:val="both"/>
            </w:pPr>
            <w:r>
              <w:rPr>
                <w:rFonts w:ascii="Times New Roman"/>
                <w:b w:val="false"/>
                <w:i w:val="false"/>
                <w:color w:val="000000"/>
                <w:sz w:val="20"/>
              </w:rPr>
              <w:t>
   6.2.5.3.3. Часть III ПУР, раздел "Планы действий по дополнительным требованиями по фармаконадзору в отношении проблем по безопасности"</w:t>
            </w:r>
          </w:p>
          <w:p>
            <w:pPr>
              <w:spacing w:after="20"/>
              <w:ind w:left="20"/>
              <w:jc w:val="both"/>
            </w:pPr>
            <w:r>
              <w:rPr>
                <w:rFonts w:ascii="Times New Roman"/>
                <w:b w:val="false"/>
                <w:i w:val="false"/>
                <w:color w:val="000000"/>
                <w:sz w:val="20"/>
              </w:rPr>
              <w:t>
   При наличии дополнительных мероприятий по фармаконадзору, план действий в отношении каждой проблемы по безопасности представляется в соответствии со следующей структурой:</w:t>
            </w:r>
          </w:p>
          <w:p>
            <w:pPr>
              <w:spacing w:after="20"/>
              <w:ind w:left="20"/>
              <w:jc w:val="both"/>
            </w:pPr>
            <w:r>
              <w:rPr>
                <w:rFonts w:ascii="Times New Roman"/>
                <w:b w:val="false"/>
                <w:i w:val="false"/>
                <w:color w:val="000000"/>
                <w:sz w:val="20"/>
              </w:rPr>
              <w:t>
   1) проблема по безопасности;</w:t>
            </w:r>
          </w:p>
          <w:p>
            <w:pPr>
              <w:spacing w:after="20"/>
              <w:ind w:left="20"/>
              <w:jc w:val="both"/>
            </w:pPr>
            <w:r>
              <w:rPr>
                <w:rFonts w:ascii="Times New Roman"/>
                <w:b w:val="false"/>
                <w:i w:val="false"/>
                <w:color w:val="000000"/>
                <w:sz w:val="20"/>
              </w:rPr>
              <w:t>
   2) цель предлагаемого действия;</w:t>
            </w:r>
          </w:p>
          <w:p>
            <w:pPr>
              <w:spacing w:after="20"/>
              <w:ind w:left="20"/>
              <w:jc w:val="both"/>
            </w:pPr>
            <w:r>
              <w:rPr>
                <w:rFonts w:ascii="Times New Roman"/>
                <w:b w:val="false"/>
                <w:i w:val="false"/>
                <w:color w:val="000000"/>
                <w:sz w:val="20"/>
              </w:rPr>
              <w:t>
   3) предлагаемое действие;</w:t>
            </w:r>
          </w:p>
          <w:p>
            <w:pPr>
              <w:spacing w:after="20"/>
              <w:ind w:left="20"/>
              <w:jc w:val="both"/>
            </w:pPr>
            <w:r>
              <w:rPr>
                <w:rFonts w:ascii="Times New Roman"/>
                <w:b w:val="false"/>
                <w:i w:val="false"/>
                <w:color w:val="000000"/>
                <w:sz w:val="20"/>
              </w:rPr>
              <w:t>
   4) основные этапы оценки и отчетности.</w:t>
            </w:r>
          </w:p>
          <w:p>
            <w:pPr>
              <w:spacing w:after="20"/>
              <w:ind w:left="20"/>
              <w:jc w:val="both"/>
            </w:pPr>
            <w:r>
              <w:rPr>
                <w:rFonts w:ascii="Times New Roman"/>
                <w:b w:val="false"/>
                <w:i w:val="false"/>
                <w:color w:val="000000"/>
                <w:sz w:val="20"/>
              </w:rPr>
              <w:t xml:space="preserve">
   Одной из составляющих мер, предлагаемых в отношении каждой проблемы по безопасности, всегда окажется "рутинный фармаконадзор". Помимо перечисления дополнительных мероприятий в пункте "Предлагаемое действие", в приложении 5 ПУР представляются протоколы (проект или другой документ) для проведения любых исследований. </w:t>
            </w:r>
          </w:p>
          <w:p>
            <w:pPr>
              <w:spacing w:after="20"/>
              <w:ind w:left="20"/>
              <w:jc w:val="both"/>
            </w:pPr>
            <w:r>
              <w:rPr>
                <w:rFonts w:ascii="Times New Roman"/>
                <w:b w:val="false"/>
                <w:i w:val="false"/>
                <w:color w:val="000000"/>
                <w:sz w:val="20"/>
              </w:rPr>
              <w:t>
   6.2.5.3.4. Часть III ПУР, раздел "Сводная таблица по дополнительным мероприятиям по фармаконадзору"</w:t>
            </w:r>
          </w:p>
          <w:p>
            <w:pPr>
              <w:spacing w:after="20"/>
              <w:ind w:left="20"/>
              <w:jc w:val="both"/>
            </w:pPr>
            <w:r>
              <w:rPr>
                <w:rFonts w:ascii="Times New Roman"/>
                <w:b w:val="false"/>
                <w:i w:val="false"/>
                <w:color w:val="000000"/>
                <w:sz w:val="20"/>
              </w:rPr>
              <w:t>
   В данном разделе представляется сводная таблица всех дополнительных мероприятий по фармаконадзору, включая планируемые даты этапов их выполнения.</w:t>
            </w:r>
          </w:p>
          <w:p>
            <w:pPr>
              <w:spacing w:after="20"/>
              <w:ind w:left="20"/>
              <w:jc w:val="both"/>
            </w:pPr>
            <w:r>
              <w:rPr>
                <w:rFonts w:ascii="Times New Roman"/>
                <w:b w:val="false"/>
                <w:i w:val="false"/>
                <w:color w:val="000000"/>
                <w:sz w:val="20"/>
              </w:rPr>
              <w:t>
   6.2.5.4. Часть IV ПУР "Планирование пострегистрационных исследований эффективности"</w:t>
            </w:r>
          </w:p>
          <w:p>
            <w:pPr>
              <w:spacing w:after="20"/>
              <w:ind w:left="20"/>
              <w:jc w:val="both"/>
            </w:pPr>
            <w:r>
              <w:rPr>
                <w:rFonts w:ascii="Times New Roman"/>
                <w:b w:val="false"/>
                <w:i w:val="false"/>
                <w:color w:val="000000"/>
                <w:sz w:val="20"/>
              </w:rPr>
              <w:t xml:space="preserve">
   Требования к ПРИБ относятся исключительно к одобренным показаниям, но не к исследованиям, занимающимся изучением дополнительных, не одобренных показаний. Исследования по безопасности, являющиеся особыми обязательствами и (или) условием для получения удостоверения о государственной регистрации, также включают в данную часть ПУР. </w:t>
            </w:r>
          </w:p>
          <w:p>
            <w:pPr>
              <w:spacing w:after="20"/>
              <w:ind w:left="20"/>
              <w:jc w:val="both"/>
            </w:pPr>
            <w:r>
              <w:rPr>
                <w:rFonts w:ascii="Times New Roman"/>
                <w:b w:val="false"/>
                <w:i w:val="false"/>
                <w:color w:val="000000"/>
                <w:sz w:val="20"/>
              </w:rPr>
              <w:t>
   6.2.5.4.1. Часть IV ПУР, раздел "Представление данных об эффективности"</w:t>
            </w:r>
          </w:p>
          <w:p>
            <w:pPr>
              <w:spacing w:after="20"/>
              <w:ind w:left="20"/>
              <w:jc w:val="both"/>
            </w:pPr>
            <w:r>
              <w:rPr>
                <w:rFonts w:ascii="Times New Roman"/>
                <w:b w:val="false"/>
                <w:i w:val="false"/>
                <w:color w:val="000000"/>
                <w:sz w:val="20"/>
              </w:rPr>
              <w:t xml:space="preserve">
   В качестве объяснения для предложенных исследований эффективности и для обеспечения наличия обосновывающих данных по включению в ПУР, в разделе представляется обобщающая информация по доказанной эффективности лекарственного препарата, а также указание на каких клинических исследованиях (испытаниях) и конечных точках основана данная оценка. Осуществляется оценка твердости конечных точек, на которых основана оценка эффективности. </w:t>
            </w:r>
          </w:p>
          <w:p>
            <w:pPr>
              <w:spacing w:after="20"/>
              <w:ind w:left="20"/>
              <w:jc w:val="both"/>
            </w:pPr>
            <w:r>
              <w:rPr>
                <w:rFonts w:ascii="Times New Roman"/>
                <w:b w:val="false"/>
                <w:i w:val="false"/>
                <w:color w:val="000000"/>
                <w:sz w:val="20"/>
              </w:rPr>
              <w:t>
   В разделе приводится краткая оценка необходимости проведения дальнейших пострегистрационных исследований эффективности по следующим аспектам:</w:t>
            </w:r>
          </w:p>
          <w:p>
            <w:pPr>
              <w:spacing w:after="20"/>
              <w:ind w:left="20"/>
              <w:jc w:val="both"/>
            </w:pPr>
            <w:r>
              <w:rPr>
                <w:rFonts w:ascii="Times New Roman"/>
                <w:b w:val="false"/>
                <w:i w:val="false"/>
                <w:color w:val="000000"/>
                <w:sz w:val="20"/>
              </w:rPr>
              <w:t>
   1) применимость данных об эффективности для всех пациентов в целевой популяции;</w:t>
            </w:r>
          </w:p>
          <w:p>
            <w:pPr>
              <w:spacing w:after="20"/>
              <w:ind w:left="20"/>
              <w:jc w:val="both"/>
            </w:pPr>
            <w:r>
              <w:rPr>
                <w:rFonts w:ascii="Times New Roman"/>
                <w:b w:val="false"/>
                <w:i w:val="false"/>
                <w:color w:val="000000"/>
                <w:sz w:val="20"/>
              </w:rPr>
              <w:t>
   2) факторы, предположительно влияющие на эффективность лекарственного препарата в повседневной медицинской практике;</w:t>
            </w:r>
          </w:p>
          <w:p>
            <w:pPr>
              <w:spacing w:after="20"/>
              <w:ind w:left="20"/>
              <w:jc w:val="both"/>
            </w:pPr>
            <w:r>
              <w:rPr>
                <w:rFonts w:ascii="Times New Roman"/>
                <w:b w:val="false"/>
                <w:i w:val="false"/>
                <w:color w:val="000000"/>
                <w:sz w:val="20"/>
              </w:rPr>
              <w:t>
   3) вариабельность терапевтического эффекта в субпопуляциях.</w:t>
            </w:r>
          </w:p>
          <w:p>
            <w:pPr>
              <w:spacing w:after="20"/>
              <w:ind w:left="20"/>
              <w:jc w:val="both"/>
            </w:pPr>
            <w:r>
              <w:rPr>
                <w:rFonts w:ascii="Times New Roman"/>
                <w:b w:val="false"/>
                <w:i w:val="false"/>
                <w:color w:val="000000"/>
                <w:sz w:val="20"/>
              </w:rPr>
              <w:t>
   В данном разделе представляется сводная таблица запланированных исследований (испытаний) с указанием сроков и основных этапов выполнения. Проекты протоколов для данных клинических исследований (испытаний), включаются в приложение 7 ПУР.</w:t>
            </w:r>
          </w:p>
          <w:p>
            <w:pPr>
              <w:spacing w:after="20"/>
              <w:ind w:left="20"/>
              <w:jc w:val="both"/>
            </w:pPr>
            <w:r>
              <w:rPr>
                <w:rFonts w:ascii="Times New Roman"/>
                <w:b w:val="false"/>
                <w:i w:val="false"/>
                <w:color w:val="000000"/>
                <w:sz w:val="20"/>
              </w:rPr>
              <w:t>
   6.2.5.5. Часть V ПУР "Меры по минимизации рисков"</w:t>
            </w:r>
          </w:p>
          <w:p>
            <w:pPr>
              <w:spacing w:after="20"/>
              <w:ind w:left="20"/>
              <w:jc w:val="both"/>
            </w:pPr>
            <w:r>
              <w:rPr>
                <w:rFonts w:ascii="Times New Roman"/>
                <w:b w:val="false"/>
                <w:i w:val="false"/>
                <w:color w:val="000000"/>
                <w:sz w:val="20"/>
              </w:rPr>
              <w:t>
   В соответствии со спецификацией безопасности держатель регистрационного удостоверения оценивает какие мероприятия по минимизации рисков необходимы в отношении каждой проблемы по безопасности. План минимизации рисков включает подробную информацию о мероприятиях по минимизации рисков, предпринимаемых с целью уменьшения рисков, связанных с каждой из установленных проблем по безопасности. Предлагаемые меры по минимизации рисков по каждой из проблем по безопасности включают более одного мероприятия по минимизации рисков.</w:t>
            </w:r>
          </w:p>
          <w:p>
            <w:pPr>
              <w:spacing w:after="20"/>
              <w:ind w:left="20"/>
              <w:jc w:val="both"/>
            </w:pPr>
            <w:r>
              <w:rPr>
                <w:rFonts w:ascii="Times New Roman"/>
                <w:b w:val="false"/>
                <w:i w:val="false"/>
                <w:color w:val="000000"/>
                <w:sz w:val="20"/>
              </w:rPr>
              <w:t xml:space="preserve">
   Мероприятия по минимизации рисков состоят из рутинных мероприятий по минимизации рисков и дополнительных мероприятий по минимизации рисков. Все мероприятия по минимизации рисков обязаны иметь четко обозначенную цель. </w:t>
            </w:r>
          </w:p>
          <w:p>
            <w:pPr>
              <w:spacing w:after="20"/>
              <w:ind w:left="20"/>
              <w:jc w:val="both"/>
            </w:pPr>
            <w:r>
              <w:rPr>
                <w:rFonts w:ascii="Times New Roman"/>
                <w:b w:val="false"/>
                <w:i w:val="false"/>
                <w:color w:val="000000"/>
                <w:sz w:val="20"/>
              </w:rPr>
              <w:t>
   6.2.5.5.1. Часть V ПУР, раздел "Рутинные меры минимизация рисков"</w:t>
            </w:r>
          </w:p>
          <w:p>
            <w:pPr>
              <w:spacing w:after="20"/>
              <w:ind w:left="20"/>
              <w:jc w:val="both"/>
            </w:pPr>
            <w:r>
              <w:rPr>
                <w:rFonts w:ascii="Times New Roman"/>
                <w:b w:val="false"/>
                <w:i w:val="false"/>
                <w:color w:val="000000"/>
                <w:sz w:val="20"/>
              </w:rPr>
              <w:t>
   Рутинные меры по минимизации рисков включают мероприятия (действия), проводимые в отношении каждого лекарственного препарата. Рутинные меры распространяются на:</w:t>
            </w:r>
          </w:p>
          <w:p>
            <w:pPr>
              <w:spacing w:after="20"/>
              <w:ind w:left="20"/>
              <w:jc w:val="both"/>
            </w:pPr>
            <w:r>
              <w:rPr>
                <w:rFonts w:ascii="Times New Roman"/>
                <w:b w:val="false"/>
                <w:i w:val="false"/>
                <w:color w:val="000000"/>
                <w:sz w:val="20"/>
              </w:rPr>
              <w:t>
   1) инструкцию по медицинскому применению;</w:t>
            </w:r>
          </w:p>
          <w:p>
            <w:pPr>
              <w:spacing w:after="20"/>
              <w:ind w:left="20"/>
              <w:jc w:val="both"/>
            </w:pPr>
            <w:r>
              <w:rPr>
                <w:rFonts w:ascii="Times New Roman"/>
                <w:b w:val="false"/>
                <w:i w:val="false"/>
                <w:color w:val="000000"/>
                <w:sz w:val="20"/>
              </w:rPr>
              <w:t>
   2) маркировку;</w:t>
            </w:r>
          </w:p>
          <w:p>
            <w:pPr>
              <w:spacing w:after="20"/>
              <w:ind w:left="20"/>
              <w:jc w:val="both"/>
            </w:pPr>
            <w:r>
              <w:rPr>
                <w:rFonts w:ascii="Times New Roman"/>
                <w:b w:val="false"/>
                <w:i w:val="false"/>
                <w:color w:val="000000"/>
                <w:sz w:val="20"/>
              </w:rPr>
              <w:t>
   3) листок-вкладыш (информацию) для пациента;</w:t>
            </w:r>
          </w:p>
          <w:p>
            <w:pPr>
              <w:spacing w:after="20"/>
              <w:ind w:left="20"/>
              <w:jc w:val="both"/>
            </w:pPr>
            <w:r>
              <w:rPr>
                <w:rFonts w:ascii="Times New Roman"/>
                <w:b w:val="false"/>
                <w:i w:val="false"/>
                <w:color w:val="000000"/>
                <w:sz w:val="20"/>
              </w:rPr>
              <w:t>
   4) размер упаковки;</w:t>
            </w:r>
          </w:p>
          <w:p>
            <w:pPr>
              <w:spacing w:after="20"/>
              <w:ind w:left="20"/>
              <w:jc w:val="both"/>
            </w:pPr>
            <w:r>
              <w:rPr>
                <w:rFonts w:ascii="Times New Roman"/>
                <w:b w:val="false"/>
                <w:i w:val="false"/>
                <w:color w:val="000000"/>
                <w:sz w:val="20"/>
              </w:rPr>
              <w:t>
   5) регуляторный статус лекарственного препарата.</w:t>
            </w:r>
          </w:p>
          <w:p>
            <w:pPr>
              <w:spacing w:after="20"/>
              <w:ind w:left="20"/>
              <w:jc w:val="both"/>
            </w:pPr>
            <w:r>
              <w:rPr>
                <w:rFonts w:ascii="Times New Roman"/>
                <w:b w:val="false"/>
                <w:i w:val="false"/>
                <w:color w:val="000000"/>
                <w:sz w:val="20"/>
              </w:rPr>
              <w:t>
   Инструкция по медицинскому применению представляет важный инструмент минимизации риска, так как является контролируемым и стандартизуемым форматом информирования медицинских, фармацевтических работников и пациентов о лекарственном препарате.</w:t>
            </w:r>
          </w:p>
          <w:p>
            <w:pPr>
              <w:spacing w:after="20"/>
              <w:ind w:left="20"/>
              <w:jc w:val="both"/>
            </w:pPr>
            <w:r>
              <w:rPr>
                <w:rFonts w:ascii="Times New Roman"/>
                <w:b w:val="false"/>
                <w:i w:val="false"/>
                <w:color w:val="000000"/>
                <w:sz w:val="20"/>
              </w:rPr>
              <w:t>
   1) Размер упаковки</w:t>
            </w:r>
          </w:p>
          <w:p>
            <w:pPr>
              <w:spacing w:after="20"/>
              <w:ind w:left="20"/>
              <w:jc w:val="both"/>
            </w:pPr>
            <w:r>
              <w:rPr>
                <w:rFonts w:ascii="Times New Roman"/>
                <w:b w:val="false"/>
                <w:i w:val="false"/>
                <w:color w:val="000000"/>
                <w:sz w:val="20"/>
              </w:rPr>
              <w:t>
   Ограничение количества единиц выписанного лекарственного препарата является еще одним из рутинных мероприятий по минимизации рисков. При ограничении количества единиц выписанного лекарственного препарата пациент вынужден обращаться к лечащему врачу через определенные меньшие промежутки времени, что оптимизирует процесс контроля его состояния и сократит время его нахождения без соответствующего наблюдения. Выпуск упаковок на небольшое количество дозированных единиц (в особых случаях – на одну дозированную единицу) также является полезным в случае, если одним из основных рисков считается передозировка.</w:t>
            </w:r>
          </w:p>
          <w:p>
            <w:pPr>
              <w:spacing w:after="20"/>
              <w:ind w:left="20"/>
              <w:jc w:val="both"/>
            </w:pPr>
            <w:r>
              <w:rPr>
                <w:rFonts w:ascii="Times New Roman"/>
                <w:b w:val="false"/>
                <w:i w:val="false"/>
                <w:color w:val="000000"/>
                <w:sz w:val="20"/>
              </w:rPr>
              <w:t>
   2) Регуляторный статус</w:t>
            </w:r>
          </w:p>
          <w:p>
            <w:pPr>
              <w:spacing w:after="20"/>
              <w:ind w:left="20"/>
              <w:jc w:val="both"/>
            </w:pPr>
            <w:r>
              <w:rPr>
                <w:rFonts w:ascii="Times New Roman"/>
                <w:b w:val="false"/>
                <w:i w:val="false"/>
                <w:color w:val="000000"/>
                <w:sz w:val="20"/>
              </w:rPr>
              <w:t>
   Контроль условий, при которых лекарственный препарат делается доступным, снижает риски, связанные с его использованием или неправильным применением. Достигается путем регулирования условий назначения или получения пациентом лекарственного препарата.</w:t>
            </w:r>
          </w:p>
          <w:p>
            <w:pPr>
              <w:spacing w:after="20"/>
              <w:ind w:left="20"/>
              <w:jc w:val="both"/>
            </w:pPr>
            <w:r>
              <w:rPr>
                <w:rFonts w:ascii="Times New Roman"/>
                <w:b w:val="false"/>
                <w:i w:val="false"/>
                <w:color w:val="000000"/>
                <w:sz w:val="20"/>
              </w:rPr>
              <w:t xml:space="preserve">
   При выдаче регистрационного удостоверения включают подробную информацию о любых условиях, ограничениях поставок или использовании лекарственного препарата, включая условия, при которых лекарственный препарат окажется доступным для пациентов. Как правило, это именуется "регуляторным статусом" лекарственного препарата. Данный статус включает информацию о рецептурном или безрецептурном отпуске лекарственного препарата. Статус ограничивает места распространения (в частности, ограничение применения в стационарном учреждении). В отношении лекарственных препаратов, приобретение которых возможно только по рецепту, вводятся дополнительные условия, а именно классификация их на лекарственные препараты, отпускаемые только по специальному рецепту. </w:t>
            </w:r>
          </w:p>
          <w:p>
            <w:pPr>
              <w:spacing w:after="20"/>
              <w:ind w:left="20"/>
              <w:jc w:val="both"/>
            </w:pPr>
            <w:r>
              <w:rPr>
                <w:rFonts w:ascii="Times New Roman"/>
                <w:b w:val="false"/>
                <w:i w:val="false"/>
                <w:color w:val="000000"/>
                <w:sz w:val="20"/>
              </w:rPr>
              <w:t>
   Большинство проблем по безопасности соответствующим образом рассматриваются при осуществлении рутинных мероприятий по минимизации рисков. Тем не менее, в отношении некоторых рисков рутинные мероприятия по минимизации рисков оказываются недостаточными, поэтому требуются дополнительные мероприятия по минимизации рисков.</w:t>
            </w:r>
          </w:p>
          <w:p>
            <w:pPr>
              <w:spacing w:after="20"/>
              <w:ind w:left="20"/>
              <w:jc w:val="both"/>
            </w:pPr>
            <w:r>
              <w:rPr>
                <w:rFonts w:ascii="Times New Roman"/>
                <w:b w:val="false"/>
                <w:i w:val="false"/>
                <w:color w:val="000000"/>
                <w:sz w:val="20"/>
              </w:rPr>
              <w:t>
   6.2.5.5.2. Часть V ПУР, раздел "Дополнительные мероприятия по минимизации рисков"</w:t>
            </w:r>
          </w:p>
          <w:p>
            <w:pPr>
              <w:spacing w:after="20"/>
              <w:ind w:left="20"/>
              <w:jc w:val="both"/>
            </w:pPr>
            <w:r>
              <w:rPr>
                <w:rFonts w:ascii="Times New Roman"/>
                <w:b w:val="false"/>
                <w:i w:val="false"/>
                <w:color w:val="000000"/>
                <w:sz w:val="20"/>
              </w:rPr>
              <w:t>
   Дополнительными мероприятиями по минимизации рисков являются мероприятия по минимизации рисков, не относящихся к рутинным мероприятиям по минимизации рисков. Дополнительные мероприятия по минимизации рисков предлагаются, когда рутинные мероприятия являются недостаточными для обеспечения безопасного и эффективного использования лекарственного препарата. Ряд дополнительных методов по минимизации рисков основан на способах информирования, выходящих за рамки инструкции по медицинскому применению и листка-вкладыша.</w:t>
            </w:r>
          </w:p>
          <w:p>
            <w:pPr>
              <w:spacing w:after="20"/>
              <w:ind w:left="20"/>
              <w:jc w:val="both"/>
            </w:pPr>
            <w:r>
              <w:rPr>
                <w:rFonts w:ascii="Times New Roman"/>
                <w:b w:val="false"/>
                <w:i w:val="false"/>
                <w:color w:val="000000"/>
                <w:sz w:val="20"/>
              </w:rPr>
              <w:t>
   В отношении дополнительных мероприятий по минимизации рисков, представляется детальное описание и обоснование необходимости их выполнения. В данный раздел включают только те мероприятия, которые связаны с безопасным и эффективным использованием, они научно обосновываются, разрабатываются и выполняются специалистами с соответствующей квалификацией.</w:t>
            </w:r>
          </w:p>
          <w:p>
            <w:pPr>
              <w:spacing w:after="20"/>
              <w:ind w:left="20"/>
              <w:jc w:val="both"/>
            </w:pPr>
            <w:r>
              <w:rPr>
                <w:rFonts w:ascii="Times New Roman"/>
                <w:b w:val="false"/>
                <w:i w:val="false"/>
                <w:color w:val="000000"/>
                <w:sz w:val="20"/>
              </w:rPr>
              <w:t>
   Дополнительные мероприятия по минимизации рисков после их согласования с уполномоченным органом Республики Казахстан становятся условиями для получения регистрационного удостоверения. В соответствующих случаях полная информация о дополнительных мероприятиях по минимизации рисков (в том числе черновой вариант учебных материалов) представляется в приложении 9 ПУР.</w:t>
            </w:r>
          </w:p>
          <w:p>
            <w:pPr>
              <w:spacing w:after="20"/>
              <w:ind w:left="20"/>
              <w:jc w:val="both"/>
            </w:pPr>
            <w:r>
              <w:rPr>
                <w:rFonts w:ascii="Times New Roman"/>
                <w:b w:val="false"/>
                <w:i w:val="false"/>
                <w:color w:val="000000"/>
                <w:sz w:val="20"/>
              </w:rPr>
              <w:t>
   1) обучающие материалы</w:t>
            </w:r>
          </w:p>
          <w:p>
            <w:pPr>
              <w:spacing w:after="20"/>
              <w:ind w:left="20"/>
              <w:jc w:val="both"/>
            </w:pPr>
            <w:r>
              <w:rPr>
                <w:rFonts w:ascii="Times New Roman"/>
                <w:b w:val="false"/>
                <w:i w:val="false"/>
                <w:color w:val="000000"/>
                <w:sz w:val="20"/>
              </w:rPr>
              <w:t xml:space="preserve">
   Обучающие материалы не носят рекламный характер. Уполномоченный орган Республики Казахстан выполняет согласование и утверждение обучающих материалов, разрабатываемых в рамках плана по минимизации рисков. </w:t>
            </w:r>
          </w:p>
          <w:p>
            <w:pPr>
              <w:spacing w:after="20"/>
              <w:ind w:left="20"/>
              <w:jc w:val="both"/>
            </w:pPr>
            <w:r>
              <w:rPr>
                <w:rFonts w:ascii="Times New Roman"/>
                <w:b w:val="false"/>
                <w:i w:val="false"/>
                <w:color w:val="000000"/>
                <w:sz w:val="20"/>
              </w:rPr>
              <w:t>
   Для лекарственных препаратов, содержащих одно и то же действующее вещество, рекомендуется разработка максимально близких по форме и содержанию обучающих материалов и материалов для пациентов.</w:t>
            </w:r>
          </w:p>
          <w:p>
            <w:pPr>
              <w:spacing w:after="20"/>
              <w:ind w:left="20"/>
              <w:jc w:val="both"/>
            </w:pPr>
            <w:r>
              <w:rPr>
                <w:rFonts w:ascii="Times New Roman"/>
                <w:b w:val="false"/>
                <w:i w:val="false"/>
                <w:color w:val="000000"/>
                <w:sz w:val="20"/>
              </w:rPr>
              <w:t>
   6.2.5.5.3. Формат плана по минимизации рисков</w:t>
            </w:r>
          </w:p>
          <w:p>
            <w:pPr>
              <w:spacing w:after="20"/>
              <w:ind w:left="20"/>
              <w:jc w:val="both"/>
            </w:pPr>
            <w:r>
              <w:rPr>
                <w:rFonts w:ascii="Times New Roman"/>
                <w:b w:val="false"/>
                <w:i w:val="false"/>
                <w:color w:val="000000"/>
                <w:sz w:val="20"/>
              </w:rPr>
              <w:t xml:space="preserve">
   В данном разделе рассматривается каждая проблема по безопасности, определенная в спецификации по безопасности. </w:t>
            </w:r>
          </w:p>
          <w:p>
            <w:pPr>
              <w:spacing w:after="20"/>
              <w:ind w:left="20"/>
              <w:jc w:val="both"/>
            </w:pPr>
            <w:r>
              <w:rPr>
                <w:rFonts w:ascii="Times New Roman"/>
                <w:b w:val="false"/>
                <w:i w:val="false"/>
                <w:color w:val="000000"/>
                <w:sz w:val="20"/>
              </w:rPr>
              <w:t>
   По каждой проблеме по безопасности представляется следующая информация:</w:t>
            </w:r>
          </w:p>
          <w:p>
            <w:pPr>
              <w:spacing w:after="20"/>
              <w:ind w:left="20"/>
              <w:jc w:val="both"/>
            </w:pPr>
            <w:r>
              <w:rPr>
                <w:rFonts w:ascii="Times New Roman"/>
                <w:b w:val="false"/>
                <w:i w:val="false"/>
                <w:color w:val="000000"/>
                <w:sz w:val="20"/>
              </w:rPr>
              <w:t>
   1) описание проблемы по безопасности;</w:t>
            </w:r>
          </w:p>
          <w:p>
            <w:pPr>
              <w:spacing w:after="20"/>
              <w:ind w:left="20"/>
              <w:jc w:val="both"/>
            </w:pPr>
            <w:r>
              <w:rPr>
                <w:rFonts w:ascii="Times New Roman"/>
                <w:b w:val="false"/>
                <w:i w:val="false"/>
                <w:color w:val="000000"/>
                <w:sz w:val="20"/>
              </w:rPr>
              <w:t>
   2) цель предложенного действия;</w:t>
            </w:r>
          </w:p>
          <w:p>
            <w:pPr>
              <w:spacing w:after="20"/>
              <w:ind w:left="20"/>
              <w:jc w:val="both"/>
            </w:pPr>
            <w:r>
              <w:rPr>
                <w:rFonts w:ascii="Times New Roman"/>
                <w:b w:val="false"/>
                <w:i w:val="false"/>
                <w:color w:val="000000"/>
                <w:sz w:val="20"/>
              </w:rPr>
              <w:t>
   3) рутинные меры минимизации рисков;</w:t>
            </w:r>
          </w:p>
          <w:p>
            <w:pPr>
              <w:spacing w:after="20"/>
              <w:ind w:left="20"/>
              <w:jc w:val="both"/>
            </w:pPr>
            <w:r>
              <w:rPr>
                <w:rFonts w:ascii="Times New Roman"/>
                <w:b w:val="false"/>
                <w:i w:val="false"/>
                <w:color w:val="000000"/>
                <w:sz w:val="20"/>
              </w:rPr>
              <w:t>
   4) дополнительные мероприятия по минимизации рисков (если имеются), задачи по каждому дополнительному мероприятию и обоснование необходимости;</w:t>
            </w:r>
          </w:p>
          <w:p>
            <w:pPr>
              <w:spacing w:after="20"/>
              <w:ind w:left="20"/>
              <w:jc w:val="both"/>
            </w:pPr>
            <w:r>
              <w:rPr>
                <w:rFonts w:ascii="Times New Roman"/>
                <w:b w:val="false"/>
                <w:i w:val="false"/>
                <w:color w:val="000000"/>
                <w:sz w:val="20"/>
              </w:rPr>
              <w:t>
   5) способ оценки эффективности мероприятий по минимизации рисков с точки зрения достижения поставленных целей;</w:t>
            </w:r>
          </w:p>
          <w:p>
            <w:pPr>
              <w:spacing w:after="20"/>
              <w:ind w:left="20"/>
              <w:jc w:val="both"/>
            </w:pPr>
            <w:r>
              <w:rPr>
                <w:rFonts w:ascii="Times New Roman"/>
                <w:b w:val="false"/>
                <w:i w:val="false"/>
                <w:color w:val="000000"/>
                <w:sz w:val="20"/>
              </w:rPr>
              <w:t>
   6) цель минимизации рисков, т.е. каковы критерии оценки успешности принятых мер;</w:t>
            </w:r>
          </w:p>
          <w:p>
            <w:pPr>
              <w:spacing w:after="20"/>
              <w:ind w:left="20"/>
              <w:jc w:val="both"/>
            </w:pPr>
            <w:r>
              <w:rPr>
                <w:rFonts w:ascii="Times New Roman"/>
                <w:b w:val="false"/>
                <w:i w:val="false"/>
                <w:color w:val="000000"/>
                <w:sz w:val="20"/>
              </w:rPr>
              <w:t>
   7) основные этапы оценки и отчетности.</w:t>
            </w:r>
          </w:p>
          <w:p>
            <w:pPr>
              <w:spacing w:after="20"/>
              <w:ind w:left="20"/>
              <w:jc w:val="both"/>
            </w:pPr>
            <w:r>
              <w:rPr>
                <w:rFonts w:ascii="Times New Roman"/>
                <w:b w:val="false"/>
                <w:i w:val="false"/>
                <w:color w:val="000000"/>
                <w:sz w:val="20"/>
              </w:rPr>
              <w:t>
   Что касается рутинных мер минимизации рисков, текст, предлагаемый в инструкции по медицинскому применению, представляется вместе с детальным описанием других рутинных мероприятий по минимизации рисков, предложенных в связи с проблемами по безопасности.</w:t>
            </w:r>
          </w:p>
          <w:p>
            <w:pPr>
              <w:spacing w:after="20"/>
              <w:ind w:left="20"/>
              <w:jc w:val="both"/>
            </w:pPr>
            <w:r>
              <w:rPr>
                <w:rFonts w:ascii="Times New Roman"/>
                <w:b w:val="false"/>
                <w:i w:val="false"/>
                <w:color w:val="000000"/>
                <w:sz w:val="20"/>
              </w:rPr>
              <w:t>
   6.2.5.5.4. Обновления плана по минимизации рисков</w:t>
            </w:r>
          </w:p>
          <w:p>
            <w:pPr>
              <w:spacing w:after="20"/>
              <w:ind w:left="20"/>
              <w:jc w:val="both"/>
            </w:pPr>
            <w:r>
              <w:rPr>
                <w:rFonts w:ascii="Times New Roman"/>
                <w:b w:val="false"/>
                <w:i w:val="false"/>
                <w:color w:val="000000"/>
                <w:sz w:val="20"/>
              </w:rPr>
              <w:t>
   При обновлении ПУР следует включать оценку выполняемых рутинных и (или) дополнительных мероприятий по минимизации рисков. Результаты официальной оценки мероприятий по минимизации рисков также включаются в данный раздел. В рамках данной критической оценки держатель регистрационного удостоверения выявляет и оценивает факторы, способствующие достижению поставленных целей по минимизации риска или приводящие к низкому уровню эффективности мероприятий по минимизации рисков. Предоставляется комментарий в отношении возможной необходимости введения дополнительных и (или) изменения выполняемых мероприятий минимизации риска по каждой проблеме по безопасности.</w:t>
            </w:r>
          </w:p>
          <w:p>
            <w:pPr>
              <w:spacing w:after="20"/>
              <w:ind w:left="20"/>
              <w:jc w:val="both"/>
            </w:pPr>
            <w:r>
              <w:rPr>
                <w:rFonts w:ascii="Times New Roman"/>
                <w:b w:val="false"/>
                <w:i w:val="false"/>
                <w:color w:val="000000"/>
                <w:sz w:val="20"/>
              </w:rPr>
              <w:t>
   6.2.5.5.5. Часть V ПУР, раздел "Оценка эффективности мероприятий по минимизации рисков"</w:t>
            </w:r>
          </w:p>
          <w:p>
            <w:pPr>
              <w:spacing w:after="20"/>
              <w:ind w:left="20"/>
              <w:jc w:val="both"/>
            </w:pPr>
            <w:r>
              <w:rPr>
                <w:rFonts w:ascii="Times New Roman"/>
                <w:b w:val="false"/>
                <w:i w:val="false"/>
                <w:color w:val="000000"/>
                <w:sz w:val="20"/>
              </w:rPr>
              <w:t>
   Мероприятия по минимизации рисков представляют действия, направленные на предотвращение развития нежелательных реакций, снижение частоты развития или степени тяжести нежелательных реакций, а также минимизацию неблагоприятных последствий воздействия на пациента при развитии нежелательной реакции на лекарственный препарат. Оценку эффективности деятельности по минимизации рисков при реализации этих целей выполняют на протяжении всего жизненного цикла лекарственного препарата с целью убедиться, что неблагоприятные последствия, связанные с нежелательными реакциями, минимизированы и, следовательно, соотношение польза - риск лекарственного препарата оптимизировано.</w:t>
            </w:r>
          </w:p>
          <w:p>
            <w:pPr>
              <w:spacing w:after="20"/>
              <w:ind w:left="20"/>
              <w:jc w:val="both"/>
            </w:pPr>
            <w:r>
              <w:rPr>
                <w:rFonts w:ascii="Times New Roman"/>
                <w:b w:val="false"/>
                <w:i w:val="false"/>
                <w:color w:val="000000"/>
                <w:sz w:val="20"/>
              </w:rPr>
              <w:t>
   В случае выявления неэффективности конкретной стратегии по минимизации рисков, разрабатываются и внедряются альтернативные мероприятия. В определенных случаях в результате оценки возможен вывод о том, что мероприятия по минимизации рисков не контролируют риски в требуемой степени для обеспечения применения лекарственного препарата при превышении пользы над риском, что означает необходимость отзыва лекарственного препарата с рынка или ограничения его применения только той подгруппой пациентов, в отношении которых польза перевешивает риски.</w:t>
            </w:r>
          </w:p>
          <w:p>
            <w:pPr>
              <w:spacing w:after="20"/>
              <w:ind w:left="20"/>
              <w:jc w:val="both"/>
            </w:pPr>
            <w:r>
              <w:rPr>
                <w:rFonts w:ascii="Times New Roman"/>
                <w:b w:val="false"/>
                <w:i w:val="false"/>
                <w:color w:val="000000"/>
                <w:sz w:val="20"/>
              </w:rPr>
              <w:t>
   6.2.5.6. Часть VI ПУР "Резюме плана минимизации рисков"</w:t>
            </w:r>
          </w:p>
          <w:p>
            <w:pPr>
              <w:spacing w:after="20"/>
              <w:ind w:left="20"/>
              <w:jc w:val="both"/>
            </w:pPr>
            <w:r>
              <w:rPr>
                <w:rFonts w:ascii="Times New Roman"/>
                <w:b w:val="false"/>
                <w:i w:val="false"/>
                <w:color w:val="000000"/>
                <w:sz w:val="20"/>
              </w:rPr>
              <w:t xml:space="preserve">
   Резюме ПУР для каждого лекарственного препарата представляются для доступа общественности. Резюме включает ключевые элементы ПУР с особым выделением мероприятий по минимизации рисков. Что касается спецификации по безопасности рассматриваемого лекарственного препарата, то она содержит важную информацию об идентифицированных и потенциальных рисках, а также об отсутствующей информации. </w:t>
            </w:r>
          </w:p>
          <w:p>
            <w:pPr>
              <w:spacing w:after="20"/>
              <w:ind w:left="20"/>
              <w:jc w:val="both"/>
            </w:pPr>
            <w:r>
              <w:rPr>
                <w:rFonts w:ascii="Times New Roman"/>
                <w:b w:val="false"/>
                <w:i w:val="false"/>
                <w:color w:val="000000"/>
                <w:sz w:val="20"/>
              </w:rPr>
              <w:t>
   Данный раздел ПУР содержит следующую обобщенную информацию, основанную на модулях СI, СVIII ПУР и частях IV и V ПУР:</w:t>
            </w:r>
          </w:p>
          <w:p>
            <w:pPr>
              <w:spacing w:after="20"/>
              <w:ind w:left="20"/>
              <w:jc w:val="both"/>
            </w:pPr>
            <w:r>
              <w:rPr>
                <w:rFonts w:ascii="Times New Roman"/>
                <w:b w:val="false"/>
                <w:i w:val="false"/>
                <w:color w:val="000000"/>
                <w:sz w:val="20"/>
              </w:rPr>
              <w:t>
   1. обзор эпидемиологии заболеваний;</w:t>
            </w:r>
          </w:p>
          <w:p>
            <w:pPr>
              <w:spacing w:after="20"/>
              <w:ind w:left="20"/>
              <w:jc w:val="both"/>
            </w:pPr>
            <w:r>
              <w:rPr>
                <w:rFonts w:ascii="Times New Roman"/>
                <w:b w:val="false"/>
                <w:i w:val="false"/>
                <w:color w:val="000000"/>
                <w:sz w:val="20"/>
              </w:rPr>
              <w:t>
   2. обобщенные данные по оценке пользы - эффективности;</w:t>
            </w:r>
          </w:p>
          <w:p>
            <w:pPr>
              <w:spacing w:after="20"/>
              <w:ind w:left="20"/>
              <w:jc w:val="both"/>
            </w:pPr>
            <w:r>
              <w:rPr>
                <w:rFonts w:ascii="Times New Roman"/>
                <w:b w:val="false"/>
                <w:i w:val="false"/>
                <w:color w:val="000000"/>
                <w:sz w:val="20"/>
              </w:rPr>
              <w:t>
   3. обобщенная информация по проблемам по безопасности;</w:t>
            </w:r>
          </w:p>
          <w:p>
            <w:pPr>
              <w:spacing w:after="20"/>
              <w:ind w:left="20"/>
              <w:jc w:val="both"/>
            </w:pPr>
            <w:r>
              <w:rPr>
                <w:rFonts w:ascii="Times New Roman"/>
                <w:b w:val="false"/>
                <w:i w:val="false"/>
                <w:color w:val="000000"/>
                <w:sz w:val="20"/>
              </w:rPr>
              <w:t>
   4. обобщенная информация по проблемам по безопасности;</w:t>
            </w:r>
          </w:p>
          <w:p>
            <w:pPr>
              <w:spacing w:after="20"/>
              <w:ind w:left="20"/>
              <w:jc w:val="both"/>
            </w:pPr>
            <w:r>
              <w:rPr>
                <w:rFonts w:ascii="Times New Roman"/>
                <w:b w:val="false"/>
                <w:i w:val="false"/>
                <w:color w:val="000000"/>
                <w:sz w:val="20"/>
              </w:rPr>
              <w:t>
   5. таблицы:</w:t>
            </w:r>
          </w:p>
          <w:p>
            <w:pPr>
              <w:spacing w:after="20"/>
              <w:ind w:left="20"/>
              <w:jc w:val="both"/>
            </w:pPr>
            <w:r>
              <w:rPr>
                <w:rFonts w:ascii="Times New Roman"/>
                <w:b w:val="false"/>
                <w:i w:val="false"/>
                <w:color w:val="000000"/>
                <w:sz w:val="20"/>
              </w:rPr>
              <w:t>
   обобщенная информация по мероприятиям по минимизации рисков в отношении каждой из проблем по безопасности;</w:t>
            </w:r>
          </w:p>
          <w:p>
            <w:pPr>
              <w:spacing w:after="20"/>
              <w:ind w:left="20"/>
              <w:jc w:val="both"/>
            </w:pPr>
            <w:r>
              <w:rPr>
                <w:rFonts w:ascii="Times New Roman"/>
                <w:b w:val="false"/>
                <w:i w:val="false"/>
                <w:color w:val="000000"/>
                <w:sz w:val="20"/>
              </w:rPr>
              <w:t>
   план пострегистрационного развития (в отношении безопасности и эффективности), включающий детальное описание и объяснение по всем мероприятиям, являющимся условиями получения регистрационного удостоверения.</w:t>
            </w:r>
          </w:p>
          <w:p>
            <w:pPr>
              <w:spacing w:after="20"/>
              <w:ind w:left="20"/>
              <w:jc w:val="both"/>
            </w:pPr>
            <w:r>
              <w:rPr>
                <w:rFonts w:ascii="Times New Roman"/>
                <w:b w:val="false"/>
                <w:i w:val="false"/>
                <w:color w:val="000000"/>
                <w:sz w:val="20"/>
              </w:rPr>
              <w:t>
   6.2.5.6.1. Часть VI ПУР, раздел "Обзор эпидемиологии заболевания и резюме ожидаемой пользы"</w:t>
            </w:r>
          </w:p>
          <w:p>
            <w:pPr>
              <w:spacing w:after="20"/>
              <w:ind w:left="20"/>
              <w:jc w:val="both"/>
            </w:pPr>
            <w:r>
              <w:rPr>
                <w:rFonts w:ascii="Times New Roman"/>
                <w:b w:val="false"/>
                <w:i w:val="false"/>
                <w:color w:val="000000"/>
                <w:sz w:val="20"/>
              </w:rPr>
              <w:t>
   Держатель регистрационного удостоверения обобщает данные по эпидемиологии заболевания (состояния), являющегося показанием к назначению лекарственного препарата, и детально описывается в модуле СI ПУР. При этом информация доносится до целевой популяции методом изложения фактов и на соответствующем неспециализированном языке. Если лекарственный препарат применяется в качестве диагностического средства, используется при анестезии или имеет иные сходные показания, не связанные с конкретным заболеванием (состоянием), данный раздел обзора опускается.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6.2.5.6.2. Часть VI ПУР, раздел "Обобщенная информация по проблемам по безопасности (на неспециализированном языке)"</w:t>
            </w:r>
          </w:p>
          <w:p>
            <w:pPr>
              <w:spacing w:after="20"/>
              <w:ind w:left="20"/>
              <w:jc w:val="both"/>
            </w:pPr>
            <w:r>
              <w:rPr>
                <w:rFonts w:ascii="Times New Roman"/>
                <w:b w:val="false"/>
                <w:i w:val="false"/>
                <w:color w:val="000000"/>
                <w:sz w:val="20"/>
              </w:rPr>
              <w:t>
   В данном разделе кратко описываются проблемы по безопасности на языке, понятном для широкой общественности. Раздел также включает описание частоты и степени тяжести состояний, обусловленных проблемами по безопасности. Что касается важных потенциальных рисков, разъясняются причины возникновения данных рисков, а также возможных неопределенностей в их оценке (в частности, риск характерен для соединений данного класса, но не был выявлен в клинических исследованиях при назначении данного лекарственного препарата). В отношении важной отсутствующей информации указывается, какое влияние это оказывает на целевую популяцию и как отражается на рекомендациях (в частности, наличие противопоказаний, предостережений).</w:t>
            </w:r>
          </w:p>
          <w:p>
            <w:pPr>
              <w:spacing w:after="20"/>
              <w:ind w:left="20"/>
              <w:jc w:val="both"/>
            </w:pPr>
            <w:r>
              <w:rPr>
                <w:rFonts w:ascii="Times New Roman"/>
                <w:b w:val="false"/>
                <w:i w:val="false"/>
                <w:color w:val="000000"/>
                <w:sz w:val="20"/>
              </w:rPr>
              <w:t>
   6.2.5.6.3. Часть VI ПУР, раздел "Сводная таблица мероприятий по минимизации рисков по проблемам по безопасности"</w:t>
            </w:r>
          </w:p>
          <w:p>
            <w:pPr>
              <w:spacing w:after="20"/>
              <w:ind w:left="20"/>
              <w:jc w:val="both"/>
            </w:pPr>
            <w:r>
              <w:rPr>
                <w:rFonts w:ascii="Times New Roman"/>
                <w:b w:val="false"/>
                <w:i w:val="false"/>
                <w:color w:val="000000"/>
                <w:sz w:val="20"/>
              </w:rPr>
              <w:t>
   В данном разделе перечисляются проблемы по безопасности и представляется резюме мероприятий по минимизации рисков, предложенных для каждой проблемы по безопасности. При наличии более одного плана минимизации рисков (часть V ПУР), для каждого из них представляется отдельная таблица.</w:t>
            </w:r>
          </w:p>
          <w:p>
            <w:pPr>
              <w:spacing w:after="20"/>
              <w:ind w:left="20"/>
              <w:jc w:val="both"/>
            </w:pPr>
            <w:r>
              <w:rPr>
                <w:rFonts w:ascii="Times New Roman"/>
                <w:b w:val="false"/>
                <w:i w:val="false"/>
                <w:color w:val="000000"/>
                <w:sz w:val="20"/>
              </w:rPr>
              <w:t>
   6.2.5.6.4. Часть VI ПУР, раздел "Планируемая пострегистрационная деятельность по оценке эффективности и развитию фармаконадзора"</w:t>
            </w:r>
          </w:p>
          <w:p>
            <w:pPr>
              <w:spacing w:after="20"/>
              <w:ind w:left="20"/>
              <w:jc w:val="both"/>
            </w:pPr>
            <w:r>
              <w:rPr>
                <w:rFonts w:ascii="Times New Roman"/>
                <w:b w:val="false"/>
                <w:i w:val="false"/>
                <w:color w:val="000000"/>
                <w:sz w:val="20"/>
              </w:rPr>
              <w:t>
   Таблица в данном разделе представляет список планируемых мероприятий в отношении исследования эффективности и дальнейшего изучения проблем по безопасности. Целью является представление обзора запланированного пострегистрационного развития лекарственного препарата в отношении оценки эффективности и фармаконадзора, а также рассмотрение основных этапов, связанных с каждым исследованием или мероприятием. Данная таблица объединяет таблицы из разделов 6.2.5.3.4.и 6.2.5.4.1. В каждой строке таблицы указывается причина проведения исследования, название и краткое описание исследования, сроки и основные этапы выполнения.</w:t>
            </w:r>
          </w:p>
          <w:p>
            <w:pPr>
              <w:spacing w:after="20"/>
              <w:ind w:left="20"/>
              <w:jc w:val="both"/>
            </w:pPr>
            <w:r>
              <w:rPr>
                <w:rFonts w:ascii="Times New Roman"/>
                <w:b w:val="false"/>
                <w:i w:val="false"/>
                <w:color w:val="000000"/>
                <w:sz w:val="20"/>
              </w:rPr>
              <w:t>
   6.2.5.6.5. Часть VI ПУР, раздел "Резюме изменений, внесенных в ПУР"</w:t>
            </w:r>
          </w:p>
          <w:p>
            <w:pPr>
              <w:spacing w:after="20"/>
              <w:ind w:left="20"/>
              <w:jc w:val="both"/>
            </w:pPr>
            <w:r>
              <w:rPr>
                <w:rFonts w:ascii="Times New Roman"/>
                <w:b w:val="false"/>
                <w:i w:val="false"/>
                <w:color w:val="000000"/>
                <w:sz w:val="20"/>
              </w:rPr>
              <w:t>
   В разделе представляется информация в табличной форме с перечнем всех существенных изменений, внесенных в ПУР, в хронологическом порядке. Информация включает, в частности, дату включения в план новых проблем по безопасности или исключения обозначенных ранее, даты добавления или окончания новых исследований безопасности, краткое резюме изменений, внесенных в план мероприятий по минимизации рисков, а также даты согласования данных изменений.</w:t>
            </w:r>
          </w:p>
          <w:p>
            <w:pPr>
              <w:spacing w:after="20"/>
              <w:ind w:left="20"/>
              <w:jc w:val="both"/>
            </w:pPr>
            <w:r>
              <w:rPr>
                <w:rFonts w:ascii="Times New Roman"/>
                <w:b w:val="false"/>
                <w:i w:val="false"/>
                <w:color w:val="000000"/>
                <w:sz w:val="20"/>
              </w:rPr>
              <w:t>
  6.2.5.7. Часть VII ПУР "Приложения к плану управления рисками"</w:t>
            </w:r>
          </w:p>
          <w:p>
            <w:pPr>
              <w:spacing w:after="20"/>
              <w:ind w:left="20"/>
              <w:jc w:val="both"/>
            </w:pPr>
            <w:r>
              <w:rPr>
                <w:rFonts w:ascii="Times New Roman"/>
                <w:b w:val="false"/>
                <w:i w:val="false"/>
                <w:color w:val="000000"/>
                <w:sz w:val="20"/>
              </w:rPr>
              <w:t>
   ПУР содержит следующие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9274"/>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ПУР: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версия (или предлагаемая, если лекарственный препарат не зарегистрирован) инструкции по медицинскому применению и листка-вкладыша</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ПУР:</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 выполняемых и завершенных программ клинических исследований (испытаний)</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ПУ: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 выполняемых и завершенных программ фармакоэпидемиологических исследований</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4 ПУР: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предлагаемых и проводимых исследований по части III ПУР</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5 ПУР: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формы последующего наблюдения за нежелательными реакциями</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 6 ПУР:</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предлагаемых и проводимых исследований по части IV ПУР</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ПУР:</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доступные отчеты об исследованиях (испытаниях)</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8 ПУР:</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 предложенных дополнительных мероприятиях по минимизации рисков (если применимо)</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ПУР:</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вспомогательные данные (включая ссылочный материал)</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6.2.6. Взаимосвязь между ПУР и ПОБ</w:t>
            </w:r>
          </w:p>
          <w:p>
            <w:pPr>
              <w:spacing w:after="20"/>
              <w:ind w:left="20"/>
              <w:jc w:val="both"/>
            </w:pPr>
            <w:r>
              <w:rPr>
                <w:rFonts w:ascii="Times New Roman"/>
                <w:b w:val="false"/>
                <w:i w:val="false"/>
                <w:color w:val="000000"/>
                <w:sz w:val="20"/>
              </w:rPr>
              <w:t xml:space="preserve">
   Основными пострегистрационными документами фармаконадзора являются ПУР и ПОБ. Главной целью ПОБ является интегрированная пострегистрационная оценка риска и пользы, в то время как целью ПУР является пре- и пострегистрационное управление балансом риска и пользы и планирование, таким образом данные документы являются взаимодополняющими. ПОБ рассматривает общий профиль безопасности как часть интегрированной оценки риска и пользы лекарственного препарата в установленные временные периоды, поэтому в нем рассматриваются общий профиль риска и пользы лекарственного препарата (в гораздо более широком диапазоне возможных нежелательных реакций). Предполагается, что лишь небольшая часть рисков классифицируются как важные идентифицированные или важные потенциальные риски и рассматриваются в качестве проблем по безопасности в рамках ПУР. </w:t>
            </w:r>
          </w:p>
          <w:p>
            <w:pPr>
              <w:spacing w:after="20"/>
              <w:ind w:left="20"/>
              <w:jc w:val="both"/>
            </w:pPr>
            <w:r>
              <w:rPr>
                <w:rFonts w:ascii="Times New Roman"/>
                <w:b w:val="false"/>
                <w:i w:val="false"/>
                <w:color w:val="000000"/>
                <w:sz w:val="20"/>
              </w:rPr>
              <w:t>
   В случае если ПОБ и ПУР представляются одновременно, ПУР отражает заключение по профилю безопасности и эффективности, сделанное в ПОБ. В частности, если в ПОБ сделан вывод о выявлении нового сигнала и его отнесению к числу важных идентифицированных или важных потенциальных рисков, данный риск включается в число проблем по безопасности в обновленную версию ПУР, представляемую одновременно с ПОБ. План по фармаконадзору и план минимизации рисков в этом случае соответствующим образом обновляются с отражением предложений держателя регистрационного удостоверения по дальнейшему изучению данной проблемы по безопасности и мерам минимизации сопряженного риска.</w:t>
            </w:r>
          </w:p>
          <w:p>
            <w:pPr>
              <w:spacing w:after="20"/>
              <w:ind w:left="20"/>
              <w:jc w:val="both"/>
            </w:pPr>
            <w:r>
              <w:rPr>
                <w:rFonts w:ascii="Times New Roman"/>
                <w:b w:val="false"/>
                <w:i w:val="false"/>
                <w:color w:val="000000"/>
                <w:sz w:val="20"/>
              </w:rPr>
              <w:t>
   6.2.7. Принципы оценки планов управления рисками</w:t>
            </w:r>
          </w:p>
          <w:p>
            <w:pPr>
              <w:spacing w:after="20"/>
              <w:ind w:left="20"/>
              <w:jc w:val="both"/>
            </w:pPr>
            <w:r>
              <w:rPr>
                <w:rFonts w:ascii="Times New Roman"/>
                <w:b w:val="false"/>
                <w:i w:val="false"/>
                <w:color w:val="000000"/>
                <w:sz w:val="20"/>
              </w:rPr>
              <w:t>
   Основные вопросы, рассматриваемые при подготовке или пересмотре плана управления рисками для лекарственного препарата:</w:t>
            </w:r>
          </w:p>
          <w:p>
            <w:pPr>
              <w:spacing w:after="20"/>
              <w:ind w:left="20"/>
              <w:jc w:val="both"/>
            </w:pPr>
            <w:r>
              <w:rPr>
                <w:rFonts w:ascii="Times New Roman"/>
                <w:b w:val="false"/>
                <w:i w:val="false"/>
                <w:color w:val="000000"/>
                <w:sz w:val="20"/>
              </w:rPr>
              <w:t>
   6.2.7.1. Спецификация по безопасности</w:t>
            </w:r>
          </w:p>
          <w:p>
            <w:pPr>
              <w:spacing w:after="20"/>
              <w:ind w:left="20"/>
              <w:jc w:val="both"/>
            </w:pPr>
            <w:r>
              <w:rPr>
                <w:rFonts w:ascii="Times New Roman"/>
                <w:b w:val="false"/>
                <w:i w:val="false"/>
                <w:color w:val="000000"/>
                <w:sz w:val="20"/>
              </w:rPr>
              <w:t>
   1) включаются ли в спецификацию безопасности все соответствующие части;</w:t>
            </w:r>
          </w:p>
          <w:p>
            <w:pPr>
              <w:spacing w:after="20"/>
              <w:ind w:left="20"/>
              <w:jc w:val="both"/>
            </w:pPr>
            <w:r>
              <w:rPr>
                <w:rFonts w:ascii="Times New Roman"/>
                <w:b w:val="false"/>
                <w:i w:val="false"/>
                <w:color w:val="000000"/>
                <w:sz w:val="20"/>
              </w:rPr>
              <w:t>
   2) пересматриваются ли все соответствующие данные при составлении спецификации по безопасности, т.е. имеются ли важные (нерешенные) вопросы из других разделов досье, нерассмотренные в спецификации по безопасности;</w:t>
            </w:r>
          </w:p>
          <w:p>
            <w:pPr>
              <w:spacing w:after="20"/>
              <w:ind w:left="20"/>
              <w:jc w:val="both"/>
            </w:pPr>
            <w:r>
              <w:rPr>
                <w:rFonts w:ascii="Times New Roman"/>
                <w:b w:val="false"/>
                <w:i w:val="false"/>
                <w:color w:val="000000"/>
                <w:sz w:val="20"/>
              </w:rPr>
              <w:t>
   3) если часть целевой популяции не изучалась, включены ли соответствующие проблемы по безопасности в связи с потенциальными рисками и отсутствующей информацией;</w:t>
            </w:r>
          </w:p>
          <w:p>
            <w:pPr>
              <w:spacing w:after="20"/>
              <w:ind w:left="20"/>
              <w:jc w:val="both"/>
            </w:pPr>
            <w:r>
              <w:rPr>
                <w:rFonts w:ascii="Times New Roman"/>
                <w:b w:val="false"/>
                <w:i w:val="false"/>
                <w:color w:val="000000"/>
                <w:sz w:val="20"/>
              </w:rPr>
              <w:t>
   4) какие существуют ограничения базы данных по безопасности, и какую степень уверенности она обеспечивает в отношении правильности оценки профиля безопасности лекарственного препарата;</w:t>
            </w:r>
          </w:p>
          <w:p>
            <w:pPr>
              <w:spacing w:after="20"/>
              <w:ind w:left="20"/>
              <w:jc w:val="both"/>
            </w:pPr>
            <w:r>
              <w:rPr>
                <w:rFonts w:ascii="Times New Roman"/>
                <w:b w:val="false"/>
                <w:i w:val="false"/>
                <w:color w:val="000000"/>
                <w:sz w:val="20"/>
              </w:rPr>
              <w:t>
   5) включает ли спецификация по безопасности оценку специфических рисков, в частности, применение не по одобренным показаниям, риск неправильного применения и развития зависимости, риск медицинской ошибки, передачи инфекционных агентов;</w:t>
            </w:r>
          </w:p>
          <w:p>
            <w:pPr>
              <w:spacing w:after="20"/>
              <w:ind w:left="20"/>
              <w:jc w:val="both"/>
            </w:pPr>
            <w:r>
              <w:rPr>
                <w:rFonts w:ascii="Times New Roman"/>
                <w:b w:val="false"/>
                <w:i w:val="false"/>
                <w:color w:val="000000"/>
                <w:sz w:val="20"/>
              </w:rPr>
              <w:t>
   6) представляет ли спецификация по безопасности реальное отражение проблем по безопасности (т.е. важные выявленные риски, важные потенциальные риски и важная отсутствующая информация), касающихся лекарственных препаратов;</w:t>
            </w:r>
          </w:p>
          <w:p>
            <w:pPr>
              <w:spacing w:after="20"/>
              <w:ind w:left="20"/>
              <w:jc w:val="both"/>
            </w:pPr>
            <w:r>
              <w:rPr>
                <w:rFonts w:ascii="Times New Roman"/>
                <w:b w:val="false"/>
                <w:i w:val="false"/>
                <w:color w:val="000000"/>
                <w:sz w:val="20"/>
              </w:rPr>
              <w:t>
   7) содержит ли спецификация по безопасности генерического лекарственного препарата все проблемы по безопасности, установленные для референтного лекарственного препарата;</w:t>
            </w:r>
          </w:p>
          <w:p>
            <w:pPr>
              <w:spacing w:after="20"/>
              <w:ind w:left="20"/>
              <w:jc w:val="both"/>
            </w:pPr>
            <w:r>
              <w:rPr>
                <w:rFonts w:ascii="Times New Roman"/>
                <w:b w:val="false"/>
                <w:i w:val="false"/>
                <w:color w:val="000000"/>
                <w:sz w:val="20"/>
              </w:rPr>
              <w:t>
   8) соответствует ли указанное место лекарственного препарата в терапевтическом арсенале предполагаемому назначению и современной медицинской практике.</w:t>
            </w:r>
          </w:p>
          <w:p>
            <w:pPr>
              <w:spacing w:after="20"/>
              <w:ind w:left="20"/>
              <w:jc w:val="both"/>
            </w:pPr>
            <w:r>
              <w:rPr>
                <w:rFonts w:ascii="Times New Roman"/>
                <w:b w:val="false"/>
                <w:i w:val="false"/>
                <w:color w:val="000000"/>
                <w:sz w:val="20"/>
              </w:rPr>
              <w:t>
   6.2.7.2. План фармаконадзора</w:t>
            </w:r>
          </w:p>
          <w:p>
            <w:pPr>
              <w:spacing w:after="20"/>
              <w:ind w:left="20"/>
              <w:jc w:val="both"/>
            </w:pPr>
            <w:r>
              <w:rPr>
                <w:rFonts w:ascii="Times New Roman"/>
                <w:b w:val="false"/>
                <w:i w:val="false"/>
                <w:color w:val="000000"/>
                <w:sz w:val="20"/>
              </w:rPr>
              <w:t>
   1) все ли проблемы по безопасности, устанавливаемые спецификацией по безопасности, включены в план фармаконадзора;</w:t>
            </w:r>
          </w:p>
          <w:p>
            <w:pPr>
              <w:spacing w:after="20"/>
              <w:ind w:left="20"/>
              <w:jc w:val="both"/>
            </w:pPr>
            <w:r>
              <w:rPr>
                <w:rFonts w:ascii="Times New Roman"/>
                <w:b w:val="false"/>
                <w:i w:val="false"/>
                <w:color w:val="000000"/>
                <w:sz w:val="20"/>
              </w:rPr>
              <w:t>
   2) достаточно ли рутинных мероприятий по фармаконадзору (как это представлено в описании системы фармаконадзора) или имеется необходимость в проведении дополнительных мероприятий по фармаконадзору;</w:t>
            </w:r>
          </w:p>
          <w:p>
            <w:pPr>
              <w:spacing w:after="20"/>
              <w:ind w:left="20"/>
              <w:jc w:val="both"/>
            </w:pPr>
            <w:r>
              <w:rPr>
                <w:rFonts w:ascii="Times New Roman"/>
                <w:b w:val="false"/>
                <w:i w:val="false"/>
                <w:color w:val="000000"/>
                <w:sz w:val="20"/>
              </w:rPr>
              <w:t>
   3) дано ли четкое определение и описание деятельности по фармаконадзору в плане по фармаконадзору, является ли данная информация достаточной для идентификации или характеристики рисков или представления отсутствующей информации;</w:t>
            </w:r>
          </w:p>
          <w:p>
            <w:pPr>
              <w:spacing w:after="20"/>
              <w:ind w:left="20"/>
              <w:jc w:val="both"/>
            </w:pPr>
            <w:r>
              <w:rPr>
                <w:rFonts w:ascii="Times New Roman"/>
                <w:b w:val="false"/>
                <w:i w:val="false"/>
                <w:color w:val="000000"/>
                <w:sz w:val="20"/>
              </w:rPr>
              <w:t>
   4) включает ли ПУР соответствующие и адекватные предложения для мониторинга медицинских ошибок при применении лекарственного препарата;</w:t>
            </w:r>
          </w:p>
          <w:p>
            <w:pPr>
              <w:spacing w:after="20"/>
              <w:ind w:left="20"/>
              <w:jc w:val="both"/>
            </w:pPr>
            <w:r>
              <w:rPr>
                <w:rFonts w:ascii="Times New Roman"/>
                <w:b w:val="false"/>
                <w:i w:val="false"/>
                <w:color w:val="000000"/>
                <w:sz w:val="20"/>
              </w:rPr>
              <w:t>
   5) являются ли предложенные дополнительные исследования (испытания) необходимыми и (или) полезными;</w:t>
            </w:r>
          </w:p>
          <w:p>
            <w:pPr>
              <w:spacing w:after="20"/>
              <w:ind w:left="20"/>
              <w:jc w:val="both"/>
            </w:pPr>
            <w:r>
              <w:rPr>
                <w:rFonts w:ascii="Times New Roman"/>
                <w:b w:val="false"/>
                <w:i w:val="false"/>
                <w:color w:val="000000"/>
                <w:sz w:val="20"/>
              </w:rPr>
              <w:t>
   6) согласно представленным проектам протоколов исследований являются ли предлагаемые исследования в плане фармаконадзора адекватными для изучения научных вопросов и выполнимыми;</w:t>
            </w:r>
          </w:p>
          <w:p>
            <w:pPr>
              <w:spacing w:after="20"/>
              <w:ind w:left="20"/>
              <w:jc w:val="both"/>
            </w:pPr>
            <w:r>
              <w:rPr>
                <w:rFonts w:ascii="Times New Roman"/>
                <w:b w:val="false"/>
                <w:i w:val="false"/>
                <w:color w:val="000000"/>
                <w:sz w:val="20"/>
              </w:rPr>
              <w:t>
   7) определены ли соответствующие основные сроки и этапы в отношении предлагаемых мер, представления результатов и обновления плана фармаконадзора.</w:t>
            </w:r>
          </w:p>
          <w:p>
            <w:pPr>
              <w:spacing w:after="20"/>
              <w:ind w:left="20"/>
              <w:jc w:val="both"/>
            </w:pPr>
            <w:r>
              <w:rPr>
                <w:rFonts w:ascii="Times New Roman"/>
                <w:b w:val="false"/>
                <w:i w:val="false"/>
                <w:color w:val="000000"/>
                <w:sz w:val="20"/>
              </w:rPr>
              <w:t>
   6.2.7.3. Планы пострегистрационных исследований безопасности</w:t>
            </w:r>
          </w:p>
          <w:p>
            <w:pPr>
              <w:spacing w:after="20"/>
              <w:ind w:left="20"/>
              <w:jc w:val="both"/>
            </w:pPr>
            <w:r>
              <w:rPr>
                <w:rFonts w:ascii="Times New Roman"/>
                <w:b w:val="false"/>
                <w:i w:val="false"/>
                <w:color w:val="000000"/>
                <w:sz w:val="20"/>
              </w:rPr>
              <w:t>
   1) соответствует ли описание эффективности лекарственного препарата и информации об исследованиях и конечных точках, на которых она основывалась, содержанию досье;</w:t>
            </w:r>
          </w:p>
          <w:p>
            <w:pPr>
              <w:spacing w:after="20"/>
              <w:ind w:left="20"/>
              <w:jc w:val="both"/>
            </w:pPr>
            <w:r>
              <w:rPr>
                <w:rFonts w:ascii="Times New Roman"/>
                <w:b w:val="false"/>
                <w:i w:val="false"/>
                <w:color w:val="000000"/>
                <w:sz w:val="20"/>
              </w:rPr>
              <w:t>
   2) носят ли какие-либо из предложенных исследований рекламный характер (т.е. исследование, не ставящее перед собой достоверный научный вопрос в качестве первоочередной цели и предназначенное для повышения спроса на лекарственный препарат);</w:t>
            </w:r>
          </w:p>
          <w:p>
            <w:pPr>
              <w:spacing w:after="20"/>
              <w:ind w:left="20"/>
              <w:jc w:val="both"/>
            </w:pPr>
            <w:r>
              <w:rPr>
                <w:rFonts w:ascii="Times New Roman"/>
                <w:b w:val="false"/>
                <w:i w:val="false"/>
                <w:color w:val="000000"/>
                <w:sz w:val="20"/>
              </w:rPr>
              <w:t>
   3) насколько надежны данные по эффективности и существует ли необходимость запроса на проведение дальнейших исследований эффективности в качестве условия получения регистрационного удостоверения.</w:t>
            </w:r>
          </w:p>
          <w:p>
            <w:pPr>
              <w:spacing w:after="20"/>
              <w:ind w:left="20"/>
              <w:jc w:val="both"/>
            </w:pPr>
            <w:r>
              <w:rPr>
                <w:rFonts w:ascii="Times New Roman"/>
                <w:b w:val="false"/>
                <w:i w:val="false"/>
                <w:color w:val="000000"/>
                <w:sz w:val="20"/>
              </w:rPr>
              <w:t>
   6.2.7.4. Мероприятия по минимизации рисков</w:t>
            </w:r>
          </w:p>
          <w:p>
            <w:pPr>
              <w:spacing w:after="20"/>
              <w:ind w:left="20"/>
              <w:jc w:val="both"/>
            </w:pPr>
            <w:r>
              <w:rPr>
                <w:rFonts w:ascii="Times New Roman"/>
                <w:b w:val="false"/>
                <w:i w:val="false"/>
                <w:color w:val="000000"/>
                <w:sz w:val="20"/>
              </w:rPr>
              <w:t>
   1) соответствующим ли образом информация о лекарственном препарате отражает все важные выявленные риски и важную отсутствующую информацию;</w:t>
            </w:r>
          </w:p>
          <w:p>
            <w:pPr>
              <w:spacing w:after="20"/>
              <w:ind w:left="20"/>
              <w:jc w:val="both"/>
            </w:pPr>
            <w:r>
              <w:rPr>
                <w:rFonts w:ascii="Times New Roman"/>
                <w:b w:val="false"/>
                <w:i w:val="false"/>
                <w:color w:val="000000"/>
                <w:sz w:val="20"/>
              </w:rPr>
              <w:t>
   2) необходимо ли включить в информацию о лекарственном препарате потенциальные риски, достаточно актуальные в отношении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3) соответствует ли предлагаемая формулировка о рисках и их выявлении информации и рекомендациям в инструкции по медицинскому применению;</w:t>
            </w:r>
          </w:p>
          <w:p>
            <w:pPr>
              <w:spacing w:after="20"/>
              <w:ind w:left="20"/>
              <w:jc w:val="both"/>
            </w:pPr>
            <w:r>
              <w:rPr>
                <w:rFonts w:ascii="Times New Roman"/>
                <w:b w:val="false"/>
                <w:i w:val="false"/>
                <w:color w:val="000000"/>
                <w:sz w:val="20"/>
              </w:rPr>
              <w:t>
   4) рассмотрел ли держатель регистрационного удостоверения пути снижения риска медицинских ошибок при применении лекарственного препарата;</w:t>
            </w:r>
          </w:p>
          <w:p>
            <w:pPr>
              <w:spacing w:after="20"/>
              <w:ind w:left="20"/>
              <w:jc w:val="both"/>
            </w:pPr>
            <w:r>
              <w:rPr>
                <w:rFonts w:ascii="Times New Roman"/>
                <w:b w:val="false"/>
                <w:i w:val="false"/>
                <w:color w:val="000000"/>
                <w:sz w:val="20"/>
              </w:rPr>
              <w:t>
   5) была ли эта информация включена в соответствующую информацию о лекарственном препарате, меры (включая разработку конструкции устройства в случае необходимости) и дизайн упаковки.</w:t>
            </w:r>
          </w:p>
          <w:p>
            <w:pPr>
              <w:spacing w:after="20"/>
              <w:ind w:left="20"/>
              <w:jc w:val="both"/>
            </w:pPr>
            <w:r>
              <w:rPr>
                <w:rFonts w:ascii="Times New Roman"/>
                <w:b w:val="false"/>
                <w:i w:val="false"/>
                <w:color w:val="000000"/>
                <w:sz w:val="20"/>
              </w:rPr>
              <w:t>
   6) были ли предложенные мероприятия по минимизации рисков адекватными рискам и достаточными;</w:t>
            </w:r>
          </w:p>
          <w:p>
            <w:pPr>
              <w:spacing w:after="20"/>
              <w:ind w:left="20"/>
              <w:jc w:val="both"/>
            </w:pPr>
            <w:r>
              <w:rPr>
                <w:rFonts w:ascii="Times New Roman"/>
                <w:b w:val="false"/>
                <w:i w:val="false"/>
                <w:color w:val="000000"/>
                <w:sz w:val="20"/>
              </w:rPr>
              <w:t>
   7) были ли предложены дополнительные мероприятия по минимизации рисков и могут ли они быть оценены как соразмерные рискам и адекватно обоснованные;</w:t>
            </w:r>
          </w:p>
          <w:p>
            <w:pPr>
              <w:spacing w:after="20"/>
              <w:ind w:left="20"/>
              <w:jc w:val="both"/>
            </w:pPr>
            <w:r>
              <w:rPr>
                <w:rFonts w:ascii="Times New Roman"/>
                <w:b w:val="false"/>
                <w:i w:val="false"/>
                <w:color w:val="000000"/>
                <w:sz w:val="20"/>
              </w:rPr>
              <w:t>
   8) включено ли подробное описание предложенных методик для измерения и оценки эффективности мероприятий по минимизации рисков и являются ли они целесообразными;</w:t>
            </w:r>
          </w:p>
          <w:p>
            <w:pPr>
              <w:spacing w:after="20"/>
              <w:ind w:left="20"/>
              <w:jc w:val="both"/>
            </w:pPr>
            <w:r>
              <w:rPr>
                <w:rFonts w:ascii="Times New Roman"/>
                <w:b w:val="false"/>
                <w:i w:val="false"/>
                <w:color w:val="000000"/>
                <w:sz w:val="20"/>
              </w:rPr>
              <w:t>
   9) были ли критерии оценки эффективности дополнительных мероприятий по минимизации рисков определены изначально.</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 При оценке обновления</w:t>
            </w:r>
          </w:p>
          <w:p>
            <w:pPr>
              <w:spacing w:after="20"/>
              <w:ind w:left="20"/>
              <w:jc w:val="both"/>
            </w:pPr>
            <w:r>
              <w:rPr>
                <w:rFonts w:ascii="Times New Roman"/>
                <w:b w:val="false"/>
                <w:i w:val="false"/>
                <w:color w:val="000000"/>
                <w:sz w:val="20"/>
              </w:rPr>
              <w:t>
   1) были ли новые данные включены в спецификацию по безопасности;</w:t>
            </w:r>
          </w:p>
          <w:p>
            <w:pPr>
              <w:spacing w:after="20"/>
              <w:ind w:left="20"/>
              <w:jc w:val="both"/>
            </w:pPr>
            <w:r>
              <w:rPr>
                <w:rFonts w:ascii="Times New Roman"/>
                <w:b w:val="false"/>
                <w:i w:val="false"/>
                <w:color w:val="000000"/>
                <w:sz w:val="20"/>
              </w:rPr>
              <w:t>
   2) были ли в план фармаконадзора внесены соответствующие изменения (если это необходимо с учетом новых данных);</w:t>
            </w:r>
          </w:p>
          <w:p>
            <w:pPr>
              <w:spacing w:after="20"/>
              <w:ind w:left="20"/>
              <w:jc w:val="both"/>
            </w:pPr>
            <w:r>
              <w:rPr>
                <w:rFonts w:ascii="Times New Roman"/>
                <w:b w:val="false"/>
                <w:i w:val="false"/>
                <w:color w:val="000000"/>
                <w:sz w:val="20"/>
              </w:rPr>
              <w:t>
   3) насколько эффективными были введенные мероприятия по минимизации рисков;</w:t>
            </w:r>
          </w:p>
          <w:p>
            <w:pPr>
              <w:spacing w:after="20"/>
              <w:ind w:left="20"/>
              <w:jc w:val="both"/>
            </w:pPr>
            <w:r>
              <w:rPr>
                <w:rFonts w:ascii="Times New Roman"/>
                <w:b w:val="false"/>
                <w:i w:val="false"/>
                <w:color w:val="000000"/>
                <w:sz w:val="20"/>
              </w:rPr>
              <w:t>
   4) были ли в случае необходимости предложены изменения в мероприятия по минимизации рисков;</w:t>
            </w:r>
          </w:p>
          <w:p>
            <w:pPr>
              <w:spacing w:after="20"/>
              <w:ind w:left="20"/>
              <w:jc w:val="both"/>
            </w:pPr>
            <w:r>
              <w:rPr>
                <w:rFonts w:ascii="Times New Roman"/>
                <w:b w:val="false"/>
                <w:i w:val="false"/>
                <w:color w:val="000000"/>
                <w:sz w:val="20"/>
              </w:rPr>
              <w:t>
   5) свидетельствуют ли новые данные о том, что требуется официальная оценка соотношения польза-риск (если это еще не было сделано в ПОБ).</w:t>
            </w:r>
          </w:p>
          <w:p>
            <w:pPr>
              <w:spacing w:after="20"/>
              <w:ind w:left="20"/>
              <w:jc w:val="both"/>
            </w:pPr>
            <w:r>
              <w:rPr>
                <w:rFonts w:ascii="Times New Roman"/>
                <w:b w:val="false"/>
                <w:i w:val="false"/>
                <w:color w:val="000000"/>
                <w:sz w:val="20"/>
              </w:rPr>
              <w:t>
   6.2.8. Системы качества и управление документацией</w:t>
            </w:r>
          </w:p>
          <w:p>
            <w:pPr>
              <w:spacing w:after="20"/>
              <w:ind w:left="20"/>
              <w:jc w:val="both"/>
            </w:pPr>
            <w:r>
              <w:rPr>
                <w:rFonts w:ascii="Times New Roman"/>
                <w:b w:val="false"/>
                <w:i w:val="false"/>
                <w:color w:val="000000"/>
                <w:sz w:val="20"/>
              </w:rPr>
              <w:t>
   Несмотря на то, что в процесс написания ПУР вовлекается множество экспертов, окончательную ответственность за его качество, точность и научную целостность несет уполномоченное лицо по фармаконадзору в Республике Казахстан. Держатель регистрационного удостоверения несет ответственность за обновление ПУР, когда становится доступной новая информация, и применяет принципы обеспечения качества, изложенные в Разделе 2 "Требования к системе качества" данного руководства. Держатель регистрационного удостоверения обеспечивает контроль и документирование процедуры представления ПУР в уполномоченную организацию с указанием дат представления и всех значительных изменений, внесенных в каждую версию ПУР. Данные записи, ПУР и любые документы, имеющие отношение к информации в рамках ПУР, подвергаются проверке квалифицированными инспекторами по фармаконадзору.</w:t>
            </w:r>
          </w:p>
          <w:p>
            <w:pPr>
              <w:spacing w:after="20"/>
              <w:ind w:left="20"/>
              <w:jc w:val="both"/>
            </w:pPr>
            <w:r>
              <w:rPr>
                <w:rFonts w:ascii="Times New Roman"/>
                <w:b w:val="false"/>
                <w:i w:val="false"/>
                <w:color w:val="000000"/>
                <w:sz w:val="20"/>
              </w:rPr>
              <w:t>
   </w:t>
            </w:r>
            <w:r>
              <w:rPr>
                <w:rFonts w:ascii="Times New Roman"/>
                <w:b/>
                <w:i w:val="false"/>
                <w:color w:val="000000"/>
                <w:sz w:val="20"/>
              </w:rPr>
              <w:t>6.3. Требования к представлению ПУР</w:t>
            </w:r>
          </w:p>
          <w:p>
            <w:pPr>
              <w:spacing w:after="20"/>
              <w:ind w:left="20"/>
              <w:jc w:val="both"/>
            </w:pPr>
            <w:r>
              <w:rPr>
                <w:rFonts w:ascii="Times New Roman"/>
                <w:b w:val="false"/>
                <w:i w:val="false"/>
                <w:color w:val="000000"/>
                <w:sz w:val="20"/>
              </w:rPr>
              <w:t>
   </w:t>
            </w:r>
            <w:r>
              <w:rPr>
                <w:rFonts w:ascii="Times New Roman"/>
                <w:b/>
                <w:i w:val="false"/>
                <w:color w:val="000000"/>
                <w:sz w:val="20"/>
              </w:rPr>
              <w:t>6.3.1. Ситуации, в которых предоставляется ПУР</w:t>
            </w:r>
          </w:p>
          <w:p>
            <w:pPr>
              <w:spacing w:after="20"/>
              <w:ind w:left="20"/>
              <w:jc w:val="both"/>
            </w:pPr>
            <w:r>
              <w:rPr>
                <w:rFonts w:ascii="Times New Roman"/>
                <w:b w:val="false"/>
                <w:i w:val="false"/>
                <w:color w:val="000000"/>
                <w:sz w:val="20"/>
              </w:rPr>
              <w:t>
   Представление ПУР или, в соответствующих случаях, его обновление, требуется в любое время в течение жизненного цикла лекарственного препарата.</w:t>
            </w:r>
          </w:p>
          <w:p>
            <w:pPr>
              <w:spacing w:after="20"/>
              <w:ind w:left="20"/>
              <w:jc w:val="both"/>
            </w:pPr>
            <w:r>
              <w:rPr>
                <w:rFonts w:ascii="Times New Roman"/>
                <w:b w:val="false"/>
                <w:i w:val="false"/>
                <w:color w:val="000000"/>
                <w:sz w:val="20"/>
              </w:rPr>
              <w:t>
   6.3.1.1. При первичной подаче заявления на государственную регистрацию лекарственного препарата ПУР представляется в следующих случаях:</w:t>
            </w:r>
          </w:p>
          <w:p>
            <w:pPr>
              <w:spacing w:after="20"/>
              <w:ind w:left="20"/>
              <w:jc w:val="both"/>
            </w:pPr>
            <w:r>
              <w:rPr>
                <w:rFonts w:ascii="Times New Roman"/>
                <w:b w:val="false"/>
                <w:i w:val="false"/>
                <w:color w:val="000000"/>
                <w:sz w:val="20"/>
              </w:rPr>
              <w:t>
   1) при подаче на государственную регистрацию лекарственного препарата, содержащего ранее не зарегистрированное в Республике Казахстан действующее вещество;</w:t>
            </w:r>
          </w:p>
          <w:p>
            <w:pPr>
              <w:spacing w:after="20"/>
              <w:ind w:left="20"/>
              <w:jc w:val="both"/>
            </w:pPr>
            <w:r>
              <w:rPr>
                <w:rFonts w:ascii="Times New Roman"/>
                <w:b w:val="false"/>
                <w:i w:val="false"/>
                <w:color w:val="000000"/>
                <w:sz w:val="20"/>
              </w:rPr>
              <w:t>
   2) при подаче на государственную регистрацию лекарственного препарата, содержащего ранее не зарегистрированную в Республике Казахстан комбинацию действующих веществ;</w:t>
            </w:r>
          </w:p>
          <w:p>
            <w:pPr>
              <w:spacing w:after="20"/>
              <w:ind w:left="20"/>
              <w:jc w:val="both"/>
            </w:pPr>
            <w:r>
              <w:rPr>
                <w:rFonts w:ascii="Times New Roman"/>
                <w:b w:val="false"/>
                <w:i w:val="false"/>
                <w:color w:val="000000"/>
                <w:sz w:val="20"/>
              </w:rPr>
              <w:t>
   3) при заявлении на государственную регистрацию лекарственного препарата биологического происхождения.</w:t>
            </w:r>
          </w:p>
          <w:p>
            <w:pPr>
              <w:spacing w:after="20"/>
              <w:ind w:left="20"/>
              <w:jc w:val="both"/>
            </w:pPr>
            <w:r>
              <w:rPr>
                <w:rFonts w:ascii="Times New Roman"/>
                <w:b w:val="false"/>
                <w:i w:val="false"/>
                <w:color w:val="000000"/>
                <w:sz w:val="20"/>
              </w:rPr>
              <w:t xml:space="preserve">
   Уполномоченная организация имеет право потребовать представление ПУР при заявлении на государственную регистрацию лекарственного препарата в иных случаях, когда обеспечение применения лекарственного препарата при превышении пользы над риском требует введения дополнительных мероприятий по фармаконадзору или мероприятий по минимизации рисков. </w:t>
            </w:r>
          </w:p>
          <w:p>
            <w:pPr>
              <w:spacing w:after="20"/>
              <w:ind w:left="20"/>
              <w:jc w:val="both"/>
            </w:pPr>
            <w:r>
              <w:rPr>
                <w:rFonts w:ascii="Times New Roman"/>
                <w:b w:val="false"/>
                <w:i w:val="false"/>
                <w:color w:val="000000"/>
                <w:sz w:val="20"/>
              </w:rPr>
              <w:t>
   6.3.1.2. Уполномоченная организация запрашивает представление ПУР в следующих случаях:</w:t>
            </w:r>
          </w:p>
          <w:p>
            <w:pPr>
              <w:spacing w:after="20"/>
              <w:ind w:left="20"/>
              <w:jc w:val="both"/>
            </w:pPr>
            <w:r>
              <w:rPr>
                <w:rFonts w:ascii="Times New Roman"/>
                <w:b w:val="false"/>
                <w:i w:val="false"/>
                <w:color w:val="000000"/>
                <w:sz w:val="20"/>
              </w:rPr>
              <w:t>
   1) при внесении значительных изменений в существующее удостоверение о государственной регистрации, область применения, аспекты производственного процесса:</w:t>
            </w:r>
          </w:p>
          <w:p>
            <w:pPr>
              <w:spacing w:after="20"/>
              <w:ind w:left="20"/>
              <w:jc w:val="both"/>
            </w:pPr>
            <w:r>
              <w:rPr>
                <w:rFonts w:ascii="Times New Roman"/>
                <w:b w:val="false"/>
                <w:i w:val="false"/>
                <w:color w:val="000000"/>
                <w:sz w:val="20"/>
              </w:rPr>
              <w:t>
   новая лекарственная форма;</w:t>
            </w:r>
          </w:p>
          <w:p>
            <w:pPr>
              <w:spacing w:after="20"/>
              <w:ind w:left="20"/>
              <w:jc w:val="both"/>
            </w:pPr>
            <w:r>
              <w:rPr>
                <w:rFonts w:ascii="Times New Roman"/>
                <w:b w:val="false"/>
                <w:i w:val="false"/>
                <w:color w:val="000000"/>
                <w:sz w:val="20"/>
              </w:rPr>
              <w:t>
   новый способ введения;</w:t>
            </w:r>
          </w:p>
          <w:p>
            <w:pPr>
              <w:spacing w:after="20"/>
              <w:ind w:left="20"/>
              <w:jc w:val="both"/>
            </w:pPr>
            <w:r>
              <w:rPr>
                <w:rFonts w:ascii="Times New Roman"/>
                <w:b w:val="false"/>
                <w:i w:val="false"/>
                <w:color w:val="000000"/>
                <w:sz w:val="20"/>
              </w:rPr>
              <w:t>
   новый способ производства биотехнологических лекарственных препаратов;</w:t>
            </w:r>
          </w:p>
          <w:p>
            <w:pPr>
              <w:spacing w:after="20"/>
              <w:ind w:left="20"/>
              <w:jc w:val="both"/>
            </w:pPr>
            <w:r>
              <w:rPr>
                <w:rFonts w:ascii="Times New Roman"/>
                <w:b w:val="false"/>
                <w:i w:val="false"/>
                <w:color w:val="000000"/>
                <w:sz w:val="20"/>
              </w:rPr>
              <w:t>
   введение педиатрических показаний;</w:t>
            </w:r>
          </w:p>
          <w:p>
            <w:pPr>
              <w:spacing w:after="20"/>
              <w:ind w:left="20"/>
              <w:jc w:val="both"/>
            </w:pPr>
            <w:r>
              <w:rPr>
                <w:rFonts w:ascii="Times New Roman"/>
                <w:b w:val="false"/>
                <w:i w:val="false"/>
                <w:color w:val="000000"/>
                <w:sz w:val="20"/>
              </w:rPr>
              <w:t>
   другие значительные изменения в показаниях.</w:t>
            </w:r>
          </w:p>
          <w:p>
            <w:pPr>
              <w:spacing w:after="20"/>
              <w:ind w:left="20"/>
              <w:jc w:val="both"/>
            </w:pPr>
            <w:r>
              <w:rPr>
                <w:rFonts w:ascii="Times New Roman"/>
                <w:b w:val="false"/>
                <w:i w:val="false"/>
                <w:color w:val="000000"/>
                <w:sz w:val="20"/>
              </w:rPr>
              <w:t>
   2) при существовании проблемы по безопасности, оказывающей влияние на соотношение польза - риск;</w:t>
            </w:r>
          </w:p>
          <w:p>
            <w:pPr>
              <w:spacing w:after="20"/>
              <w:ind w:left="20"/>
              <w:jc w:val="both"/>
            </w:pPr>
            <w:r>
              <w:rPr>
                <w:rFonts w:ascii="Times New Roman"/>
                <w:b w:val="false"/>
                <w:i w:val="false"/>
                <w:color w:val="000000"/>
                <w:sz w:val="20"/>
              </w:rPr>
              <w:t>
   3) при продлении удостоверения о государственной регистрации, если в отношении лекарственного препарата имеется существующий ПУР.</w:t>
            </w:r>
          </w:p>
          <w:p>
            <w:pPr>
              <w:spacing w:after="20"/>
              <w:ind w:left="20"/>
              <w:jc w:val="both"/>
            </w:pPr>
            <w:r>
              <w:rPr>
                <w:rFonts w:ascii="Times New Roman"/>
                <w:b w:val="false"/>
                <w:i w:val="false"/>
                <w:color w:val="000000"/>
                <w:sz w:val="20"/>
              </w:rPr>
              <w:t>
   6.3.1.1. Требования в особых ситуациях</w:t>
            </w:r>
          </w:p>
          <w:p>
            <w:pPr>
              <w:spacing w:after="20"/>
              <w:ind w:left="20"/>
              <w:jc w:val="both"/>
            </w:pPr>
            <w:r>
              <w:rPr>
                <w:rFonts w:ascii="Times New Roman"/>
                <w:b w:val="false"/>
                <w:i w:val="false"/>
                <w:color w:val="000000"/>
                <w:sz w:val="20"/>
              </w:rPr>
              <w:t>
   Как правило, представляются все части ПУР. Тем не менее, в некоторых случаях, описанных ниже, в соответствии с концепцией пропорциональности, некоторые части или модули опускаются, если только уполномоченный орган не представляет иных требований. Тем не менее, любые проблемы по безопасности, выявленные в отношении референтного лекарственного препарата в разделе, исключенном из общего представления ПУР, включают в модуль СVIII ПУР, за исключением случаев, когда они больше не являются актуальными.</w:t>
            </w:r>
          </w:p>
          <w:p>
            <w:pPr>
              <w:spacing w:after="20"/>
              <w:ind w:left="20"/>
              <w:jc w:val="both"/>
            </w:pPr>
            <w:r>
              <w:rPr>
                <w:rFonts w:ascii="Times New Roman"/>
                <w:b w:val="false"/>
                <w:i w:val="false"/>
                <w:color w:val="000000"/>
                <w:sz w:val="20"/>
              </w:rPr>
              <w:t>
   1) Первичная подача на регистрацию генерических лекарственных препаратов</w:t>
            </w:r>
          </w:p>
          <w:p>
            <w:pPr>
              <w:spacing w:after="20"/>
              <w:ind w:left="20"/>
              <w:jc w:val="both"/>
            </w:pPr>
            <w:r>
              <w:rPr>
                <w:rFonts w:ascii="Times New Roman"/>
                <w:b w:val="false"/>
                <w:i w:val="false"/>
                <w:color w:val="000000"/>
                <w:sz w:val="20"/>
              </w:rPr>
              <w:t>
   В случае первичной подачи на регистрацию генерических лекарственных препаратов, для которых по оригинальным лекарственным препаратам введен ПУР, разделы СII-СV спецификации по безопасности опускаются. Раздел СVI основан на представлении информации о проблемах по безопасности, установленных для оригинального лекарственного препарата, если только генерический лекарственный препарат не отличается по своим свойствам настолько существенно, что это влияет на профиль безопасности, либо если иное не требует уполномоченный орган. При условии, если в отношении оригинального лекарственного препарата не введено никаких дополнительных мероприятий по фармаконадзору или проведению исследований эффективности, в качестве условия для получения регистрационного удостоверения, части III и IV ПУР и раздел о планируемом пострегистрационном развитии в части VI ПУР не представляются.</w:t>
            </w:r>
          </w:p>
          <w:p>
            <w:pPr>
              <w:spacing w:after="20"/>
              <w:ind w:left="20"/>
              <w:jc w:val="both"/>
            </w:pPr>
            <w:r>
              <w:rPr>
                <w:rFonts w:ascii="Times New Roman"/>
                <w:b w:val="false"/>
                <w:i w:val="false"/>
                <w:color w:val="000000"/>
                <w:sz w:val="20"/>
              </w:rPr>
              <w:t>
   При представлении обновления ПУР, включается модуль СV ПУР.</w:t>
            </w:r>
          </w:p>
          <w:p>
            <w:pPr>
              <w:spacing w:after="20"/>
              <w:ind w:left="20"/>
              <w:jc w:val="both"/>
            </w:pPr>
            <w:r>
              <w:rPr>
                <w:rFonts w:ascii="Times New Roman"/>
                <w:b w:val="false"/>
                <w:i w:val="false"/>
                <w:color w:val="000000"/>
                <w:sz w:val="20"/>
              </w:rPr>
              <w:t>
   2) Подача на включение нового показания по медицинскому применению лекарственного препарата, зарегистрированного на территории Республики Казахстан на протяжении 10 лет</w:t>
            </w:r>
          </w:p>
          <w:p>
            <w:pPr>
              <w:spacing w:after="20"/>
              <w:ind w:left="20"/>
              <w:jc w:val="both"/>
            </w:pPr>
            <w:r>
              <w:rPr>
                <w:rFonts w:ascii="Times New Roman"/>
                <w:b w:val="false"/>
                <w:i w:val="false"/>
                <w:color w:val="000000"/>
                <w:sz w:val="20"/>
              </w:rPr>
              <w:t>
   При подаче заявления на включение нового показания на уже зарегистрированный на протяжении 10 лет на территории Республики Казахстан лекарственный препарат, данные клинических исследований (испытаний), связанные с уже одобренными показаниями, исключаются из модуля СIII ПУР, а модуль СIV ПУР включает информацию только в отношении целевых групп популяции по новому показанию, если только уполномоченный орган не представляет иных требований. Тем не менее, возможно включение данных об опыте использования уже зарегистрированных лекарственных препаратов у особых групп населения, являющихся предметом рассмотрения модуля СIV ПУР.</w:t>
            </w:r>
          </w:p>
          <w:p>
            <w:pPr>
              <w:spacing w:after="20"/>
              <w:ind w:left="20"/>
              <w:jc w:val="both"/>
            </w:pPr>
            <w:r>
              <w:rPr>
                <w:rFonts w:ascii="Times New Roman"/>
                <w:b w:val="false"/>
                <w:i w:val="false"/>
                <w:color w:val="000000"/>
                <w:sz w:val="20"/>
              </w:rPr>
              <w:t>
   При подаче заявления на первичную государственную регистрацию требования по представлению данных по разделам ПУР приведены в таблице 1.</w:t>
            </w:r>
          </w:p>
          <w:p>
            <w:pPr>
              <w:spacing w:after="20"/>
              <w:ind w:left="20"/>
              <w:jc w:val="both"/>
            </w:pPr>
            <w:r>
              <w:rPr>
                <w:rFonts w:ascii="Times New Roman"/>
                <w:b w:val="false"/>
                <w:i w:val="false"/>
                <w:color w:val="000000"/>
                <w:sz w:val="20"/>
              </w:rPr>
              <w:t>
   Таблица 1. Требования к представлению информации по разделам ПУР при подаче заявления на получение удостоверения о государственной регистрации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15"/>
              <w:gridCol w:w="769"/>
              <w:gridCol w:w="875"/>
              <w:gridCol w:w="982"/>
              <w:gridCol w:w="1000"/>
              <w:gridCol w:w="893"/>
              <w:gridCol w:w="1000"/>
              <w:gridCol w:w="1143"/>
              <w:gridCol w:w="1107"/>
              <w:gridCol w:w="1213"/>
              <w:gridCol w:w="528"/>
              <w:gridCol w:w="546"/>
              <w:gridCol w:w="440"/>
              <w:gridCol w:w="547"/>
              <w:gridCol w:w="654"/>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подачи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СI</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СII</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СIII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СIV</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СV</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СVI</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СVIa</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СVII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Раздел СVIII</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VI</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VII</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активное вещество</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Биоаналог</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Генерический лекарственный препарат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Аналогичное активное вещество</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Может опускаться в определенных случаях</w:t>
                  </w:r>
                </w:p>
                <w:p>
                  <w:pPr>
                    <w:spacing w:after="20"/>
                    <w:ind w:left="20"/>
                    <w:jc w:val="both"/>
                  </w:pPr>
                  <w:r>
                    <w:rPr>
                      <w:rFonts w:ascii="Times New Roman"/>
                      <w:b w:val="false"/>
                      <w:i w:val="false"/>
                      <w:color w:val="000000"/>
                      <w:sz w:val="20"/>
                    </w:rPr>
                    <w:t>
* Модифицированные требования</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Первоначальный ПУР для лекарственных препаратов, находящихся в обращении на территории Республики Казахстан на протяжении 10 лет </w:t>
            </w:r>
          </w:p>
          <w:p>
            <w:pPr>
              <w:spacing w:after="20"/>
              <w:ind w:left="20"/>
              <w:jc w:val="both"/>
            </w:pPr>
            <w:r>
              <w:rPr>
                <w:rFonts w:ascii="Times New Roman"/>
                <w:b w:val="false"/>
                <w:i w:val="false"/>
                <w:color w:val="000000"/>
                <w:sz w:val="20"/>
              </w:rPr>
              <w:t>
   Если уполномоченная организация не определяет иные требования, то держатель регистрационного удостоверения, обязанный представить первоначальный ПУР для реализуемых на рынке Республики Казахстан лекарственных препаратов, опускает модули СII и СIV при соблюдении следующих условий:</w:t>
            </w:r>
          </w:p>
          <w:p>
            <w:pPr>
              <w:spacing w:after="20"/>
              <w:ind w:left="20"/>
              <w:jc w:val="both"/>
            </w:pPr>
            <w:r>
              <w:rPr>
                <w:rFonts w:ascii="Times New Roman"/>
                <w:b w:val="false"/>
                <w:i w:val="false"/>
                <w:color w:val="000000"/>
                <w:sz w:val="20"/>
              </w:rPr>
              <w:t xml:space="preserve">
   1. лекарственный препарат размещен на рынке за 10 лет или ранее до установления требования к ПУР; </w:t>
            </w:r>
          </w:p>
          <w:p>
            <w:pPr>
              <w:spacing w:after="20"/>
              <w:ind w:left="20"/>
              <w:jc w:val="both"/>
            </w:pPr>
            <w:r>
              <w:rPr>
                <w:rFonts w:ascii="Times New Roman"/>
                <w:b w:val="false"/>
                <w:i w:val="false"/>
                <w:color w:val="000000"/>
                <w:sz w:val="20"/>
              </w:rPr>
              <w:t>
   2. требование к ПУР не связано с подачей заявления на внесение значительного изменения в существующее регистрационное удостоверение, область применения, аспекты производственного процесса.</w:t>
            </w:r>
          </w:p>
          <w:p>
            <w:pPr>
              <w:spacing w:after="20"/>
              <w:ind w:left="20"/>
              <w:jc w:val="both"/>
            </w:pPr>
            <w:r>
              <w:rPr>
                <w:rFonts w:ascii="Times New Roman"/>
                <w:b w:val="false"/>
                <w:i w:val="false"/>
                <w:color w:val="000000"/>
                <w:sz w:val="20"/>
              </w:rPr>
              <w:t>
   Если условие 2 не применимо, данные клинических исследований (испытаний), связанные с этими изменениями, представляются в модуле СIII ПУР, а модуль СIV ПУР исключается. Обсуждение существующих пострегистрационных данных и их применимости к целевым группам пациентов подробно расписывается в разделе СV ПУР.</w:t>
            </w:r>
          </w:p>
          <w:p>
            <w:pPr>
              <w:spacing w:after="20"/>
              <w:ind w:left="20"/>
              <w:jc w:val="both"/>
            </w:pPr>
            <w:r>
              <w:rPr>
                <w:rFonts w:ascii="Times New Roman"/>
                <w:b w:val="false"/>
                <w:i w:val="false"/>
                <w:color w:val="000000"/>
                <w:sz w:val="20"/>
              </w:rPr>
              <w:t>
   6.3.2. Обновление плана управления рисками</w:t>
            </w:r>
          </w:p>
          <w:p>
            <w:pPr>
              <w:spacing w:after="20"/>
              <w:ind w:left="20"/>
              <w:jc w:val="both"/>
            </w:pPr>
            <w:r>
              <w:rPr>
                <w:rFonts w:ascii="Times New Roman"/>
                <w:b w:val="false"/>
                <w:i w:val="false"/>
                <w:color w:val="000000"/>
                <w:sz w:val="20"/>
              </w:rPr>
              <w:t>
   Если ПУР ранее представлен держателем регистрационного удостоверения при процедуре регистрации для действующего вещества, любые последующие представления имеют вид обновления за исключением случаев, когда оговариваются иные требования. Каждое представление ПУР имеет четкий номер версии и датируется. Это относится к представлению ПУР полностью или только его части или модуля. Версии с изменениями, имеющие идентифицирующую информацию, представляются вместе с сопроводительным письмом, включающим подробное описание изменений с момента последней представленной версии.</w:t>
            </w:r>
          </w:p>
          <w:p>
            <w:pPr>
              <w:spacing w:after="20"/>
              <w:ind w:left="20"/>
              <w:jc w:val="both"/>
            </w:pPr>
            <w:r>
              <w:rPr>
                <w:rFonts w:ascii="Times New Roman"/>
                <w:b w:val="false"/>
                <w:i w:val="false"/>
                <w:color w:val="000000"/>
                <w:sz w:val="20"/>
              </w:rPr>
              <w:t>
   Сроки представления обновлений ПУР устанавливаются при его введении и также являются условием сохранения регуляторного статуса. Данные установленные сроки являются максимально допустимыми и не снимают ответственность с держателя регистрационного удостоверения по контролю профиля безопасности лекарственного препарата и требование по представлению обновленного ПУР в случае выявления значительных изменений в оценке соотношения польза-риск соответствующих лекарственных препаратов, включенных в ПУР, вне установленного графика подачи обновлений.</w:t>
            </w:r>
          </w:p>
          <w:p>
            <w:pPr>
              <w:spacing w:after="20"/>
              <w:ind w:left="20"/>
              <w:jc w:val="both"/>
            </w:pPr>
            <w:r>
              <w:rPr>
                <w:rFonts w:ascii="Times New Roman"/>
                <w:b w:val="false"/>
                <w:i w:val="false"/>
                <w:color w:val="000000"/>
                <w:sz w:val="20"/>
              </w:rPr>
              <w:t>
   Если с момента последнего представления в ПУР не вносится никаких изменений (т.е. плановое обновление происходит вскоре после окончания процедуры), держатель регистрационного удостоверения представляет письмо, объясняющее отсутствие изменений, и по согласованию с уполномоченным органом не представляет обновление ПУР.</w:t>
            </w:r>
          </w:p>
          <w:p>
            <w:pPr>
              <w:spacing w:after="20"/>
              <w:ind w:left="20"/>
              <w:jc w:val="both"/>
            </w:pPr>
            <w:r>
              <w:rPr>
                <w:rFonts w:ascii="Times New Roman"/>
                <w:b w:val="false"/>
                <w:i w:val="false"/>
                <w:color w:val="000000"/>
                <w:sz w:val="20"/>
              </w:rPr>
              <w:t>
   Если не оговорено иное, в случаях, когда ПОБ и ПУР являются необходимыми для лекарственного препарата, плановые обновления ПУР представляются в то же время, что и ПОБ.</w:t>
            </w:r>
          </w:p>
          <w:p>
            <w:pPr>
              <w:spacing w:after="20"/>
              <w:ind w:left="20"/>
              <w:jc w:val="both"/>
            </w:pPr>
            <w:r>
              <w:rPr>
                <w:rFonts w:ascii="Times New Roman"/>
                <w:b w:val="false"/>
                <w:i w:val="false"/>
                <w:color w:val="000000"/>
                <w:sz w:val="20"/>
              </w:rPr>
              <w:t>
   После обновления ПУР план по минимизации рисков при необходимости включает оценку эффективности и результатов рутинных и (или) дополнительных мероприятий по минимизации рисков.</w:t>
            </w:r>
          </w:p>
          <w:p>
            <w:pPr>
              <w:spacing w:after="20"/>
              <w:ind w:left="20"/>
              <w:jc w:val="both"/>
            </w:pPr>
            <w:r>
              <w:rPr>
                <w:rFonts w:ascii="Times New Roman"/>
                <w:b w:val="false"/>
                <w:i w:val="false"/>
                <w:color w:val="000000"/>
                <w:sz w:val="20"/>
              </w:rPr>
              <w:t>
   6.3.3. Прозрачность</w:t>
            </w:r>
          </w:p>
          <w:p>
            <w:pPr>
              <w:spacing w:after="20"/>
              <w:ind w:left="20"/>
              <w:jc w:val="both"/>
            </w:pPr>
            <w:r>
              <w:rPr>
                <w:rFonts w:ascii="Times New Roman"/>
                <w:b w:val="false"/>
                <w:i w:val="false"/>
                <w:color w:val="000000"/>
                <w:sz w:val="20"/>
              </w:rPr>
              <w:t>
   Уполномоченная организация обеспечивает доступность отчетов по результатам оценки представляемых ПУР и резюме ПУР через соответствующий веб-портал.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Организация работы с информацией о нежелательных реакциях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на лекарственные препараты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Структуры и процессы</w:t>
            </w:r>
          </w:p>
          <w:p>
            <w:pPr>
              <w:spacing w:after="20"/>
              <w:ind w:left="20"/>
              <w:jc w:val="both"/>
            </w:pPr>
            <w:r>
              <w:rPr>
                <w:rFonts w:ascii="Times New Roman"/>
                <w:b w:val="false"/>
                <w:i w:val="false"/>
                <w:color w:val="000000"/>
                <w:sz w:val="20"/>
              </w:rPr>
              <w:t>
   Раздел определяет основные процедуры сбора, регистрации и представления сообщений о нежелательных реакциях на лекарственные препараты.</w:t>
            </w:r>
          </w:p>
          <w:p>
            <w:pPr>
              <w:spacing w:after="20"/>
              <w:ind w:left="20"/>
              <w:jc w:val="both"/>
            </w:pPr>
            <w:r>
              <w:rPr>
                <w:rFonts w:ascii="Times New Roman"/>
                <w:b w:val="false"/>
                <w:i w:val="false"/>
                <w:color w:val="000000"/>
                <w:sz w:val="20"/>
              </w:rPr>
              <w:t>
   7.1.1. Сбор сообщений о нежелательных реакциях</w:t>
            </w:r>
          </w:p>
          <w:p>
            <w:pPr>
              <w:spacing w:after="20"/>
              <w:ind w:left="20"/>
              <w:jc w:val="both"/>
            </w:pPr>
            <w:r>
              <w:rPr>
                <w:rFonts w:ascii="Times New Roman"/>
                <w:b w:val="false"/>
                <w:i w:val="false"/>
                <w:color w:val="000000"/>
                <w:sz w:val="20"/>
              </w:rPr>
              <w:t>
   Уполномоченная организация и держатель регистрационного удостоверения осуществляют сбор и упорядочение всех сообщений о нежелательных реакциях, связанных с применением лекарственных препаратов, полученных из различных источников без предварительного запроса и по запросу.</w:t>
            </w:r>
          </w:p>
          <w:p>
            <w:pPr>
              <w:spacing w:after="20"/>
              <w:ind w:left="20"/>
              <w:jc w:val="both"/>
            </w:pPr>
            <w:r>
              <w:rPr>
                <w:rFonts w:ascii="Times New Roman"/>
                <w:b w:val="false"/>
                <w:i w:val="false"/>
                <w:color w:val="000000"/>
                <w:sz w:val="20"/>
              </w:rPr>
              <w:t xml:space="preserve">
   Система фармаконадзора обеспечивает сбор достаточного количества сообщений о нежелательных реакциях, и их последующую научно обоснованную оценку, надлежащую оценку качества собранных сообщений о нежелательных реакциях в отношении подлинности, точности, последовательности, возможности проверки полноты данных для их клинической оценки. </w:t>
            </w:r>
          </w:p>
          <w:p>
            <w:pPr>
              <w:spacing w:after="20"/>
              <w:ind w:left="20"/>
              <w:jc w:val="both"/>
            </w:pPr>
            <w:r>
              <w:rPr>
                <w:rFonts w:ascii="Times New Roman"/>
                <w:b w:val="false"/>
                <w:i w:val="false"/>
                <w:color w:val="000000"/>
                <w:sz w:val="20"/>
              </w:rPr>
              <w:t>
   Система фармаконадзора позволяет своевременно валидировать отчеты о нежелательных реакциях и обмениваться ими с уполномоченными органами и держателями регистрационных удостоверений в сроки, установленные законодательством.</w:t>
            </w:r>
          </w:p>
          <w:p>
            <w:pPr>
              <w:spacing w:after="20"/>
              <w:ind w:left="20"/>
              <w:jc w:val="both"/>
            </w:pPr>
            <w:r>
              <w:rPr>
                <w:rFonts w:ascii="Times New Roman"/>
                <w:b w:val="false"/>
                <w:i w:val="false"/>
                <w:color w:val="000000"/>
                <w:sz w:val="20"/>
              </w:rPr>
              <w:t>
   7.1.1.1. Сообщения, полученные без запроса</w:t>
            </w:r>
          </w:p>
          <w:p>
            <w:pPr>
              <w:spacing w:after="20"/>
              <w:ind w:left="20"/>
              <w:jc w:val="both"/>
            </w:pPr>
            <w:r>
              <w:rPr>
                <w:rFonts w:ascii="Times New Roman"/>
                <w:b w:val="false"/>
                <w:i w:val="false"/>
                <w:color w:val="000000"/>
                <w:sz w:val="20"/>
              </w:rPr>
              <w:t>
   7.1.1.1.1. Спонтанные сообщения</w:t>
            </w:r>
          </w:p>
          <w:p>
            <w:pPr>
              <w:spacing w:after="20"/>
              <w:ind w:left="20"/>
              <w:jc w:val="both"/>
            </w:pPr>
            <w:r>
              <w:rPr>
                <w:rFonts w:ascii="Times New Roman"/>
                <w:b w:val="false"/>
                <w:i w:val="false"/>
                <w:color w:val="000000"/>
                <w:sz w:val="20"/>
              </w:rPr>
              <w:t>
   Спонтанное сообщение – это сообщение, которое специалист системы здравоохранения, пациент (потребитель) направляет в адрес уполномоченной организации, держателя регистрационного удостоверения или другой организации без предварительного запроса со стороны последних, и описывает одно или более нежелательных реакций у пациента, при назначении одного или более лекарственных препаратов. К спонтанным сообщениям не относятся сообщения, полученные в ходе исследований или иных форм организованного сбора данных о нежелательных реакциях на лекарственные препараты.</w:t>
            </w:r>
          </w:p>
          <w:p>
            <w:pPr>
              <w:spacing w:after="20"/>
              <w:ind w:left="20"/>
              <w:jc w:val="both"/>
            </w:pPr>
            <w:r>
              <w:rPr>
                <w:rFonts w:ascii="Times New Roman"/>
                <w:b w:val="false"/>
                <w:i w:val="false"/>
                <w:color w:val="000000"/>
                <w:sz w:val="20"/>
              </w:rPr>
              <w:t>
   Первоисточником о нежелательной реакции является лицо, предоставившее информацию о развитии нежелательной реакции. Если информация об одной нежелательной реакции поступает от нескольких первоисточников, таких как специалист системы здравоохранения, пациент (потребитель), данные по всем первоисточникам вносятся в раздел "Первоисточник" формы сообщения о нежелательной реакции.</w:t>
            </w:r>
          </w:p>
          <w:p>
            <w:pPr>
              <w:spacing w:after="20"/>
              <w:ind w:left="20"/>
              <w:jc w:val="both"/>
            </w:pPr>
            <w:r>
              <w:rPr>
                <w:rFonts w:ascii="Times New Roman"/>
                <w:b w:val="false"/>
                <w:i w:val="false"/>
                <w:color w:val="000000"/>
                <w:sz w:val="20"/>
              </w:rPr>
              <w:t>
   Стимулирование получение сообщений, являющееся следствием "Обращений к специалистам системы здравоохранения", публикаций в прессе, опроса специалистов системы здравоохранения представителями держателей регистрационных удостоверений или судебных исков в отношении класса лекарственных средств, также являются спонтанными сообщениями.</w:t>
            </w:r>
          </w:p>
          <w:p>
            <w:pPr>
              <w:spacing w:after="20"/>
              <w:ind w:left="20"/>
              <w:jc w:val="both"/>
            </w:pPr>
            <w:r>
              <w:rPr>
                <w:rFonts w:ascii="Times New Roman"/>
                <w:b w:val="false"/>
                <w:i w:val="false"/>
                <w:color w:val="000000"/>
                <w:sz w:val="20"/>
              </w:rPr>
              <w:t>
   Сообщения о нежелательных реакциях от пациента или потребителя обрабатывают как спонтанные сообщения независимо от последующего медицинского подтверждения.</w:t>
            </w:r>
          </w:p>
          <w:p>
            <w:pPr>
              <w:spacing w:after="20"/>
              <w:ind w:left="20"/>
              <w:jc w:val="both"/>
            </w:pPr>
            <w:r>
              <w:rPr>
                <w:rFonts w:ascii="Times New Roman"/>
                <w:b w:val="false"/>
                <w:i w:val="false"/>
                <w:color w:val="000000"/>
                <w:sz w:val="20"/>
              </w:rPr>
              <w:t>
   В случае получения спонтанного сообщения о развитии нежелательного явления, без указания наличия причинно-следственной связи, данное нежелательное явление рассматривается как нежелательная реакция. Все поступающие спонтанные сообщения, представляемые специалистами системы здравоохранения, пациентами или потребителями, рассматриваются как нежелательные реакции исходя из того, что их представление содержит предположение первоисточника сообщения о наличии взаимосвязи. Исключение составляют сообщения, в которых репортером сделано указание об отсутствии взаимосвязи между нежелательным явлением и приемом лекарственного препарата.</w:t>
            </w:r>
          </w:p>
          <w:p>
            <w:pPr>
              <w:spacing w:after="20"/>
              <w:ind w:left="20"/>
              <w:jc w:val="both"/>
            </w:pPr>
            <w:r>
              <w:rPr>
                <w:rFonts w:ascii="Times New Roman"/>
                <w:b w:val="false"/>
                <w:i w:val="false"/>
                <w:color w:val="000000"/>
                <w:sz w:val="20"/>
              </w:rPr>
              <w:t>
   7.1.1.1.2. Сообщения о нежелательных реакциях, опубликованные в медицинской литературе</w:t>
            </w:r>
          </w:p>
          <w:p>
            <w:pPr>
              <w:spacing w:after="20"/>
              <w:ind w:left="20"/>
              <w:jc w:val="both"/>
            </w:pPr>
            <w:r>
              <w:rPr>
                <w:rFonts w:ascii="Times New Roman"/>
                <w:b w:val="false"/>
                <w:i w:val="false"/>
                <w:color w:val="000000"/>
                <w:sz w:val="20"/>
              </w:rPr>
              <w:t xml:space="preserve">
   Научно-медицинская литература является важным источником информации для мониторинга профиля безопасности и соотношения польза-риск лекарственных препаратов, в особенности в отношении обнаружения новых сигналов, связанных с безопасностью, либо актуальных вопросов по безопасности. Держатель регистрационного удостоверения проводит систематический обзор литературы широко используемых справочных баз данных не реже одного раза в неделю, а также осведомлен о публикациях в медицинских изданиях и соответствующим образом информируют о них отдел безопасности компании. Обзор литературы включает использование баз данных, содержащих максимальное количество ссылок на статьи, имеющие отношение к мониторируемому лекарственному препарату </w:t>
            </w:r>
          </w:p>
          <w:p>
            <w:pPr>
              <w:spacing w:after="20"/>
              <w:ind w:left="20"/>
              <w:jc w:val="both"/>
            </w:pPr>
            <w:r>
              <w:rPr>
                <w:rFonts w:ascii="Times New Roman"/>
                <w:b w:val="false"/>
                <w:i w:val="false"/>
                <w:color w:val="000000"/>
                <w:sz w:val="20"/>
              </w:rPr>
              <w:t>
   Держатель регистрационного удостоверения просматривает сообщения о нежелательных реакциях, публикуемых в научно-медицинской литературе, в том числе опубликованные абстракты в материалах конференций или проекты монографий, для выявления и регистрации сообщения о нежелательных реакциях, представляющие собой спонтанные сообщения или сообщения, выявленные в ходе неинтервенционных пострегистрационных исследований.</w:t>
            </w:r>
          </w:p>
          <w:p>
            <w:pPr>
              <w:spacing w:after="20"/>
              <w:ind w:left="20"/>
              <w:jc w:val="both"/>
            </w:pPr>
            <w:r>
              <w:rPr>
                <w:rFonts w:ascii="Times New Roman"/>
                <w:b w:val="false"/>
                <w:i w:val="false"/>
                <w:color w:val="000000"/>
                <w:sz w:val="20"/>
              </w:rPr>
              <w:t>
   Если в публикации упоминается несколько лекарственных препаратов, то держатель регистрационного удостоверения рассматривает только те лекарственные препараты, которые определяются автором публикации как имеющие, по меньшей мере, возможную причинно-следственную взаимосвязь с выявленными нежелательными реакциями. Это относится также к сообщениям, опубликованным в научно-медицинской литературе в стране, в которой зарегистрирован препарат, но не осуществлялось коммерческое внедрение лекарственного препарата.</w:t>
            </w:r>
          </w:p>
          <w:p>
            <w:pPr>
              <w:spacing w:after="20"/>
              <w:ind w:left="20"/>
              <w:jc w:val="both"/>
            </w:pPr>
            <w:r>
              <w:rPr>
                <w:rFonts w:ascii="Times New Roman"/>
                <w:b w:val="false"/>
                <w:i w:val="false"/>
                <w:color w:val="000000"/>
                <w:sz w:val="20"/>
              </w:rPr>
              <w:t>
   Валидные сообщения подлежат представлению в уполномоченный орган согласно требованиям действующего законодательства. Начало отсчета времени, установленного для представления сообщения о нежелательной реакции, является момент, когда в распоряжении держателя регистрационного удостоверения оказалась информация по случаю нежелательной реакции, отвечающая требованиям по минимальной информации как для срочного репортирования. Оформляется один случай нежелательной реакции для каждого идентифицируемого пациента и представляется ссылка на публикации для оценки информации. Ссылку на публикацию следует приводить как источник сообщения о нежелательной реакции.</w:t>
            </w:r>
          </w:p>
          <w:p>
            <w:pPr>
              <w:spacing w:after="20"/>
              <w:ind w:left="20"/>
              <w:jc w:val="both"/>
            </w:pPr>
            <w:r>
              <w:rPr>
                <w:rFonts w:ascii="Times New Roman"/>
                <w:b w:val="false"/>
                <w:i w:val="false"/>
                <w:color w:val="000000"/>
                <w:sz w:val="20"/>
              </w:rPr>
              <w:t>
   7.1.1.1.3. Сообщения из других источников</w:t>
            </w:r>
          </w:p>
          <w:p>
            <w:pPr>
              <w:spacing w:after="20"/>
              <w:ind w:left="20"/>
              <w:jc w:val="both"/>
            </w:pPr>
            <w:r>
              <w:rPr>
                <w:rFonts w:ascii="Times New Roman"/>
                <w:b w:val="false"/>
                <w:i w:val="false"/>
                <w:color w:val="000000"/>
                <w:sz w:val="20"/>
              </w:rPr>
              <w:t>
   Держатель регистрационного удостоверения в случае получения сообщения о нежелательной реакции из немедицинских источников, в частности, из непрофильной прессы или других средств информации, обрабатывает ее как спонтанное сообщение. Держатель регистрационного удостоверения прорабатывает случай для получения минимальной необходимой информации, которая представляет собой валидное сообщение о нежелательной реакции. Данный тип сообщений обрабатывается как спонтанные сообщения с применением к ним требований по времени репортирования, как и для иных спонтанных сообщений.</w:t>
            </w:r>
          </w:p>
          <w:p>
            <w:pPr>
              <w:spacing w:after="20"/>
              <w:ind w:left="20"/>
              <w:jc w:val="both"/>
            </w:pPr>
            <w:r>
              <w:rPr>
                <w:rFonts w:ascii="Times New Roman"/>
                <w:b w:val="false"/>
                <w:i w:val="false"/>
                <w:color w:val="000000"/>
                <w:sz w:val="20"/>
              </w:rPr>
              <w:t>
   7.1.1.1.4. Информация о подозреваемых нежелательных реакциях из Интернета или цифровых средств информации</w:t>
            </w:r>
          </w:p>
          <w:p>
            <w:pPr>
              <w:spacing w:after="20"/>
              <w:ind w:left="20"/>
              <w:jc w:val="both"/>
            </w:pPr>
            <w:r>
              <w:rPr>
                <w:rFonts w:ascii="Times New Roman"/>
                <w:b w:val="false"/>
                <w:i w:val="false"/>
                <w:color w:val="000000"/>
                <w:sz w:val="20"/>
              </w:rPr>
              <w:t xml:space="preserve">
   Держатель регистрационного удостоверения регулярно просматривает Интернет или цифровые средства информации (веб-сайт, веб-страница, блог, блог, социальная сеть, интернет-форум, чат-рум, портал по теме здравоохранения), находящиеся под его управлением на наличие потенциальных сообщений о нежелательных реакциях. В данном контексте цифровые средства информации считаются спонсируемыми компанией, если держатель регистрационного удостоверения владеет, оплачивает или контролирует их. При этом пожертвование (финансовое или иное) в адрес организации (сайта) производителем лекарственных препаратов (держателем регистрационного удостоверения) не относится к владению, при условии, что производитель лекарственных препаратов (держатель регистрационного удостоверения) не контролирует окончательное содержание сайта. </w:t>
            </w:r>
          </w:p>
          <w:p>
            <w:pPr>
              <w:spacing w:after="20"/>
              <w:ind w:left="20"/>
              <w:jc w:val="both"/>
            </w:pPr>
            <w:r>
              <w:rPr>
                <w:rFonts w:ascii="Times New Roman"/>
                <w:b w:val="false"/>
                <w:i w:val="false"/>
                <w:color w:val="000000"/>
                <w:sz w:val="20"/>
              </w:rPr>
              <w:t>
   Периодичность просмотра указанных источников обеспечивает выполнение требований по времени представления валидных сообщений о нежелательных реакциях в уполномоченный орган, считая со дня размещения информации.</w:t>
            </w:r>
          </w:p>
          <w:p>
            <w:pPr>
              <w:spacing w:after="20"/>
              <w:ind w:left="20"/>
              <w:jc w:val="both"/>
            </w:pPr>
            <w:r>
              <w:rPr>
                <w:rFonts w:ascii="Times New Roman"/>
                <w:b w:val="false"/>
                <w:i w:val="false"/>
                <w:color w:val="000000"/>
                <w:sz w:val="20"/>
              </w:rPr>
              <w:t>
   Держатель регистрационного удостоверения ведет мониторинг специальных интернет-сайтов или цифровых средств информации, таких как сайты поддержки пациентов или групп с определенными заболеваниями, на наличие информации, требующей составления сообщения. Периодичность мониторинга этих сайтов или цифровых средств информации определяется рисками, связанными с мониторируемым лекарственным препаратом.</w:t>
            </w:r>
          </w:p>
          <w:p>
            <w:pPr>
              <w:spacing w:after="20"/>
              <w:ind w:left="20"/>
              <w:jc w:val="both"/>
            </w:pPr>
            <w:r>
              <w:rPr>
                <w:rFonts w:ascii="Times New Roman"/>
                <w:b w:val="false"/>
                <w:i w:val="false"/>
                <w:color w:val="000000"/>
                <w:sz w:val="20"/>
              </w:rPr>
              <w:t xml:space="preserve">
   Случаи подозреваемых нежелательных реакций из Интернета или цифровых средств информации, полученные без запроса, обрабатываются как спонтанные сообщения с применением к ним требований по времени репортирования, как и для иных спонтанных сообщений. </w:t>
            </w:r>
          </w:p>
          <w:p>
            <w:pPr>
              <w:spacing w:after="20"/>
              <w:ind w:left="20"/>
              <w:jc w:val="both"/>
            </w:pPr>
            <w:r>
              <w:rPr>
                <w:rFonts w:ascii="Times New Roman"/>
                <w:b w:val="false"/>
                <w:i w:val="false"/>
                <w:color w:val="000000"/>
                <w:sz w:val="20"/>
              </w:rPr>
              <w:t>
   В отношении случаев нежелательных реакций из Интернета или цифровых средств информации, идентифицируемость составителя сообщения относится к существованию реального лица, т.е. возможности проверить правильность контактных данных составителя отчета (в частности, наличие действительного адреса электронной почты). Контактные данные используют только для целей фармаконадзора. Если отсутствует страна первоисточника, то в качестве страны первоисточника используют страну получения информации, в зависимости от места проведения мониторинга.</w:t>
            </w:r>
          </w:p>
          <w:p>
            <w:pPr>
              <w:spacing w:after="20"/>
              <w:ind w:left="20"/>
              <w:jc w:val="both"/>
            </w:pPr>
            <w:r>
              <w:rPr>
                <w:rFonts w:ascii="Times New Roman"/>
                <w:b w:val="false"/>
                <w:i w:val="false"/>
                <w:color w:val="000000"/>
                <w:sz w:val="20"/>
              </w:rPr>
              <w:t>
   Если держателю регистрационного удостоверения становится известно о сообщении нежелательной реакции, описанной в цифровых средствах информации, спонсором которых компания не является, держатель регистрационного удостоверения проводит оценку о необходимости срочного репортирования сообщения.</w:t>
            </w:r>
          </w:p>
          <w:p>
            <w:pPr>
              <w:spacing w:after="20"/>
              <w:ind w:left="20"/>
              <w:jc w:val="both"/>
            </w:pPr>
            <w:r>
              <w:rPr>
                <w:rFonts w:ascii="Times New Roman"/>
                <w:b w:val="false"/>
                <w:i w:val="false"/>
                <w:color w:val="000000"/>
                <w:sz w:val="20"/>
              </w:rPr>
              <w:t>
   7.1.1.2. Сообщения о нежелательных реакциях, полученные по запросу</w:t>
            </w:r>
          </w:p>
          <w:p>
            <w:pPr>
              <w:spacing w:after="20"/>
              <w:ind w:left="20"/>
              <w:jc w:val="both"/>
            </w:pPr>
            <w:r>
              <w:rPr>
                <w:rFonts w:ascii="Times New Roman"/>
                <w:b w:val="false"/>
                <w:i w:val="false"/>
                <w:color w:val="000000"/>
                <w:sz w:val="20"/>
              </w:rPr>
              <w:t>
   Сообщения о нежелательных реакциях, полученные по запросу – сообщения, полученные от систем организованного сбора данных, включают клинические исследования (испытания), неинтервенционные исследования (испытания), регистры, персонализированные программы использования незарегистрированных лекарственных препаратов, другие программы использования незарегистрированных лекарственных препаратов в связи с исключительными обстоятельствами из соображений сострадания и мониторинга заболеваний, опросы пациентов или медицинских работников, или сбор данных по эффективности или приверженности пациентов. Сообщения о нежелательных реакциях, полученные от какой-либо из этих систем сбора данных, не относятся к спонтанным сообщениям.</w:t>
            </w:r>
          </w:p>
          <w:p>
            <w:pPr>
              <w:spacing w:after="20"/>
              <w:ind w:left="20"/>
              <w:jc w:val="both"/>
            </w:pPr>
            <w:r>
              <w:rPr>
                <w:rFonts w:ascii="Times New Roman"/>
                <w:b w:val="false"/>
                <w:i w:val="false"/>
                <w:color w:val="000000"/>
                <w:sz w:val="20"/>
              </w:rPr>
              <w:t>
   В рамках процедуры репортирования сообщения о нежелательных реакциях, полученные по запросу, сообщения, полученные в ходе исследований (испытаний), подвергаются оценке причинно-следственной связи с целью их отнесения к случаям срочного репортирования.</w:t>
            </w:r>
          </w:p>
          <w:p>
            <w:pPr>
              <w:spacing w:after="20"/>
              <w:ind w:left="20"/>
              <w:jc w:val="both"/>
            </w:pPr>
            <w:r>
              <w:rPr>
                <w:rFonts w:ascii="Times New Roman"/>
                <w:b w:val="false"/>
                <w:i w:val="false"/>
                <w:color w:val="000000"/>
                <w:sz w:val="20"/>
              </w:rPr>
              <w:t>
   7.1.2. Валидация сообщений</w:t>
            </w:r>
          </w:p>
          <w:p>
            <w:pPr>
              <w:spacing w:after="20"/>
              <w:ind w:left="20"/>
              <w:jc w:val="both"/>
            </w:pPr>
            <w:r>
              <w:rPr>
                <w:rFonts w:ascii="Times New Roman"/>
                <w:b w:val="false"/>
                <w:i w:val="false"/>
                <w:color w:val="000000"/>
                <w:sz w:val="20"/>
              </w:rPr>
              <w:t>
   7.1.2.1. Срочному репортированию подлежат только индивидуальные сообщения о нежелательных реакциях, имеющие положительные результаты валидации. Все сообщения о нежелательных реакциях до их представления в уполномоченную организацию подвергаются валидации на наличие минимальной требуемой информации. Минимальная требуемая информация включает:</w:t>
            </w:r>
          </w:p>
          <w:p>
            <w:pPr>
              <w:spacing w:after="20"/>
              <w:ind w:left="20"/>
              <w:jc w:val="both"/>
            </w:pPr>
            <w:r>
              <w:rPr>
                <w:rFonts w:ascii="Times New Roman"/>
                <w:b w:val="false"/>
                <w:i w:val="false"/>
                <w:color w:val="000000"/>
                <w:sz w:val="20"/>
              </w:rPr>
              <w:t>
   1) идентифицируемый репортер (первоисточник), который идентифицируется по имени или инициалам, адресу или квалификации (в частности, врач, провизор, фармацевт, другой медицинский специалист, пациент (потребитель) или другое лицо, не являющееся специалистом системы здравоохранения). Репортер считается идентифицируемым в случае наличия контактных данных, обеспечивающих возможность подтверждения сообщения или выполнить последующее наблюдение, при необходимости. Все стороны, представляющие информацию о случае нежелательной реакции, в том числе дополнительную информацию по запросу, являются идентифицируемыми. Если репортер не желает представлять контактные данные, сообщение о нежелательной реакции является валидным при условии, что организация, проинформированная о случае, способна подтвердить его напрямую с репортером;</w:t>
            </w:r>
          </w:p>
          <w:p>
            <w:pPr>
              <w:spacing w:after="20"/>
              <w:ind w:left="20"/>
              <w:jc w:val="both"/>
            </w:pPr>
            <w:r>
              <w:rPr>
                <w:rFonts w:ascii="Times New Roman"/>
                <w:b w:val="false"/>
                <w:i w:val="false"/>
                <w:color w:val="000000"/>
                <w:sz w:val="20"/>
              </w:rPr>
              <w:t>
   2) идентифицируемый пациент, с указанием инициалов, идентификационного номера пациента, даты рождения, возраста или возрастной группы, пола. Информация о пациенте является максимальной;</w:t>
            </w:r>
          </w:p>
          <w:p>
            <w:pPr>
              <w:spacing w:after="20"/>
              <w:ind w:left="20"/>
              <w:jc w:val="both"/>
            </w:pPr>
            <w:r>
              <w:rPr>
                <w:rFonts w:ascii="Times New Roman"/>
                <w:b w:val="false"/>
                <w:i w:val="false"/>
                <w:color w:val="000000"/>
                <w:sz w:val="20"/>
              </w:rPr>
              <w:t>
   3) по меньшей мере, один подозреваемый лекарственный препарат;</w:t>
            </w:r>
          </w:p>
          <w:p>
            <w:pPr>
              <w:spacing w:after="20"/>
              <w:ind w:left="20"/>
              <w:jc w:val="both"/>
            </w:pPr>
            <w:r>
              <w:rPr>
                <w:rFonts w:ascii="Times New Roman"/>
                <w:b w:val="false"/>
                <w:i w:val="false"/>
                <w:color w:val="000000"/>
                <w:sz w:val="20"/>
              </w:rPr>
              <w:t>
   4) по меньшей мере, одна подозреваемая нежелательная реакция. В случае утверждения первоисточником в прямой форме об отсутствии наличия причинно-следственной связи между назначением лекарственного препарата и нежелательной реакцией, и получатель (уполномоченный орган или держатель регистрационного удостоверения) согласен с этим, сообщение определяется как не валидное индивидуальное сообщение о нежелательной реакции, ввиду неполной требуемой минимальной информации. Сообщение определяется как не валидное индивидуальное сообщение о нежелательной реакции, если сообщается о перенесенной нежелательной реакции без представления ее описания.</w:t>
            </w:r>
          </w:p>
          <w:p>
            <w:pPr>
              <w:spacing w:after="20"/>
              <w:ind w:left="20"/>
              <w:jc w:val="both"/>
            </w:pPr>
            <w:r>
              <w:rPr>
                <w:rFonts w:ascii="Times New Roman"/>
                <w:b w:val="false"/>
                <w:i w:val="false"/>
                <w:color w:val="000000"/>
                <w:sz w:val="20"/>
              </w:rPr>
              <w:t>
   7.1.2.2. При сборе сообщений о нежелательных реакциях через Интернет или цифровые средства информации термин "идентифицируемый" относится к возможности проверки существования репортера (составителя сообщения) и пациента.</w:t>
            </w:r>
          </w:p>
          <w:p>
            <w:pPr>
              <w:spacing w:after="20"/>
              <w:ind w:left="20"/>
              <w:jc w:val="both"/>
            </w:pPr>
            <w:r>
              <w:rPr>
                <w:rFonts w:ascii="Times New Roman"/>
                <w:b w:val="false"/>
                <w:i w:val="false"/>
                <w:color w:val="000000"/>
                <w:sz w:val="20"/>
              </w:rPr>
              <w:t>
   7.1.2.3. При отсутствии какого-либо элементов минимальной информации, перечисленных в пункте 7.1.2.1, случай считается неполным и не подлежит процедуре срочного репортирования сообщения о нежелательной реакции. Уполномоченная организация и держатель регистрационного удостоверения осуществляют сбор недостающих данных в сообщениях. Сообщения о нежелательных реакциях, с неполной минимальной информацией, регистрируются в рамках системы фармаконадзора для использования в текущей деятельности по оценке безопасности.</w:t>
            </w:r>
          </w:p>
          <w:p>
            <w:pPr>
              <w:spacing w:after="20"/>
              <w:ind w:left="20"/>
              <w:jc w:val="both"/>
            </w:pPr>
            <w:r>
              <w:rPr>
                <w:rFonts w:ascii="Times New Roman"/>
                <w:b w:val="false"/>
                <w:i w:val="false"/>
                <w:color w:val="000000"/>
                <w:sz w:val="20"/>
              </w:rPr>
              <w:t>
   7.1.2.4. Если одной стороне (уполномоченной организации или держателю регистрационного удостоверения) становится известно, что репортер мог сообщить о нежелательной реакции также другой заинтересованной стороне, сообщение, тем не менее, следует считать валидным сообщением о нежелательной реакции. Сообщение о нежелательной реакции включает всю важную информацию, необходимую для обнаружения дублирующего сообщения.</w:t>
            </w:r>
          </w:p>
          <w:p>
            <w:pPr>
              <w:spacing w:after="20"/>
              <w:ind w:left="20"/>
              <w:jc w:val="both"/>
            </w:pPr>
            <w:r>
              <w:rPr>
                <w:rFonts w:ascii="Times New Roman"/>
                <w:b w:val="false"/>
                <w:i w:val="false"/>
                <w:color w:val="000000"/>
                <w:sz w:val="20"/>
              </w:rPr>
              <w:t>
   7.1.2.5. При пострегистрационных неинтервенционных исследованиях, в случае наличия несогласие между исследователем и держателем регистрационного удостоверения или спонсором исследования по вопросу оценки причинно-следственной связи между назначением подозреваемого лекарственного препарата и развитием нежелательной реакции, случай не переводится в более низкую категорию по степени достоверности взаимосвязи. В сообщении о нежелательной реакции представляются мнения исследователя, держателя регистрационного удостоверения или спонсора исследования.</w:t>
            </w:r>
          </w:p>
          <w:p>
            <w:pPr>
              <w:spacing w:after="20"/>
              <w:ind w:left="20"/>
              <w:jc w:val="both"/>
            </w:pPr>
            <w:r>
              <w:rPr>
                <w:rFonts w:ascii="Times New Roman"/>
                <w:b w:val="false"/>
                <w:i w:val="false"/>
                <w:color w:val="000000"/>
                <w:sz w:val="20"/>
              </w:rPr>
              <w:t>
   7.1.3. Последующая работа с сообщениями о нежелательных реакциях</w:t>
            </w:r>
          </w:p>
          <w:p>
            <w:pPr>
              <w:spacing w:after="20"/>
              <w:ind w:left="20"/>
              <w:jc w:val="both"/>
            </w:pPr>
            <w:r>
              <w:rPr>
                <w:rFonts w:ascii="Times New Roman"/>
                <w:b w:val="false"/>
                <w:i w:val="false"/>
                <w:color w:val="000000"/>
                <w:sz w:val="20"/>
              </w:rPr>
              <w:t xml:space="preserve">
   7.1.3.1.При первоначальном получении неполной информации в сообщениях о нежелательных реакциях, проводится последуюшая работа по получению дополнительной информации для проведения научной оценки случаев развития нежелательных реакций. </w:t>
            </w:r>
          </w:p>
          <w:p>
            <w:pPr>
              <w:spacing w:after="20"/>
              <w:ind w:left="20"/>
              <w:jc w:val="both"/>
            </w:pPr>
            <w:r>
              <w:rPr>
                <w:rFonts w:ascii="Times New Roman"/>
                <w:b w:val="false"/>
                <w:i w:val="false"/>
                <w:color w:val="000000"/>
                <w:sz w:val="20"/>
              </w:rPr>
              <w:t xml:space="preserve">
   7.1.3.2. Методы последующей работы направлены на оптимизацию сбора недостающей информации. Устные сведения подтверждаются письменно по возможности. Деятельность по фармаконадзору ведется образом, мотивирующим первоисточник (репортер) представлять новую информацию, важную для научной оценки вопросов безопасности. </w:t>
            </w:r>
          </w:p>
          <w:p>
            <w:pPr>
              <w:spacing w:after="20"/>
              <w:ind w:left="20"/>
              <w:jc w:val="both"/>
            </w:pPr>
            <w:r>
              <w:rPr>
                <w:rFonts w:ascii="Times New Roman"/>
                <w:b w:val="false"/>
                <w:i w:val="false"/>
                <w:color w:val="000000"/>
                <w:sz w:val="20"/>
              </w:rPr>
              <w:t>
   7.1.3.3. В случаях, получения неполной информации непосредственно от пациента или потребителя, предполагающего наличие нежелательной реакции, предпринимаются попытки получения согласия на контакт с соответствующим медицинским работником, с целью получения дополнительной информации. В случае подтверждения (полностью или частично) медицинским работником такого случая, отражают данную информацию в индивидуальном сообщении о нежелательной реакции, составленном потребителем или пациентом.</w:t>
            </w:r>
          </w:p>
          <w:p>
            <w:pPr>
              <w:spacing w:after="20"/>
              <w:ind w:left="20"/>
              <w:jc w:val="both"/>
            </w:pPr>
            <w:r>
              <w:rPr>
                <w:rFonts w:ascii="Times New Roman"/>
                <w:b w:val="false"/>
                <w:i w:val="false"/>
                <w:color w:val="000000"/>
                <w:sz w:val="20"/>
              </w:rPr>
              <w:t xml:space="preserve">
   7.1.3.4. В отношении нежелательных реакций, связанных с применением лекарственных препаратов биологического происхождения, указывается точное торговое название лекарственного препарата и номер партии. </w:t>
            </w:r>
          </w:p>
          <w:p>
            <w:pPr>
              <w:spacing w:after="20"/>
              <w:ind w:left="20"/>
              <w:jc w:val="both"/>
            </w:pPr>
            <w:r>
              <w:rPr>
                <w:rFonts w:ascii="Times New Roman"/>
                <w:b w:val="false"/>
                <w:i w:val="false"/>
                <w:color w:val="000000"/>
                <w:sz w:val="20"/>
              </w:rPr>
              <w:t>
   7.1.4. Управление данными</w:t>
            </w:r>
          </w:p>
          <w:p>
            <w:pPr>
              <w:spacing w:after="20"/>
              <w:ind w:left="20"/>
              <w:jc w:val="both"/>
            </w:pPr>
            <w:r>
              <w:rPr>
                <w:rFonts w:ascii="Times New Roman"/>
                <w:b w:val="false"/>
                <w:i w:val="false"/>
                <w:color w:val="000000"/>
                <w:sz w:val="20"/>
              </w:rPr>
              <w:t>
   7.1.4.1. Обращение и хранение электронных данных и бумажных сообщений о нежелательных реакциях осуществляется таким же образом, как и другие медицинские записи, включая соблюдение требований по обеспечению конфиденциальности в отношении идентифицируемости пациентов и репортеров, и в соответствии с требованиями законодательства о неприкосновенности данных. Не разглашаются идентифицируемые персональные сведения о специалистах (репортерах) системы здравоохранения, составляющих отчеты.</w:t>
            </w:r>
          </w:p>
          <w:p>
            <w:pPr>
              <w:spacing w:after="20"/>
              <w:ind w:left="20"/>
              <w:jc w:val="both"/>
            </w:pPr>
            <w:r>
              <w:rPr>
                <w:rFonts w:ascii="Times New Roman"/>
                <w:b w:val="false"/>
                <w:i w:val="false"/>
                <w:color w:val="000000"/>
                <w:sz w:val="20"/>
              </w:rPr>
              <w:t>
   7.1.4.2. Доступ к документам и базам данных предоставляется только уполномоченному персоналу с целью обеспечения сохранности и конфиденциальности данных по фармаконадзору. Требование по обеспечению безопасности данных распространяется на все этапы прохождения и обращения данных, а также на время их передачи.</w:t>
            </w:r>
          </w:p>
          <w:p>
            <w:pPr>
              <w:spacing w:after="20"/>
              <w:ind w:left="20"/>
              <w:jc w:val="both"/>
            </w:pPr>
            <w:r>
              <w:rPr>
                <w:rFonts w:ascii="Times New Roman"/>
                <w:b w:val="false"/>
                <w:i w:val="false"/>
                <w:color w:val="000000"/>
                <w:sz w:val="20"/>
              </w:rPr>
              <w:t>
   7.1.4.3. В случае передачи данных фармаконадзора в пределах организации или между организациями, применяется такой механизм, при котором имеется подтверждение того, что все уведомления получены; обеспечен процесс подтверждения и (или) сверки. Информация по сообщению о случае развития нежелательной реакции передается только между заинтересованными лицами в анонимном формате.</w:t>
            </w:r>
          </w:p>
          <w:p>
            <w:pPr>
              <w:spacing w:after="20"/>
              <w:ind w:left="20"/>
              <w:jc w:val="both"/>
            </w:pPr>
            <w:r>
              <w:rPr>
                <w:rFonts w:ascii="Times New Roman"/>
                <w:b w:val="false"/>
                <w:i w:val="false"/>
                <w:color w:val="000000"/>
                <w:sz w:val="20"/>
              </w:rPr>
              <w:t>
   7.1.4.4. Обеспечен "онлайн" доступ к данным в электронном формате.</w:t>
            </w:r>
          </w:p>
          <w:p>
            <w:pPr>
              <w:spacing w:after="20"/>
              <w:ind w:left="20"/>
              <w:jc w:val="both"/>
            </w:pPr>
            <w:r>
              <w:rPr>
                <w:rFonts w:ascii="Times New Roman"/>
                <w:b w:val="false"/>
                <w:i w:val="false"/>
                <w:color w:val="000000"/>
                <w:sz w:val="20"/>
              </w:rPr>
              <w:t xml:space="preserve">
   7.1.4.5. Процедура использования терминологии мониторируется и валидируется с помощью систематического аудита или в виде периодической выборочной оценки системы обеспечения качества. Персонал обучается в части ввода данных по использованию терминологий. Квалификация персонала периодически подтверждается. Сообщения о нежелательных реакциях, полученные от первоисточника (репортера), обрабатываются непредвзято, без трансформации информации и вмешательства, а также во время ввода данных или передачи электронных данных исключены приписывания. Сообщения содержат дословный текст, используемый в первоисточнике, или его точный перевод. Исходный дословный текст кодируется с использованием соответствующей терминологии. </w:t>
            </w:r>
          </w:p>
          <w:p>
            <w:pPr>
              <w:spacing w:after="20"/>
              <w:ind w:left="20"/>
              <w:jc w:val="both"/>
            </w:pPr>
            <w:r>
              <w:rPr>
                <w:rFonts w:ascii="Times New Roman"/>
                <w:b w:val="false"/>
                <w:i w:val="false"/>
                <w:color w:val="000000"/>
                <w:sz w:val="20"/>
              </w:rPr>
              <w:t>
   7.1.4.6. Хранение данных в электронном формате обеспечивает прослеживаемость ("аудиторский след") всех введенных или измененных данных, в том числе даты и источники полученных данных, а также даты и места, передачи данных.</w:t>
            </w:r>
          </w:p>
          <w:p>
            <w:pPr>
              <w:spacing w:after="20"/>
              <w:ind w:left="20"/>
              <w:jc w:val="both"/>
            </w:pPr>
            <w:r>
              <w:rPr>
                <w:rFonts w:ascii="Times New Roman"/>
                <w:b w:val="false"/>
                <w:i w:val="false"/>
                <w:color w:val="000000"/>
                <w:sz w:val="20"/>
              </w:rPr>
              <w:t>
   7.1.4.7. Регулярно проверяется база данных для обнаружения и обработки дублирующих сообщений о нежелательных реакциях.</w:t>
            </w:r>
          </w:p>
          <w:p>
            <w:pPr>
              <w:spacing w:after="20"/>
              <w:ind w:left="20"/>
              <w:jc w:val="both"/>
            </w:pPr>
            <w:r>
              <w:rPr>
                <w:rFonts w:ascii="Times New Roman"/>
                <w:b w:val="false"/>
                <w:i w:val="false"/>
                <w:color w:val="000000"/>
                <w:sz w:val="20"/>
              </w:rPr>
              <w:t>
   7.1.5. Управление качеством</w:t>
            </w:r>
          </w:p>
          <w:p>
            <w:pPr>
              <w:spacing w:after="20"/>
              <w:ind w:left="20"/>
              <w:jc w:val="both"/>
            </w:pPr>
            <w:r>
              <w:rPr>
                <w:rFonts w:ascii="Times New Roman"/>
                <w:b w:val="false"/>
                <w:i w:val="false"/>
                <w:color w:val="000000"/>
                <w:sz w:val="20"/>
              </w:rPr>
              <w:t>
   7.1.5.1. Уполномоченная организация и держатель регистрационного удостоверения имеет систему управления качеством для соответствия необходимым стандартам качества на каждой стадии обращения с сообщениями о нежелательных реакциях, как сбор, передача, управление данными, кодирование и архивирование данных, валидация случая, оценка случая, получение последующей информации и представление индивидуальных сообщений о нежелательных реакциях. Соответствие сохраненных данных исходным сообщениям и сообщениям, содержащим информацию о последующей оценке, проверяют с помощью процедур контроля качества, для валидации сопоставлением с исходными данными или их изображениями. Для чего обеспечен ограниченный доступ к данным первоисточника (в частности, письма, сообщения по электронной почте, записи телефонных разговоров, которые включают подробные сведения о реакциях) или изображению данных источника.</w:t>
            </w:r>
          </w:p>
          <w:p>
            <w:pPr>
              <w:spacing w:after="20"/>
              <w:ind w:left="20"/>
              <w:jc w:val="both"/>
            </w:pPr>
            <w:r>
              <w:rPr>
                <w:rFonts w:ascii="Times New Roman"/>
                <w:b w:val="false"/>
                <w:i w:val="false"/>
                <w:color w:val="000000"/>
                <w:sz w:val="20"/>
              </w:rPr>
              <w:t>
   7.1.5.2. Письменные стандартные рабочие процедуры обеспечивают четкое распределение ролей и обязанностей, ясность поставленных задач для всех задействованных сторон. Разработано и внедрено положение о надлежащем контроле и изменение системы. Требование распространяется на деятельность, на которую заключен контракт с третьими сторонами. Процедуры третьих сторон проверяются на соответствие применяемым требованиям.</w:t>
            </w:r>
          </w:p>
          <w:p>
            <w:pPr>
              <w:spacing w:after="20"/>
              <w:ind w:left="20"/>
              <w:jc w:val="both"/>
            </w:pPr>
            <w:r>
              <w:rPr>
                <w:rFonts w:ascii="Times New Roman"/>
                <w:b w:val="false"/>
                <w:i w:val="false"/>
                <w:color w:val="000000"/>
                <w:sz w:val="20"/>
              </w:rPr>
              <w:t>
   7.1.5.3. Проводится соответствующее обучение персонала, непосредственно осуществляющего фармаконадзор, а также персонала других отделов, которые получают или обрабатывают сообщения по безопасности (в частности, отдел клинической разработки, продаж, медицинской информации, юридический, контроля качества). Обучение включает соответствующие разделы законодательства и руководств в сфере фармаконадзора, а также специальное обучение по осуществлению обработки отчетов.</w:t>
            </w:r>
          </w:p>
          <w:p>
            <w:pPr>
              <w:spacing w:after="20"/>
              <w:ind w:left="20"/>
              <w:jc w:val="both"/>
            </w:pPr>
            <w:r>
              <w:rPr>
                <w:rFonts w:ascii="Times New Roman"/>
                <w:b w:val="false"/>
                <w:i w:val="false"/>
                <w:color w:val="000000"/>
                <w:sz w:val="20"/>
              </w:rPr>
              <w:t>
   7.1.6. Особые ситуации</w:t>
            </w:r>
          </w:p>
          <w:p>
            <w:pPr>
              <w:spacing w:after="20"/>
              <w:ind w:left="20"/>
              <w:jc w:val="both"/>
            </w:pPr>
            <w:r>
              <w:rPr>
                <w:rFonts w:ascii="Times New Roman"/>
                <w:b w:val="false"/>
                <w:i w:val="false"/>
                <w:color w:val="000000"/>
                <w:sz w:val="20"/>
              </w:rPr>
              <w:t>
   7.1.6.1. Использование лекарственных препаратов во время беременности или кормления грудью</w:t>
            </w:r>
          </w:p>
          <w:p>
            <w:pPr>
              <w:spacing w:after="20"/>
              <w:ind w:left="20"/>
              <w:jc w:val="both"/>
            </w:pPr>
            <w:r>
              <w:rPr>
                <w:rFonts w:ascii="Times New Roman"/>
                <w:b w:val="false"/>
                <w:i w:val="false"/>
                <w:color w:val="000000"/>
                <w:sz w:val="20"/>
              </w:rPr>
              <w:t>
   7.1.6.1.1. Беременность</w:t>
            </w:r>
          </w:p>
          <w:p>
            <w:pPr>
              <w:spacing w:after="20"/>
              <w:ind w:left="20"/>
              <w:jc w:val="both"/>
            </w:pPr>
            <w:r>
              <w:rPr>
                <w:rFonts w:ascii="Times New Roman"/>
                <w:b w:val="false"/>
                <w:i w:val="false"/>
                <w:color w:val="000000"/>
                <w:sz w:val="20"/>
              </w:rPr>
              <w:t>
   Проводится отслеживание случаев, в которых эмбрион или плод подвергались воздействию лекарственных средств (посредством воздействия на мать, либо передачи лекарственного средства через сперму после воздействия на отца) для сбора информации об исходе беременности и возможном влиянии на развитие ребенка. Принимается во внимание длительность периода полувыведения действующего вещества (или одного из его метаболитов) при оценке возможности воздействия на плод лекарственного препарата, в случае его приема до зачатия.</w:t>
            </w:r>
          </w:p>
          <w:p>
            <w:pPr>
              <w:spacing w:after="20"/>
              <w:ind w:left="20"/>
              <w:jc w:val="both"/>
            </w:pPr>
            <w:r>
              <w:rPr>
                <w:rFonts w:ascii="Times New Roman"/>
                <w:b w:val="false"/>
                <w:i w:val="false"/>
                <w:color w:val="000000"/>
                <w:sz w:val="20"/>
              </w:rPr>
              <w:t>
   Обеспечивается наличие наиболее подробных сведений в сообщениях о воздействии лекарственных препаратов во время беременности с целью возможности выполнения оценки причинно-следственной связи. Для этих случаев разрабатываются и используются стандартные вопросники.</w:t>
            </w:r>
          </w:p>
          <w:p>
            <w:pPr>
              <w:spacing w:after="20"/>
              <w:ind w:left="20"/>
              <w:jc w:val="both"/>
            </w:pPr>
            <w:r>
              <w:rPr>
                <w:rFonts w:ascii="Times New Roman"/>
                <w:b w:val="false"/>
                <w:i w:val="false"/>
                <w:color w:val="000000"/>
                <w:sz w:val="20"/>
              </w:rPr>
              <w:t>
   Отдельные случаи с нежелательным исходом, связанные с приемом лекарственных препаратов во время беременности, классифицируются как серьезные нежелательные реакции и подлежат срочному репортированию в соответствии с требованиями законодательства.</w:t>
            </w:r>
          </w:p>
          <w:p>
            <w:pPr>
              <w:spacing w:after="20"/>
              <w:ind w:left="20"/>
              <w:jc w:val="both"/>
            </w:pPr>
            <w:r>
              <w:rPr>
                <w:rFonts w:ascii="Times New Roman"/>
                <w:b w:val="false"/>
                <w:i w:val="false"/>
                <w:color w:val="000000"/>
                <w:sz w:val="20"/>
              </w:rPr>
              <w:t>
   Это, в особенности, относится к следующим случаям:</w:t>
            </w:r>
          </w:p>
          <w:p>
            <w:pPr>
              <w:spacing w:after="20"/>
              <w:ind w:left="20"/>
              <w:jc w:val="both"/>
            </w:pPr>
            <w:r>
              <w:rPr>
                <w:rFonts w:ascii="Times New Roman"/>
                <w:b w:val="false"/>
                <w:i w:val="false"/>
                <w:color w:val="000000"/>
                <w:sz w:val="20"/>
              </w:rPr>
              <w:t>
   1) сообщения о врожденных аномалиях или отставании в развитии плода или ребенка;</w:t>
            </w:r>
          </w:p>
          <w:p>
            <w:pPr>
              <w:spacing w:after="20"/>
              <w:ind w:left="20"/>
              <w:jc w:val="both"/>
            </w:pPr>
            <w:r>
              <w:rPr>
                <w:rFonts w:ascii="Times New Roman"/>
                <w:b w:val="false"/>
                <w:i w:val="false"/>
                <w:color w:val="000000"/>
                <w:sz w:val="20"/>
              </w:rPr>
              <w:t>
   2) сообщения о смерти плода и самопроизвольном аборте; и</w:t>
            </w:r>
          </w:p>
          <w:p>
            <w:pPr>
              <w:spacing w:after="20"/>
              <w:ind w:left="20"/>
              <w:jc w:val="both"/>
            </w:pPr>
            <w:r>
              <w:rPr>
                <w:rFonts w:ascii="Times New Roman"/>
                <w:b w:val="false"/>
                <w:i w:val="false"/>
                <w:color w:val="000000"/>
                <w:sz w:val="20"/>
              </w:rPr>
              <w:t>
   3) сообщения о подозреваемых нежелательных реакциях у новорожденного, которые классифицируются как серьезные.</w:t>
            </w:r>
          </w:p>
          <w:p>
            <w:pPr>
              <w:spacing w:after="20"/>
              <w:ind w:left="20"/>
              <w:jc w:val="both"/>
            </w:pPr>
            <w:r>
              <w:rPr>
                <w:rFonts w:ascii="Times New Roman"/>
                <w:b w:val="false"/>
                <w:i w:val="false"/>
                <w:color w:val="000000"/>
                <w:sz w:val="20"/>
              </w:rPr>
              <w:t>
   Не подлежат срочному репортированию иные случаи, такие как сообщения о прерывании беременности без информации о врожденном пороке развития, сообщения о воздействии на беременность без данных об исходе или сообщения, в которых имеется нормальный исход без подозреваемой нежелательной реакции. Данные сообщения обрабатываются, как и другие сообщения о нежелательных реакциях на лекарственный препарат.</w:t>
            </w:r>
          </w:p>
          <w:p>
            <w:pPr>
              <w:spacing w:after="20"/>
              <w:ind w:left="20"/>
              <w:jc w:val="both"/>
            </w:pPr>
            <w:r>
              <w:rPr>
                <w:rFonts w:ascii="Times New Roman"/>
                <w:b w:val="false"/>
                <w:i w:val="false"/>
                <w:color w:val="000000"/>
                <w:sz w:val="20"/>
              </w:rPr>
              <w:t>
   В определенных случаях все сообщения о воздействии лекарственного препарата в период беременности подлежат срочному репортированию. Данное требование или условие включается в ПУР и обусловлено наличием противопоказаний по применению во время беременности или выраженной тератогенностью лекарственного препарата и необходимостью обязательного тщательного последующего мониторинга (в частности, в отношении талидомида, изотретиноина).</w:t>
            </w:r>
          </w:p>
          <w:p>
            <w:pPr>
              <w:spacing w:after="20"/>
              <w:ind w:left="20"/>
              <w:jc w:val="both"/>
            </w:pPr>
            <w:r>
              <w:rPr>
                <w:rFonts w:ascii="Times New Roman"/>
                <w:b w:val="false"/>
                <w:i w:val="false"/>
                <w:color w:val="000000"/>
                <w:sz w:val="20"/>
              </w:rPr>
              <w:t>
   При выявлении сигнала о возможном тератогенном эффекте (в частности, группа сходных аномальных исходов) незамедлительно уведомляют уполномоченный орган и уполномоченную организацию.</w:t>
            </w:r>
          </w:p>
          <w:p>
            <w:pPr>
              <w:spacing w:after="20"/>
              <w:ind w:left="20"/>
              <w:jc w:val="both"/>
            </w:pPr>
            <w:r>
              <w:rPr>
                <w:rFonts w:ascii="Times New Roman"/>
                <w:b w:val="false"/>
                <w:i w:val="false"/>
                <w:color w:val="000000"/>
                <w:sz w:val="20"/>
              </w:rPr>
              <w:t>
   7.1.6.1.2. Кормление грудью</w:t>
            </w:r>
          </w:p>
          <w:p>
            <w:pPr>
              <w:spacing w:after="20"/>
              <w:ind w:left="20"/>
              <w:jc w:val="both"/>
            </w:pPr>
            <w:r>
              <w:rPr>
                <w:rFonts w:ascii="Times New Roman"/>
                <w:b w:val="false"/>
                <w:i w:val="false"/>
                <w:color w:val="000000"/>
                <w:sz w:val="20"/>
              </w:rPr>
              <w:t>
   Подлежат сообщению подозреваемые нежелательные реакции, возникшие у младенцев после воздействия лекарственного средства при его проникновении в грудное молоко.</w:t>
            </w:r>
          </w:p>
          <w:p>
            <w:pPr>
              <w:spacing w:after="20"/>
              <w:ind w:left="20"/>
              <w:jc w:val="both"/>
            </w:pPr>
            <w:r>
              <w:rPr>
                <w:rFonts w:ascii="Times New Roman"/>
                <w:b w:val="false"/>
                <w:i w:val="false"/>
                <w:color w:val="000000"/>
                <w:sz w:val="20"/>
              </w:rPr>
              <w:t>
   7.1.6.2. Использование лекарственного препарата в педиатрии и для пожилых людей</w:t>
            </w:r>
          </w:p>
          <w:p>
            <w:pPr>
              <w:spacing w:after="20"/>
              <w:ind w:left="20"/>
              <w:jc w:val="both"/>
            </w:pPr>
            <w:r>
              <w:rPr>
                <w:rFonts w:ascii="Times New Roman"/>
                <w:b w:val="false"/>
                <w:i w:val="false"/>
                <w:color w:val="000000"/>
                <w:sz w:val="20"/>
              </w:rPr>
              <w:t>
   В случае получения сообщения от специалиста системы здравоохранения, пациента или потребителя прилагаются все возможные усилия для получения информации о возрасте или возрастной группе пациента, для установления потенциальных сигналов безопасности, характерные для определенной группы населения.</w:t>
            </w:r>
          </w:p>
          <w:p>
            <w:pPr>
              <w:spacing w:after="20"/>
              <w:ind w:left="20"/>
              <w:jc w:val="both"/>
            </w:pPr>
            <w:r>
              <w:rPr>
                <w:rFonts w:ascii="Times New Roman"/>
                <w:b w:val="false"/>
                <w:i w:val="false"/>
                <w:color w:val="000000"/>
                <w:sz w:val="20"/>
              </w:rPr>
              <w:t>
   Уполномоченная организация и держатель регистрационного удостоверения осуществляют мониторинг каких-либо последующих проблем по безопасности и принимают соответствующие меры по работе с ними в случае применение лекарственного препарата среди групп пациентов, не включенных в утвержденную инструкцию по медицинскому применению. Держатель регистрационного удостоверения и уполномоченная организация мотивируют составление и представление сообщений обо всех подозреваемых нежелательных реакциях в случаях применения среди групп населения, не включенных в инструкцию по медицинскому применению.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 Сообщения о передозировке, злоупотреблении, неправильном применении, медицинских ошибках или воздействии, связанном с профессиональной деятельностью.</w:t>
            </w:r>
          </w:p>
          <w:p>
            <w:pPr>
              <w:spacing w:after="20"/>
              <w:ind w:left="20"/>
              <w:jc w:val="both"/>
            </w:pPr>
            <w:r>
              <w:rPr>
                <w:rFonts w:ascii="Times New Roman"/>
                <w:b w:val="false"/>
                <w:i w:val="false"/>
                <w:color w:val="000000"/>
                <w:sz w:val="20"/>
              </w:rPr>
              <w:t>
   В случае если передозировка, злоупотребление, неправильное применение, медицинская ошибка, воздействие, связанное с профессиональной деятельностью, не привели к развитию нежелательной реакции, они не подлежат процедуре срочного репортирования. Эти данные учитываются в соответствующем ПОБ и ПУР, если это применимо. В случае если сообщения содержат данные по безопасности, влияющие на соотношение польза-риск лекарственного препарата, в этом случае уполномоченные органы уведомляются в соответствии с требованиями законодательства.</w:t>
            </w:r>
          </w:p>
          <w:p>
            <w:pPr>
              <w:spacing w:after="20"/>
              <w:ind w:left="20"/>
              <w:jc w:val="both"/>
            </w:pPr>
            <w:r>
              <w:rPr>
                <w:rFonts w:ascii="Times New Roman"/>
                <w:b w:val="false"/>
                <w:i w:val="false"/>
                <w:color w:val="000000"/>
                <w:sz w:val="20"/>
              </w:rPr>
              <w:t>
   7.1.6.4. Отсутствие терапевтической эффективности</w:t>
            </w:r>
          </w:p>
          <w:p>
            <w:pPr>
              <w:spacing w:after="20"/>
              <w:ind w:left="20"/>
              <w:jc w:val="both"/>
            </w:pPr>
            <w:r>
              <w:rPr>
                <w:rFonts w:ascii="Times New Roman"/>
                <w:b w:val="false"/>
                <w:i w:val="false"/>
                <w:color w:val="000000"/>
                <w:sz w:val="20"/>
              </w:rPr>
              <w:t>
   Регистрируются сообщения об отсутствии терапевтической эффективности и выполняется последующая работа по обеспечению полноты информации. Данные сообщения не подлежат срочному репортированию и учитываются в ПОБ. В следующих случаях требуется представление сообщений об отсутствии терапевтической эффективности в течение 15-дневного срока: отсутствие терапевтической эффективности при применении лекарственного препарата для лечения заболеваний, представляющих угрозу жизни (включая угрожающие жизни инфекционные заболевания, вызванные чувствительными микроорганизмами, либо развитием нового устойчивого штамма бактерии, ранее считавшегося восприимчивыми), а также в случае, если подозреваемыми лекарственными препаратами являются вакцины и контрацептивы.</w:t>
            </w:r>
          </w:p>
          <w:p>
            <w:pPr>
              <w:spacing w:after="20"/>
              <w:ind w:left="20"/>
              <w:jc w:val="both"/>
            </w:pPr>
            <w:r>
              <w:rPr>
                <w:rFonts w:ascii="Times New Roman"/>
                <w:b w:val="false"/>
                <w:i w:val="false"/>
                <w:color w:val="000000"/>
                <w:sz w:val="20"/>
              </w:rPr>
              <w:t>
   В отношении вакцин сообщаются случаи отсутствия эффективности, в частности, для выделения потенциальных сигналов о сниженной иммуногенности в подгруппе вакцин, сниженном иммунитете или замещении штамма. Такие сигналы требуют оперативных действий и дальнейшего изучения в пострегистрационных исследованиях безопасности.</w:t>
            </w:r>
          </w:p>
          <w:p>
            <w:pPr>
              <w:spacing w:after="20"/>
              <w:ind w:left="20"/>
              <w:jc w:val="both"/>
            </w:pPr>
            <w:r>
              <w:rPr>
                <w:rFonts w:ascii="Times New Roman"/>
                <w:b w:val="false"/>
                <w:i w:val="false"/>
                <w:color w:val="000000"/>
                <w:sz w:val="20"/>
              </w:rPr>
              <w:t>
   7.1.7. Срочное репортирование индивидуальных сообщений о нежелательных реакциях и иной информации по безопасности лекарственного препарата</w:t>
            </w:r>
          </w:p>
          <w:p>
            <w:pPr>
              <w:spacing w:after="20"/>
              <w:ind w:left="20"/>
              <w:jc w:val="both"/>
            </w:pPr>
            <w:r>
              <w:rPr>
                <w:rFonts w:ascii="Times New Roman"/>
                <w:b w:val="false"/>
                <w:i w:val="false"/>
                <w:color w:val="000000"/>
                <w:sz w:val="20"/>
              </w:rPr>
              <w:t>
   Представлению в уполномоченную организацию подлежат только сообщения о нежелательных реакциях, прошедшие валидацию. Отсчет времени для срочного репортирования сообщений начинается с того момента, как только информация, содержащая минимальные критерии для представления сообщения, стала доступна держателю регистрационного удостоверения, включая медицинских представителей и подрядчиков. Эта дата считается датой начала отсчета ("день ноль").</w:t>
            </w:r>
          </w:p>
          <w:p>
            <w:pPr>
              <w:spacing w:after="20"/>
              <w:ind w:left="20"/>
              <w:jc w:val="both"/>
            </w:pPr>
            <w:r>
              <w:rPr>
                <w:rFonts w:ascii="Times New Roman"/>
                <w:b w:val="false"/>
                <w:i w:val="false"/>
                <w:color w:val="000000"/>
                <w:sz w:val="20"/>
              </w:rPr>
              <w:t>
   В тех случаях, когда держатель регистрационного удостоверения установил контрактные договоренности с лицом или организацией, существуют точные процедуры и подробные соглашения между держателем регистрационного удостоверения и лицом (организацией), для обеспечения выполнения держателем регистрационного удостоверения обязательств по представлению сообщений о нежелательных реакциях. Данные процедуры определяют, в частности, процессы обмена информацией о безопасности, в том числе временные шкалы и обязанности по представлению сообщений о нежелательных реакциях в уполномоченные органы. Избегают дублирования представления сообщений в уполномоченные органы.</w:t>
            </w:r>
          </w:p>
          <w:p>
            <w:pPr>
              <w:spacing w:after="20"/>
              <w:ind w:left="20"/>
              <w:jc w:val="both"/>
            </w:pPr>
            <w:r>
              <w:rPr>
                <w:rFonts w:ascii="Times New Roman"/>
                <w:b w:val="false"/>
                <w:i w:val="false"/>
                <w:color w:val="000000"/>
                <w:sz w:val="20"/>
              </w:rPr>
              <w:t xml:space="preserve">
   В отношении индивидуальных сообщений о нежелательных реакциях, описанных в научно-медицинской литературе, отсчет времени ("день ноль") начинается от даты осведомленности о публикации, содержащей минимальную информацию. Существуют подробные соглашения для гарантирования того, что держатель регистрационного удостоверения выполняет требования законодательства по репортированию, в случае наличия контрактных договоренностей с лицом (организацией) по выполнению поисков информации в литературе и (или) по составлению сообщений о нежелательных реакциях. </w:t>
            </w:r>
          </w:p>
          <w:p>
            <w:pPr>
              <w:spacing w:after="20"/>
              <w:ind w:left="20"/>
              <w:jc w:val="both"/>
            </w:pPr>
            <w:r>
              <w:rPr>
                <w:rFonts w:ascii="Times New Roman"/>
                <w:b w:val="false"/>
                <w:i w:val="false"/>
                <w:color w:val="000000"/>
                <w:sz w:val="20"/>
              </w:rPr>
              <w:t xml:space="preserve">
   Если получена дополнительная важная информация в отношении ранее представленного сообщения о нежелательной реакции, отсчет времени для составления последующего сообщения начинается от даты получения дополнительной информации. Важная последующая информация, подлежащая составлению сообщения – новая медицинская или административная информация, которая оказывает влияние на оценку или управление случаем или которая может изменить ее критерии тяжести. Несущественная информация включает обновленные комментарии по оценке случаев или исправления типографических ошибок предыдущих версий. </w:t>
            </w:r>
          </w:p>
          <w:p>
            <w:pPr>
              <w:spacing w:after="20"/>
              <w:ind w:left="20"/>
              <w:jc w:val="both"/>
            </w:pPr>
            <w:r>
              <w:rPr>
                <w:rFonts w:ascii="Times New Roman"/>
                <w:b w:val="false"/>
                <w:i w:val="false"/>
                <w:color w:val="000000"/>
                <w:sz w:val="20"/>
              </w:rPr>
              <w:t>
   7.1.7.1. Требования по срочному репортированию сообщений о нежелательных реакциях</w:t>
            </w:r>
          </w:p>
          <w:p>
            <w:pPr>
              <w:spacing w:after="20"/>
              <w:ind w:left="20"/>
              <w:jc w:val="both"/>
            </w:pPr>
            <w:r>
              <w:rPr>
                <w:rFonts w:ascii="Times New Roman"/>
                <w:b w:val="false"/>
                <w:i w:val="false"/>
                <w:color w:val="000000"/>
                <w:sz w:val="20"/>
              </w:rPr>
              <w:t>
   Держатель регистрационного удостоверения в срок до 15 календарных дней от даты получения самостоятельно или уполномоченным представителем минимальной требуемой информации (п.7.1.7.) представляет в уполномоченную организацию:</w:t>
            </w:r>
          </w:p>
          <w:p>
            <w:pPr>
              <w:spacing w:after="20"/>
              <w:ind w:left="20"/>
              <w:jc w:val="both"/>
            </w:pPr>
            <w:r>
              <w:rPr>
                <w:rFonts w:ascii="Times New Roman"/>
                <w:b w:val="false"/>
                <w:i w:val="false"/>
                <w:color w:val="000000"/>
                <w:sz w:val="20"/>
              </w:rPr>
              <w:t xml:space="preserve">
   1) сообщение о серьезной нежелательной реакции на лекарственный препарат, выявленной на территории Республики Казахстан; </w:t>
            </w:r>
          </w:p>
          <w:p>
            <w:pPr>
              <w:spacing w:after="20"/>
              <w:ind w:left="20"/>
              <w:jc w:val="both"/>
            </w:pPr>
            <w:r>
              <w:rPr>
                <w:rFonts w:ascii="Times New Roman"/>
                <w:b w:val="false"/>
                <w:i w:val="false"/>
                <w:color w:val="000000"/>
                <w:sz w:val="20"/>
              </w:rPr>
              <w:t xml:space="preserve">
   2) сообщение о серьезной непредвиденной нежелательной реакции на лекарственный препарат, выявленной на территории иных стран. </w:t>
            </w:r>
          </w:p>
          <w:p>
            <w:pPr>
              <w:spacing w:after="20"/>
              <w:ind w:left="20"/>
              <w:jc w:val="both"/>
            </w:pPr>
            <w:r>
              <w:rPr>
                <w:rFonts w:ascii="Times New Roman"/>
                <w:b w:val="false"/>
                <w:i w:val="false"/>
                <w:color w:val="000000"/>
                <w:sz w:val="20"/>
              </w:rPr>
              <w:t xml:space="preserve">
   Установленный срок репортирования применяется к первичной и к последующей информации о нежелательной реакции на лекарственных препарат. </w:t>
            </w:r>
          </w:p>
          <w:p>
            <w:pPr>
              <w:spacing w:after="20"/>
              <w:ind w:left="20"/>
              <w:jc w:val="both"/>
            </w:pPr>
            <w:r>
              <w:rPr>
                <w:rFonts w:ascii="Times New Roman"/>
                <w:b w:val="false"/>
                <w:i w:val="false"/>
                <w:color w:val="000000"/>
                <w:sz w:val="20"/>
              </w:rPr>
              <w:t>
   В случае переведения нежелательной реакции из категории серьезной нежелательной реакции в несерьезную нежелательную реакцию, данная информация представляется в уполномоченный орган в срок не более 15 календарных дней.</w:t>
            </w:r>
          </w:p>
          <w:p>
            <w:pPr>
              <w:spacing w:after="20"/>
              <w:ind w:left="20"/>
              <w:jc w:val="both"/>
            </w:pPr>
            <w:r>
              <w:rPr>
                <w:rFonts w:ascii="Times New Roman"/>
                <w:b w:val="false"/>
                <w:i w:val="false"/>
                <w:color w:val="000000"/>
                <w:sz w:val="20"/>
              </w:rPr>
              <w:t>
   7.1.7.2. Способ и форма представления сообщений о нежелательных реакциях</w:t>
            </w:r>
          </w:p>
          <w:p>
            <w:pPr>
              <w:spacing w:after="20"/>
              <w:ind w:left="20"/>
              <w:jc w:val="both"/>
            </w:pPr>
            <w:r>
              <w:rPr>
                <w:rFonts w:ascii="Times New Roman"/>
                <w:b w:val="false"/>
                <w:i w:val="false"/>
                <w:color w:val="000000"/>
                <w:sz w:val="20"/>
              </w:rPr>
              <w:t xml:space="preserve">
   Держатель регистрационного удостоверения представлять индивидуальные сообщения о нежелательных реакциях в уполномоченную организацию в электронном формате. Формат индивидуальных сообщений о нежелательных реакциях соответствует руководству Международной конференции по гармонизации "Управление данными по клинической безопасности-элементы данных для передачи сообщений об индивидуальных случаях нежелательных реакций" E2B. При составлении сообщении о нежелательных реакциях руководствуются действующей версии Медицинского словаря терминологии MedDRA Международной конференции по гармонизации (ICH). </w:t>
            </w:r>
          </w:p>
          <w:p>
            <w:pPr>
              <w:spacing w:after="20"/>
              <w:ind w:left="20"/>
              <w:jc w:val="both"/>
            </w:pPr>
            <w:r>
              <w:rPr>
                <w:rFonts w:ascii="Times New Roman"/>
                <w:b w:val="false"/>
                <w:i w:val="false"/>
                <w:color w:val="000000"/>
                <w:sz w:val="20"/>
              </w:rPr>
              <w:t>
   7.1.7.3. Требования по срочному репортированию иной информации по безопасности лекарственных препаратов</w:t>
            </w:r>
          </w:p>
          <w:p>
            <w:pPr>
              <w:spacing w:after="20"/>
              <w:ind w:left="20"/>
              <w:jc w:val="both"/>
            </w:pPr>
            <w:r>
              <w:rPr>
                <w:rFonts w:ascii="Times New Roman"/>
                <w:b w:val="false"/>
                <w:i w:val="false"/>
                <w:color w:val="000000"/>
                <w:sz w:val="20"/>
              </w:rPr>
              <w:t>
   Срочному представлению в срок до 15 календарных дней подлежит следующая важная информация по безопасности, которая свидетельствует об изменениях в соотношении польза-риск лекарственного препарата:</w:t>
            </w:r>
          </w:p>
          <w:p>
            <w:pPr>
              <w:spacing w:after="20"/>
              <w:ind w:left="20"/>
              <w:jc w:val="both"/>
            </w:pPr>
            <w:r>
              <w:rPr>
                <w:rFonts w:ascii="Times New Roman"/>
                <w:b w:val="false"/>
                <w:i w:val="false"/>
                <w:color w:val="000000"/>
                <w:sz w:val="20"/>
              </w:rPr>
              <w:t>
   1) превышение ожидаемой частоты серьезных нежелательных реакций, которое оказывает влияние на соотношение польза-риск лекарственного препарата;</w:t>
            </w:r>
          </w:p>
          <w:p>
            <w:pPr>
              <w:spacing w:after="20"/>
              <w:ind w:left="20"/>
              <w:jc w:val="both"/>
            </w:pPr>
            <w:r>
              <w:rPr>
                <w:rFonts w:ascii="Times New Roman"/>
                <w:b w:val="false"/>
                <w:i w:val="false"/>
                <w:color w:val="000000"/>
                <w:sz w:val="20"/>
              </w:rPr>
              <w:t>
   2) ограничения в распространении лекарственного препарата, отзыв, непродление, аннулирование или приостановка действия регистрационных удостоверений на территории других стран по причинам, связанным с безопасностью и эффективностью лекарственного препарата, инициированные уполномоченными органами или держателями регистрационных удостоверений данного лекарственного препарата;</w:t>
            </w:r>
          </w:p>
          <w:p>
            <w:pPr>
              <w:spacing w:after="20"/>
              <w:ind w:left="20"/>
              <w:jc w:val="both"/>
            </w:pPr>
            <w:r>
              <w:rPr>
                <w:rFonts w:ascii="Times New Roman"/>
                <w:b w:val="false"/>
                <w:i w:val="false"/>
                <w:color w:val="000000"/>
                <w:sz w:val="20"/>
              </w:rPr>
              <w:t>
   3) внесение существенных изменений в рекомендации по медицинскому применению на территории других стран по причинам, связанным с безопасностью лекарственного препарата;</w:t>
            </w:r>
          </w:p>
          <w:p>
            <w:pPr>
              <w:spacing w:after="20"/>
              <w:ind w:left="20"/>
              <w:jc w:val="both"/>
            </w:pPr>
            <w:r>
              <w:rPr>
                <w:rFonts w:ascii="Times New Roman"/>
                <w:b w:val="false"/>
                <w:i w:val="false"/>
                <w:color w:val="000000"/>
                <w:sz w:val="20"/>
              </w:rPr>
              <w:t>
   4) проблема по безопасности, выявленная в ходе неинтервенционного пострегистрационного исследования, клинического исследования или доклинического исследования;</w:t>
            </w:r>
          </w:p>
          <w:p>
            <w:pPr>
              <w:spacing w:after="20"/>
              <w:ind w:left="20"/>
              <w:jc w:val="both"/>
            </w:pPr>
            <w:r>
              <w:rPr>
                <w:rFonts w:ascii="Times New Roman"/>
                <w:b w:val="false"/>
                <w:i w:val="false"/>
                <w:color w:val="000000"/>
                <w:sz w:val="20"/>
              </w:rPr>
              <w:t>
   5) данные по безопасности, установленные в результате деятельности по выявлению сигнала, которые оказывают влияние на соотношение польза-риск;</w:t>
            </w:r>
          </w:p>
          <w:p>
            <w:pPr>
              <w:spacing w:after="20"/>
              <w:ind w:left="20"/>
              <w:jc w:val="both"/>
            </w:pPr>
            <w:r>
              <w:rPr>
                <w:rFonts w:ascii="Times New Roman"/>
                <w:b w:val="false"/>
                <w:i w:val="false"/>
                <w:color w:val="000000"/>
                <w:sz w:val="20"/>
              </w:rPr>
              <w:t>
   6) проблемы по безопасности, связанные с применением лекарственного препарата не в соответствии с утвержденной инструкцией по медицинскому применению;</w:t>
            </w:r>
          </w:p>
          <w:p>
            <w:pPr>
              <w:spacing w:after="20"/>
              <w:ind w:left="20"/>
              <w:jc w:val="both"/>
            </w:pPr>
            <w:r>
              <w:rPr>
                <w:rFonts w:ascii="Times New Roman"/>
                <w:b w:val="false"/>
                <w:i w:val="false"/>
                <w:color w:val="000000"/>
                <w:sz w:val="20"/>
              </w:rPr>
              <w:t>
   7) проблемы по безопасности, связанные с ошибочной информацией в утвержденной инструкции по медицинскому применению или в маркировке лекарственного препарата;</w:t>
            </w:r>
          </w:p>
          <w:p>
            <w:pPr>
              <w:spacing w:after="20"/>
              <w:ind w:left="20"/>
              <w:jc w:val="both"/>
            </w:pPr>
            <w:r>
              <w:rPr>
                <w:rFonts w:ascii="Times New Roman"/>
                <w:b w:val="false"/>
                <w:i w:val="false"/>
                <w:color w:val="000000"/>
                <w:sz w:val="20"/>
              </w:rPr>
              <w:t>
   8) недостаточная эффективность (или ее отсутствие) лекарственных препаратов, применяемых при патологии, представляющей угрозу для жизни, а также вакцин и контрацептивных средств;</w:t>
            </w:r>
          </w:p>
          <w:p>
            <w:pPr>
              <w:spacing w:after="20"/>
              <w:ind w:left="20"/>
              <w:jc w:val="both"/>
            </w:pPr>
            <w:r>
              <w:rPr>
                <w:rFonts w:ascii="Times New Roman"/>
                <w:b w:val="false"/>
                <w:i w:val="false"/>
                <w:color w:val="000000"/>
                <w:sz w:val="20"/>
              </w:rPr>
              <w:t>
   9) проблемы по безопасности, обусловленные поставками сырья.</w:t>
            </w:r>
          </w:p>
          <w:p>
            <w:pPr>
              <w:spacing w:after="20"/>
              <w:ind w:left="20"/>
              <w:jc w:val="both"/>
            </w:pPr>
            <w:r>
              <w:rPr>
                <w:rFonts w:ascii="Times New Roman"/>
                <w:b w:val="false"/>
                <w:i w:val="false"/>
                <w:color w:val="000000"/>
                <w:sz w:val="20"/>
              </w:rPr>
              <w:t>
   Данная информация по безопасности представляется в уполномоченный орган в письменном виде. Представление вышеуказанной информации по безопасности или эффективности лекарственного препарата осущесвляется незамедлительно, как только о ней становится известно держателю регистрационного удостоверения или его уполномоченному представителю. В представляемой информации описывают вышеуказанные данные по безопасности или эффективности и действия или меры, предлагаемые в отношении подозреваемого лекарственного препарата. Указанные аспекты профиля безопасности подлежат отражению и анализу в соответствующих разделах ПОБ лекарственного препарата.</w:t>
            </w:r>
          </w:p>
          <w:p>
            <w:pPr>
              <w:spacing w:after="20"/>
              <w:ind w:left="20"/>
              <w:jc w:val="both"/>
            </w:pPr>
            <w:r>
              <w:rPr>
                <w:rFonts w:ascii="Times New Roman"/>
                <w:b w:val="false"/>
                <w:i w:val="false"/>
                <w:color w:val="000000"/>
                <w:sz w:val="20"/>
              </w:rPr>
              <w:t>
   </w:t>
            </w:r>
            <w:r>
              <w:rPr>
                <w:rFonts w:ascii="Times New Roman"/>
                <w:b/>
                <w:i w:val="false"/>
                <w:color w:val="000000"/>
                <w:sz w:val="20"/>
              </w:rPr>
              <w:t>7.2. Сбор сообщений о нежелательных реакциях</w:t>
            </w:r>
          </w:p>
          <w:p>
            <w:pPr>
              <w:spacing w:after="20"/>
              <w:ind w:left="20"/>
              <w:jc w:val="both"/>
            </w:pPr>
            <w:r>
              <w:rPr>
                <w:rFonts w:ascii="Times New Roman"/>
                <w:b w:val="false"/>
                <w:i w:val="false"/>
                <w:color w:val="000000"/>
                <w:sz w:val="20"/>
              </w:rPr>
              <w:t>
   7.2.1. Обязанности уполномоченной организации</w:t>
            </w:r>
          </w:p>
          <w:p>
            <w:pPr>
              <w:spacing w:after="20"/>
              <w:ind w:left="20"/>
              <w:jc w:val="both"/>
            </w:pPr>
            <w:r>
              <w:rPr>
                <w:rFonts w:ascii="Times New Roman"/>
                <w:b w:val="false"/>
                <w:i w:val="false"/>
                <w:color w:val="000000"/>
                <w:sz w:val="20"/>
              </w:rPr>
              <w:t>
   Уполномоченная организация создает систему сбора и регистрации всех сообщений о подозреваемых нежелательных реакциях, выявленных на территории Республики Казахстан и на которые обращают внимание специалисты системы здравоохранения, пациенты или потребители, либо держатель регистрационного удостоверения.</w:t>
            </w:r>
          </w:p>
          <w:p>
            <w:pPr>
              <w:spacing w:after="20"/>
              <w:ind w:left="20"/>
              <w:jc w:val="both"/>
            </w:pPr>
            <w:r>
              <w:rPr>
                <w:rFonts w:ascii="Times New Roman"/>
                <w:b w:val="false"/>
                <w:i w:val="false"/>
                <w:color w:val="000000"/>
                <w:sz w:val="20"/>
              </w:rPr>
              <w:t xml:space="preserve">
   Уполномоченный орган принимает все соответствующие меры для мотивирования специалистов системы здравоохранения на представление сообщений о подозреваемых нежелательных реакциях в уполномоченную организацию. </w:t>
            </w:r>
          </w:p>
          <w:p>
            <w:pPr>
              <w:spacing w:after="20"/>
              <w:ind w:left="20"/>
              <w:jc w:val="both"/>
            </w:pPr>
            <w:r>
              <w:rPr>
                <w:rFonts w:ascii="Times New Roman"/>
                <w:b w:val="false"/>
                <w:i w:val="false"/>
                <w:color w:val="000000"/>
                <w:sz w:val="20"/>
              </w:rPr>
              <w:t>
   В целях оптимизации процедуры представления информации о нежелательных реакциях стандартные структурированные бланки на веб-основе широкодоступны на веб-порталах вместе с информацией о различных способах представления информации о подозреваемых нежелательных реакциях, связанных с применением лекарственных препаратов.</w:t>
            </w:r>
          </w:p>
          <w:p>
            <w:pPr>
              <w:spacing w:after="20"/>
              <w:ind w:left="20"/>
              <w:jc w:val="both"/>
            </w:pPr>
            <w:r>
              <w:rPr>
                <w:rFonts w:ascii="Times New Roman"/>
                <w:b w:val="false"/>
                <w:i w:val="false"/>
                <w:color w:val="000000"/>
                <w:sz w:val="20"/>
              </w:rPr>
              <w:t xml:space="preserve">
   Уполномоченная организация обеспечивает включение в единую базу данных нежелательных реакций всех представленных и оцененных как валидные сообщений о серьезных нежелательных реакциях, выявленных на территории Республики Казахстан. </w:t>
            </w:r>
          </w:p>
          <w:p>
            <w:pPr>
              <w:spacing w:after="20"/>
              <w:ind w:left="20"/>
              <w:jc w:val="both"/>
            </w:pPr>
            <w:r>
              <w:rPr>
                <w:rFonts w:ascii="Times New Roman"/>
                <w:b w:val="false"/>
                <w:i w:val="false"/>
                <w:color w:val="000000"/>
                <w:sz w:val="20"/>
              </w:rPr>
              <w:t>
   Принимаются меры по выражению признательности за работу по представлению сообщений о нежелательных реакциях, включая представление дополнительной информации репортерами.</w:t>
            </w:r>
          </w:p>
          <w:p>
            <w:pPr>
              <w:spacing w:after="20"/>
              <w:ind w:left="20"/>
              <w:jc w:val="both"/>
            </w:pPr>
            <w:r>
              <w:rPr>
                <w:rFonts w:ascii="Times New Roman"/>
                <w:b w:val="false"/>
                <w:i w:val="false"/>
                <w:color w:val="000000"/>
                <w:sz w:val="20"/>
              </w:rPr>
              <w:t>
   При представлении сообщений о нежелательных реакциях со стороны держателя регистрационного удостоверения, уполномоченная организация привлекает держателя регистрационных удостоверений к последующей работе с сообщениями.</w:t>
            </w:r>
          </w:p>
          <w:p>
            <w:pPr>
              <w:spacing w:after="20"/>
              <w:ind w:left="20"/>
              <w:jc w:val="both"/>
            </w:pPr>
            <w:r>
              <w:rPr>
                <w:rFonts w:ascii="Times New Roman"/>
                <w:b w:val="false"/>
                <w:i w:val="false"/>
                <w:color w:val="000000"/>
                <w:sz w:val="20"/>
              </w:rPr>
              <w:t>
   Уполномоченная организация обеспечивает систему информирования о любой подозреваемой нежелательной реакции, на которую обратили внимание специалисты любого другого органа, ведомства, учреждения или организации, ответственного за безопасность пациентов, и чтобы эти сообщения были представлены в национальную базу данных.</w:t>
            </w:r>
          </w:p>
          <w:p>
            <w:pPr>
              <w:spacing w:after="20"/>
              <w:ind w:left="20"/>
              <w:jc w:val="both"/>
            </w:pPr>
            <w:r>
              <w:rPr>
                <w:rFonts w:ascii="Times New Roman"/>
                <w:b w:val="false"/>
                <w:i w:val="false"/>
                <w:color w:val="000000"/>
                <w:sz w:val="20"/>
              </w:rPr>
              <w:t>
   7.2.2. Обязанности держателей регистрационных удостоверений</w:t>
            </w:r>
          </w:p>
          <w:p>
            <w:pPr>
              <w:spacing w:after="20"/>
              <w:ind w:left="20"/>
              <w:jc w:val="both"/>
            </w:pPr>
            <w:r>
              <w:rPr>
                <w:rFonts w:ascii="Times New Roman"/>
                <w:b w:val="false"/>
                <w:i w:val="false"/>
                <w:color w:val="000000"/>
                <w:sz w:val="20"/>
              </w:rPr>
              <w:t>
   Каждый держатель регистрационного удостоверения имеет систему сбора и регистрации всех сообщений о подозреваемых нежелательных реакциях, доведенных до его сведения, как представленные в рамках спонтанного репортирования специалистами системы здравоохранения, пациентами или потребителями, так и полученные в ходе пострегистрационных исследований. Держатель регистрационного удостоверения создает механизмы, обеспечивающие возможность прослеживания и последующей работы с сообщениями о нежелательных реакциях.</w:t>
            </w:r>
          </w:p>
          <w:p>
            <w:pPr>
              <w:spacing w:after="20"/>
              <w:ind w:left="20"/>
              <w:jc w:val="both"/>
            </w:pPr>
            <w:r>
              <w:rPr>
                <w:rFonts w:ascii="Times New Roman"/>
                <w:b w:val="false"/>
                <w:i w:val="false"/>
                <w:color w:val="000000"/>
                <w:sz w:val="20"/>
              </w:rPr>
              <w:t xml:space="preserve">
   Обязанность по сбору сведений о подозреваемых нежелательных реакциях держателей регистрационных удостоверений распространяется на сообщения, относящиеся к лекарственным препаратам, владение которыми не исключаются на основе названия действующего вещества, состава, номера партии, способа введения, страны первоисточника или страны развития подозреваемой нежелательной реакции. </w:t>
            </w:r>
          </w:p>
          <w:p>
            <w:pPr>
              <w:spacing w:after="20"/>
              <w:ind w:left="20"/>
              <w:jc w:val="both"/>
            </w:pPr>
            <w:r>
              <w:rPr>
                <w:rFonts w:ascii="Times New Roman"/>
                <w:b w:val="false"/>
                <w:i w:val="false"/>
                <w:color w:val="000000"/>
                <w:sz w:val="20"/>
              </w:rPr>
              <w:t>
   7.2.2.1. Спонтанные сообщения</w:t>
            </w:r>
          </w:p>
          <w:p>
            <w:pPr>
              <w:spacing w:after="20"/>
              <w:ind w:left="20"/>
              <w:jc w:val="both"/>
            </w:pPr>
            <w:r>
              <w:rPr>
                <w:rFonts w:ascii="Times New Roman"/>
                <w:b w:val="false"/>
                <w:i w:val="false"/>
                <w:color w:val="000000"/>
                <w:sz w:val="20"/>
              </w:rPr>
              <w:t>
   Держатель регистрационного удостоверения регистрирует все спонтанные сообщения о подозреваемых нежелательных реакциях, возникающих в Республике Казахстан или за его пределами. Это включает сообщения о подозреваемых нежелательных реакциях, полученные в электронном виде или какими-либо другими подходящими способами. Держатель регистрационного удостоверения использует свои веб-сайты для содействия сбора сведений о подозреваемых нежелательных реакциях, предоставив бланки для составления сообщений о нежелательных реакциях или соответствующие контактные данные для прямой связи.</w:t>
            </w:r>
          </w:p>
          <w:p>
            <w:pPr>
              <w:spacing w:after="20"/>
              <w:ind w:left="20"/>
              <w:jc w:val="both"/>
            </w:pPr>
            <w:r>
              <w:rPr>
                <w:rFonts w:ascii="Times New Roman"/>
                <w:b w:val="false"/>
                <w:i w:val="false"/>
                <w:color w:val="000000"/>
                <w:sz w:val="20"/>
              </w:rPr>
              <w:t>
   7.2.2.2. Сообщения, полученные по запросу</w:t>
            </w:r>
          </w:p>
          <w:p>
            <w:pPr>
              <w:spacing w:after="20"/>
              <w:ind w:left="20"/>
              <w:jc w:val="both"/>
            </w:pPr>
            <w:r>
              <w:rPr>
                <w:rFonts w:ascii="Times New Roman"/>
                <w:b w:val="false"/>
                <w:i w:val="false"/>
                <w:color w:val="000000"/>
                <w:sz w:val="20"/>
              </w:rPr>
              <w:t>
   Держатель регистрационного удостоверения регистрирует все сообщения о подозреваемых нежелательных реакциях, выявленных в ходе пострегистрационных исследований на территории Республики Казахстан или за ее пределами. В число сообщений, полученных по запросу, входят сообщения, полученные по результатам организованного сбора данных, инициируемого, управляемого или финансируемого держателем регистрационного удостоверения. Они также включают неинтервенционные пострегистрационные исследования, программы использования лекарственного препарата в связи с исключительными обстоятельствами из соображений сострадания, персонализированные программы использования незарегистрированного лекарственного препарата, другие программы поддержки пациентов и мониторинга заболеваний, реестры, программы поддержки пациентов и сбор информации об эффективности или приверженности пациентов лечению.</w:t>
            </w:r>
          </w:p>
          <w:p>
            <w:pPr>
              <w:spacing w:after="20"/>
              <w:ind w:left="20"/>
              <w:jc w:val="both"/>
            </w:pPr>
            <w:r>
              <w:rPr>
                <w:rFonts w:ascii="Times New Roman"/>
                <w:b w:val="false"/>
                <w:i w:val="false"/>
                <w:color w:val="000000"/>
                <w:sz w:val="20"/>
              </w:rPr>
              <w:t xml:space="preserve">
   Держатель регистрационного удостоверения имеет механизмы сбора полной и всесторонней информации о случаях при первичном составлении сообщений по результату получения спонтанного сообщения в целях обеспечения возможности выполнения надлежащей оценки и в случае применимости требований по срочному репортированию в уполномоченную организацию. </w:t>
            </w:r>
          </w:p>
          <w:p>
            <w:pPr>
              <w:spacing w:after="20"/>
              <w:ind w:left="20"/>
              <w:jc w:val="both"/>
            </w:pPr>
            <w:r>
              <w:rPr>
                <w:rFonts w:ascii="Times New Roman"/>
                <w:b w:val="false"/>
                <w:i w:val="false"/>
                <w:color w:val="000000"/>
                <w:sz w:val="20"/>
              </w:rPr>
              <w:t xml:space="preserve">
   7.2.2.2.1. Сообщения, полученные в ходе неинтервенционных исследований </w:t>
            </w:r>
          </w:p>
          <w:p>
            <w:pPr>
              <w:spacing w:after="20"/>
              <w:ind w:left="20"/>
              <w:jc w:val="both"/>
            </w:pPr>
            <w:r>
              <w:rPr>
                <w:rFonts w:ascii="Times New Roman"/>
                <w:b w:val="false"/>
                <w:i w:val="false"/>
                <w:color w:val="000000"/>
                <w:sz w:val="20"/>
              </w:rPr>
              <w:t>
   В отношении данных неинтервенционных исследований, проводится различие между исследованиями со сбором первичных данных напрямую от пациентов и специалистов системы здравоохранения и дизайнами исследований, основанные на вторичном использовании данных, такие как пересмотр медицинских карт или электронных записей здравоохранения, систематические пересмотры или мета-анализы.</w:t>
            </w:r>
          </w:p>
          <w:p>
            <w:pPr>
              <w:spacing w:after="20"/>
              <w:ind w:left="20"/>
              <w:jc w:val="both"/>
            </w:pPr>
            <w:r>
              <w:rPr>
                <w:rFonts w:ascii="Times New Roman"/>
                <w:b w:val="false"/>
                <w:i w:val="false"/>
                <w:color w:val="000000"/>
                <w:sz w:val="20"/>
              </w:rPr>
              <w:t>
   Сообщение составляется в случае, когда репортером или держателем регистрационного удостоверения предполагается наличие как минимум возможной причинно-следственной связи с подозреваемым лекарственным препаратом; сообщения о нежелательных явлениях, в которых причинно-следственная связь оценивается как сомнительная, включают в заключительный отчет об исследовании.</w:t>
            </w:r>
          </w:p>
          <w:p>
            <w:pPr>
              <w:spacing w:after="20"/>
              <w:ind w:left="20"/>
              <w:jc w:val="both"/>
            </w:pPr>
            <w:r>
              <w:rPr>
                <w:rFonts w:ascii="Times New Roman"/>
                <w:b w:val="false"/>
                <w:i w:val="false"/>
                <w:color w:val="000000"/>
                <w:sz w:val="20"/>
              </w:rPr>
              <w:t>
   1) в отношении неинтервенционных исследований с первичным сбором данных напрямую от пациентов и специалистов системы здравоохранения, представлению подлежат сообщения о нежелательных реакциях, в отношении которых репортер или держатель регистрационного удостоверения имеет подозрения о возможной причинно-следственной связи с подозреваемым лекарственным препаратом. Исследователи направляют в соответствующие уполномоченные органы, если это применимо, другие сообщения о нежелательных реакциях, в отношении которых имеются подозрения в связи с лекарственными препаратами, не входящими в число исследуемых и где отсутствуют взаимодействия с исследуемым лекарственным препаратом;</w:t>
            </w:r>
          </w:p>
          <w:p>
            <w:pPr>
              <w:spacing w:after="20"/>
              <w:ind w:left="20"/>
              <w:jc w:val="both"/>
            </w:pPr>
            <w:r>
              <w:rPr>
                <w:rFonts w:ascii="Times New Roman"/>
                <w:b w:val="false"/>
                <w:i w:val="false"/>
                <w:color w:val="000000"/>
                <w:sz w:val="20"/>
              </w:rPr>
              <w:t>
   2) при проведении неинтервенционных исследований, основанных на вторичном использовании данных, представление сообщений о выявляемых нежелательных реакциях не требуется. Все данные по выявленным нежелательным реакциям суммируются в заключительном отчете по исследованию;</w:t>
            </w:r>
          </w:p>
          <w:p>
            <w:pPr>
              <w:spacing w:after="20"/>
              <w:ind w:left="20"/>
              <w:jc w:val="both"/>
            </w:pPr>
            <w:r>
              <w:rPr>
                <w:rFonts w:ascii="Times New Roman"/>
                <w:b w:val="false"/>
                <w:i w:val="false"/>
                <w:color w:val="000000"/>
                <w:sz w:val="20"/>
              </w:rPr>
              <w:t>
   3) в случае сомнений держатель регистрационного удостоверения уточняет требования о представлении сообщений о нежелательных реакциях в уполномоченной организации;</w:t>
            </w:r>
          </w:p>
          <w:p>
            <w:pPr>
              <w:spacing w:after="20"/>
              <w:ind w:left="20"/>
              <w:jc w:val="both"/>
            </w:pPr>
            <w:r>
              <w:rPr>
                <w:rFonts w:ascii="Times New Roman"/>
                <w:b w:val="false"/>
                <w:i w:val="false"/>
                <w:color w:val="000000"/>
                <w:sz w:val="20"/>
              </w:rPr>
              <w:t>
   4) держатель регистрационного удостоверения соблюдает требования законодательства, применяемые к представлению сообщений о случаях подозреваемых нежелательных реакций в организации этики и исследователям.</w:t>
            </w:r>
          </w:p>
          <w:p>
            <w:pPr>
              <w:spacing w:after="20"/>
              <w:ind w:left="20"/>
              <w:jc w:val="both"/>
            </w:pPr>
            <w:r>
              <w:rPr>
                <w:rFonts w:ascii="Times New Roman"/>
                <w:b w:val="false"/>
                <w:i w:val="false"/>
                <w:color w:val="000000"/>
                <w:sz w:val="20"/>
              </w:rPr>
              <w:t>
   7.2.2.2.2. Программа использования лекарственного препарата в связи с исключительными обстоятельствами из соображений сострадания, персонализированная программа использования незарегистрированного лекарственного препарата</w:t>
            </w:r>
          </w:p>
          <w:p>
            <w:pPr>
              <w:spacing w:after="20"/>
              <w:ind w:left="20"/>
              <w:jc w:val="both"/>
            </w:pPr>
            <w:r>
              <w:rPr>
                <w:rFonts w:ascii="Times New Roman"/>
                <w:b w:val="false"/>
                <w:i w:val="false"/>
                <w:color w:val="000000"/>
                <w:sz w:val="20"/>
              </w:rPr>
              <w:t>
   Если держатель регистрационного удостоверения или специалист системы здравоохранения извещены и выявляют подозреваемую нежелательную реакцию в рамках проведения программы использования лекарственного препарата в связи с исключительными обстоятельствами из соображений сострадания или персонализированной программы использования незарегистрированного лекарственного препарата, сообщения о нежелательных реакциях представляются следующим образом:</w:t>
            </w:r>
          </w:p>
          <w:p>
            <w:pPr>
              <w:spacing w:after="20"/>
              <w:ind w:left="20"/>
              <w:jc w:val="both"/>
            </w:pPr>
            <w:r>
              <w:rPr>
                <w:rFonts w:ascii="Times New Roman"/>
                <w:b w:val="false"/>
                <w:i w:val="false"/>
                <w:color w:val="000000"/>
                <w:sz w:val="20"/>
              </w:rPr>
              <w:t>
   1) в случае если нежелательная реакция выявляется при выполнении активного поиска, представляют сообщения только о нежелательных реакциях, для которых причинно-следственная связь с применением подозреваемого лекарственного препарата определяется первоисточником или держателем регистрационного удостоверения, как минимум, как возможная. Их следует рассматривать как сообщения о нежелательных реакциях, полученных по запросу;</w:t>
            </w:r>
          </w:p>
          <w:p>
            <w:pPr>
              <w:spacing w:after="20"/>
              <w:ind w:left="20"/>
              <w:jc w:val="both"/>
            </w:pPr>
            <w:r>
              <w:rPr>
                <w:rFonts w:ascii="Times New Roman"/>
                <w:b w:val="false"/>
                <w:i w:val="false"/>
                <w:color w:val="000000"/>
                <w:sz w:val="20"/>
              </w:rPr>
              <w:t>
   2) в случае если нежелательная реакция выявляется не в рамках активного поиска или запроса, все нежелательные и непреднамеренные реакции на лекарственный препарат рассматриваются как сообщения о подозреваемой нежелательной реакции, полученной не по запросу, и сообщение представляется соответствующим образом.</w:t>
            </w:r>
          </w:p>
          <w:p>
            <w:pPr>
              <w:spacing w:after="20"/>
              <w:ind w:left="20"/>
              <w:jc w:val="both"/>
            </w:pPr>
            <w:r>
              <w:rPr>
                <w:rFonts w:ascii="Times New Roman"/>
                <w:b w:val="false"/>
                <w:i w:val="false"/>
                <w:color w:val="000000"/>
                <w:sz w:val="20"/>
              </w:rPr>
              <w:t>
   7.2.2.2.3. Программа поддержки пациентов</w:t>
            </w:r>
          </w:p>
          <w:p>
            <w:pPr>
              <w:spacing w:after="20"/>
              <w:ind w:left="20"/>
              <w:jc w:val="both"/>
            </w:pPr>
            <w:r>
              <w:rPr>
                <w:rFonts w:ascii="Times New Roman"/>
                <w:b w:val="false"/>
                <w:i w:val="false"/>
                <w:color w:val="000000"/>
                <w:sz w:val="20"/>
              </w:rPr>
              <w:t>
   Программа поддержки пациентов – схема организованного сбора данных, где держатель регистрационного удостоверения собирает данные, относящиеся к применению лекарственного препарата. Примерами являются пострегистрационные программы поддержки пациентов и мониторинга заболеваний, мониторинг пациентов, сбор информации о приверженности пациентов лечению, мониторинг в рамках систем компенсации или возмещения.</w:t>
            </w:r>
          </w:p>
          <w:p>
            <w:pPr>
              <w:spacing w:after="20"/>
              <w:ind w:left="20"/>
              <w:jc w:val="both"/>
            </w:pPr>
            <w:r>
              <w:rPr>
                <w:rFonts w:ascii="Times New Roman"/>
                <w:b w:val="false"/>
                <w:i w:val="false"/>
                <w:color w:val="000000"/>
                <w:sz w:val="20"/>
              </w:rPr>
              <w:t>
   Можно вести активный поиск нежелательных реакций в ходе выполнения различных типов систем организованного сбора данных, в этом случае их учитывают как сообщения, полученные по запросу. Составляются отчеты только на нежелательные реакции, где репортером или держателем регистрационного удостоверения подозревается как минимум возможная причинно-следственная связь.</w:t>
            </w:r>
          </w:p>
          <w:p>
            <w:pPr>
              <w:spacing w:after="20"/>
              <w:ind w:left="20"/>
              <w:jc w:val="both"/>
            </w:pPr>
            <w:r>
              <w:rPr>
                <w:rFonts w:ascii="Times New Roman"/>
                <w:b w:val="false"/>
                <w:i w:val="false"/>
                <w:color w:val="000000"/>
                <w:sz w:val="20"/>
              </w:rPr>
              <w:t>
   В случае если в рамках системы организованного сбора данных нежелательная реакция была выявлена не в рамках активного поиска или запроса, все нежелательные и непреднамеренные реакции на лекарственный препарат, которые были сообщены держателю регистрационного удостоверения специалистом здравоохранения или пациентом, рассматривают как сообщения о подозреваемой нежелательной реакции, полученной не по запросу, и сообщение представляются соответствующим образом.</w:t>
            </w:r>
          </w:p>
          <w:p>
            <w:pPr>
              <w:spacing w:after="20"/>
              <w:ind w:left="20"/>
              <w:jc w:val="both"/>
            </w:pPr>
            <w:r>
              <w:rPr>
                <w:rFonts w:ascii="Times New Roman"/>
                <w:b w:val="false"/>
                <w:i w:val="false"/>
                <w:color w:val="000000"/>
                <w:sz w:val="20"/>
              </w:rPr>
              <w:t>
   7.2.2.3. Сообщения, опубликованные в научно-медицинской литературе</w:t>
            </w:r>
          </w:p>
          <w:p>
            <w:pPr>
              <w:spacing w:after="20"/>
              <w:ind w:left="20"/>
              <w:jc w:val="both"/>
            </w:pPr>
            <w:r>
              <w:rPr>
                <w:rFonts w:ascii="Times New Roman"/>
                <w:b w:val="false"/>
                <w:i w:val="false"/>
                <w:color w:val="000000"/>
                <w:sz w:val="20"/>
              </w:rPr>
              <w:t>
   Держатель регистрационного удостоверения осуществляет мониторинг публикаций в научно-медицинской литературе во всех странах, в которых разрешено применение соответствующих лекарственных препаратов с выполнением требований по представлению сообщений о нежелательных реакциях в уполномоченный орган согласно требований законодательства.</w:t>
            </w:r>
          </w:p>
          <w:p>
            <w:pPr>
              <w:spacing w:after="20"/>
              <w:ind w:left="20"/>
              <w:jc w:val="both"/>
            </w:pPr>
            <w:r>
              <w:rPr>
                <w:rFonts w:ascii="Times New Roman"/>
                <w:b w:val="false"/>
                <w:i w:val="false"/>
                <w:color w:val="000000"/>
                <w:sz w:val="20"/>
              </w:rPr>
              <w:t>
   Срочному репортированию не подлежат следующие сообщения (информация) о нежелательных реакциях, выявленные при мониторинге публикаций научно-медицинской литературы, если статьи из литературы, представляют собой обобщенные анализы данных из общедоступных баз данных или указывают сведения о пациентах в виде таблиц или построчных перечислений. Эти типы статей описывают нежелательные реакции, которые развиваются в группе пациентов принимающих определенный лекарственный препарат с целью выявления или количественной оценки угрозы по безопасности. Данные статьи часто связаны с фармакоэпидемиологическими исследованиями и их главной целью является обнаружение или оценка определенных рисков, которые могли бы повлиять на общее соотношение польза-риск лекарственного препарата.</w:t>
            </w:r>
          </w:p>
          <w:p>
            <w:pPr>
              <w:spacing w:after="20"/>
              <w:ind w:left="20"/>
              <w:jc w:val="both"/>
            </w:pPr>
            <w:r>
              <w:rPr>
                <w:rFonts w:ascii="Times New Roman"/>
                <w:b w:val="false"/>
                <w:i w:val="false"/>
                <w:color w:val="000000"/>
                <w:sz w:val="20"/>
              </w:rPr>
              <w:t>
   Сведения по безопасности, представленные в этих типах статей, рассматриваются в соответствующих разделах ПОБ и принимаются во внимание при анализе влияния на соотношение польза-риск лекарственного препарата. Незамедлительно уведомляют уполномоченную организацию, в случае какой-либо новой информации по безопасности, влияющей на соотношение польза-риск лекарственного препарата.</w:t>
            </w:r>
          </w:p>
          <w:p>
            <w:pPr>
              <w:spacing w:after="20"/>
              <w:ind w:left="20"/>
              <w:jc w:val="both"/>
            </w:pPr>
            <w:r>
              <w:rPr>
                <w:rFonts w:ascii="Times New Roman"/>
                <w:b w:val="false"/>
                <w:i w:val="false"/>
                <w:color w:val="000000"/>
                <w:sz w:val="20"/>
              </w:rPr>
              <w:t>
   7.2.2.4. Подозреваемые нежелательные реакции, связанные с дефектом качества или фальсифицированными лекарственными препаратами</w:t>
            </w:r>
          </w:p>
          <w:p>
            <w:pPr>
              <w:spacing w:after="20"/>
              <w:ind w:left="20"/>
              <w:jc w:val="both"/>
            </w:pPr>
            <w:r>
              <w:rPr>
                <w:rFonts w:ascii="Times New Roman"/>
                <w:b w:val="false"/>
                <w:i w:val="false"/>
                <w:color w:val="000000"/>
                <w:sz w:val="20"/>
              </w:rPr>
              <w:t xml:space="preserve">
   Если сообщение о подозреваемой нежелательной реакции связано с применением подозреваемого или подтвержденного фальсифицированного лекарственного препарата или лекарственного препарата, имеющего ненадлежащее качество, данное сообщение, в случае отнесения его к валидному сообщению, подлежит репортированию. </w:t>
            </w:r>
          </w:p>
          <w:p>
            <w:pPr>
              <w:spacing w:after="20"/>
              <w:ind w:left="20"/>
              <w:jc w:val="both"/>
            </w:pPr>
            <w:r>
              <w:rPr>
                <w:rFonts w:ascii="Times New Roman"/>
                <w:b w:val="false"/>
                <w:i w:val="false"/>
                <w:color w:val="000000"/>
                <w:sz w:val="20"/>
              </w:rPr>
              <w:t>
   В указанных случаях в целях охраны общественного здоровья требуется осуществление срочных мер, таких как отзыв с рынка одной или более дефектной серии лекарственного препарата. Держатель регистрационного удостоверения имеет систему, обеспечивающую незамедлительную оценку и расследование полученного сообщения о подозреваемой нежелательной реакции, связанной с фальсифицированным лекарственным препаратом или дефектом качества лекарственного препарата. В случае подтверждения наличия дефекта качества незамедлительно уведомляют непосредственного производителя лекарственного средства и уполномоченную организацию.</w:t>
            </w:r>
          </w:p>
          <w:p>
            <w:pPr>
              <w:spacing w:after="20"/>
              <w:ind w:left="20"/>
              <w:jc w:val="both"/>
            </w:pPr>
            <w:r>
              <w:rPr>
                <w:rFonts w:ascii="Times New Roman"/>
                <w:b w:val="false"/>
                <w:i w:val="false"/>
                <w:color w:val="000000"/>
                <w:sz w:val="20"/>
              </w:rPr>
              <w:t>
   7.2.2.5. Подозреваемая передача инфекционного агента через лекарственный препарат</w:t>
            </w:r>
          </w:p>
          <w:p>
            <w:pPr>
              <w:spacing w:after="20"/>
              <w:ind w:left="20"/>
              <w:jc w:val="both"/>
            </w:pPr>
            <w:r>
              <w:rPr>
                <w:rFonts w:ascii="Times New Roman"/>
                <w:b w:val="false"/>
                <w:i w:val="false"/>
                <w:color w:val="000000"/>
                <w:sz w:val="20"/>
              </w:rPr>
              <w:t>
   Инфекционным агентом считается любой патогенный либо непатогенный микроорганизм, вирус или инфекционная частица (в частности, прион, протеин, передающие трансмиссивную губчатую энцефалопатию).</w:t>
            </w:r>
          </w:p>
          <w:p>
            <w:pPr>
              <w:spacing w:after="20"/>
              <w:ind w:left="20"/>
              <w:jc w:val="both"/>
            </w:pPr>
            <w:r>
              <w:rPr>
                <w:rFonts w:ascii="Times New Roman"/>
                <w:b w:val="false"/>
                <w:i w:val="false"/>
                <w:color w:val="000000"/>
                <w:sz w:val="20"/>
              </w:rPr>
              <w:t>
   Подозрение на передачу инфекционных агентов через лекарственный препарат рассматривается как серьезная нежелательная реакция, подлежащая срочному репортированию в уполномоченный орган и уполномоченную организацию. Данное требование распространяется также на вакцины.</w:t>
            </w:r>
          </w:p>
          <w:p>
            <w:pPr>
              <w:spacing w:after="20"/>
              <w:ind w:left="20"/>
              <w:jc w:val="both"/>
            </w:pPr>
            <w:r>
              <w:rPr>
                <w:rFonts w:ascii="Times New Roman"/>
                <w:b w:val="false"/>
                <w:i w:val="false"/>
                <w:color w:val="000000"/>
                <w:sz w:val="20"/>
              </w:rPr>
              <w:t>
   Передача возбудителя инфекции подозревается на основании клинических признаков или симптомов, лабораторных результатов, указывающих на наличие инфекции у пациента, подвергшегося воздействию лекарственного препарата. Уделяется особое внимание на обнаружение инфекции или возбудителя инфекции, с известной потенциальной передачей через лекарственный препарат, но при этом учитывается риск появления неизвестных возбудителей.</w:t>
            </w:r>
          </w:p>
          <w:p>
            <w:pPr>
              <w:spacing w:after="20"/>
              <w:ind w:left="20"/>
              <w:jc w:val="both"/>
            </w:pPr>
            <w:r>
              <w:rPr>
                <w:rFonts w:ascii="Times New Roman"/>
                <w:b w:val="false"/>
                <w:i w:val="false"/>
                <w:color w:val="000000"/>
                <w:sz w:val="20"/>
              </w:rPr>
              <w:t>
   При оценке подозреваемой передачи инфекционного агента посредством лекарственного препарата соблюдается осторожность и проводится различие, между причиной (инъекция или прием) и источником инфекции (контаминация) и клиническим состоянием пациента на момент предполагаемого инфицирования (иммунодепрессивное состояние или предшествующая вакцинация).</w:t>
            </w:r>
          </w:p>
          <w:p>
            <w:pPr>
              <w:spacing w:after="20"/>
              <w:ind w:left="20"/>
              <w:jc w:val="both"/>
            </w:pPr>
            <w:r>
              <w:rPr>
                <w:rFonts w:ascii="Times New Roman"/>
                <w:b w:val="false"/>
                <w:i w:val="false"/>
                <w:color w:val="000000"/>
                <w:sz w:val="20"/>
              </w:rPr>
              <w:t>
   Подтверждение контаминации (включая несоответствующую инактивацию или ослабление вирулентности (аттенуацию) возбудителей инфекции как активных веществ) подозреваемого лекарственного препарата усиливает доказательство передачи возбудителя инфекции и подозрение на наличие дефекта качества.</w:t>
            </w:r>
          </w:p>
          <w:p>
            <w:pPr>
              <w:spacing w:after="20"/>
              <w:ind w:left="20"/>
              <w:jc w:val="both"/>
            </w:pPr>
            <w:r>
              <w:rPr>
                <w:rFonts w:ascii="Times New Roman"/>
                <w:b w:val="false"/>
                <w:i w:val="false"/>
                <w:color w:val="000000"/>
                <w:sz w:val="20"/>
              </w:rPr>
              <w:t>
   7.2.2.6. Период между подачей заявления на государственную регистрацию и получением удостоверения о государственной регистрации</w:t>
            </w:r>
          </w:p>
          <w:p>
            <w:pPr>
              <w:spacing w:after="20"/>
              <w:ind w:left="20"/>
              <w:jc w:val="both"/>
            </w:pPr>
            <w:r>
              <w:rPr>
                <w:rFonts w:ascii="Times New Roman"/>
                <w:b w:val="false"/>
                <w:i w:val="false"/>
                <w:color w:val="000000"/>
                <w:sz w:val="20"/>
              </w:rPr>
              <w:t xml:space="preserve">
   В период между подачей заявления на государственную регистрацию и получением удостоверения о государственной регистрации, в случае появления информации, влияющую на соотношение польза-риск лекарственного препарата держатель регистрационного удостоверения обеспечивает незамедлительное представления данной информации в уполномоченную организацию. </w:t>
            </w:r>
          </w:p>
          <w:p>
            <w:pPr>
              <w:spacing w:after="20"/>
              <w:ind w:left="20"/>
              <w:jc w:val="both"/>
            </w:pPr>
            <w:r>
              <w:rPr>
                <w:rFonts w:ascii="Times New Roman"/>
                <w:b w:val="false"/>
                <w:i w:val="false"/>
                <w:color w:val="000000"/>
                <w:sz w:val="20"/>
              </w:rPr>
              <w:t>
   7.2.2.7. Период после приостановления действия или аннулирования удостоверения о государственной регистрации</w:t>
            </w:r>
          </w:p>
          <w:p>
            <w:pPr>
              <w:spacing w:after="20"/>
              <w:ind w:left="20"/>
              <w:jc w:val="both"/>
            </w:pPr>
            <w:r>
              <w:rPr>
                <w:rFonts w:ascii="Times New Roman"/>
                <w:b w:val="false"/>
                <w:i w:val="false"/>
                <w:color w:val="000000"/>
                <w:sz w:val="20"/>
              </w:rPr>
              <w:t>
   Держатель регистрационного удостоверения продолжает собирать любые сведения о подозреваемых нежелательных реакциях, относительно лекарственного препарата с приостановленным удостоверением о государственной регистрации с выполнением требований срочного репортирования, при таковых случаях.</w:t>
            </w:r>
          </w:p>
          <w:p>
            <w:pPr>
              <w:spacing w:after="20"/>
              <w:ind w:left="20"/>
              <w:jc w:val="both"/>
            </w:pPr>
            <w:r>
              <w:rPr>
                <w:rFonts w:ascii="Times New Roman"/>
                <w:b w:val="false"/>
                <w:i w:val="false"/>
                <w:color w:val="000000"/>
                <w:sz w:val="20"/>
              </w:rPr>
              <w:t>
   В случае аннулирования удостоверения о государственной регистрации держатель регистрационного удостоверения продолжает собирать сведения о подозреваемых нежелательных реакциях в целях, в частности, облегчения оценки в случае развития отсроченных нежелательных реакций, либо в случаях получения нежелательных реакциях, представляемых ретроспективно.</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Период во время чрезвычайной ситуации в здравоохранении</w:t>
            </w:r>
          </w:p>
          <w:p>
            <w:pPr>
              <w:spacing w:after="20"/>
              <w:ind w:left="20"/>
              <w:jc w:val="both"/>
            </w:pPr>
            <w:r>
              <w:rPr>
                <w:rFonts w:ascii="Times New Roman"/>
                <w:b w:val="false"/>
                <w:i w:val="false"/>
                <w:color w:val="000000"/>
                <w:sz w:val="20"/>
              </w:rPr>
              <w:t>
   Чрезвычайная ситуация в здравоохранении – признанная Всемирной организацией здравоохранения (ВОЗ) угроза общественному здоровью. В случае чрезвычайной ситуации в здравоохранении вносятся поправки в требования к регулярному составлению отчетов. Такие поправки рассматриваются индивидуально и размещаются в виде извещений на веб-сайте уполномоченной организации.</w:t>
            </w:r>
          </w:p>
          <w:p>
            <w:pPr>
              <w:spacing w:after="20"/>
              <w:ind w:left="20"/>
              <w:jc w:val="both"/>
            </w:pPr>
            <w:r>
              <w:rPr>
                <w:rFonts w:ascii="Times New Roman"/>
                <w:b w:val="false"/>
                <w:i w:val="false"/>
                <w:color w:val="000000"/>
                <w:sz w:val="20"/>
              </w:rPr>
              <w:t>
   7.2.2.9. Сообщения на основе судебных исков в отношении лекарственных препаратов</w:t>
            </w:r>
          </w:p>
          <w:p>
            <w:pPr>
              <w:spacing w:after="20"/>
              <w:ind w:left="20"/>
              <w:jc w:val="both"/>
            </w:pPr>
            <w:r>
              <w:rPr>
                <w:rFonts w:ascii="Times New Roman"/>
                <w:b w:val="false"/>
                <w:i w:val="false"/>
                <w:color w:val="000000"/>
                <w:sz w:val="20"/>
              </w:rPr>
              <w:t xml:space="preserve">
   Сообщения, возникающие по результатам судебных исков в отношении лекарственных препаратов, относятся к сообщениям, полученными без запроса. Представляются сообщения только о нежелательных реакциях, в которых репортером или держателем регистрационного удостоверения предполагается наличие как минимум возможной причинно-следственной связи с подозреваемым лекарственным препаратом. В этих случаях срочное репортирование осуществляется согласно требованиям, установленным законодательством.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7.3. Подготовка индивидуальных сообщений о нежелательных реакциях </w:t>
            </w:r>
          </w:p>
          <w:p>
            <w:pPr>
              <w:spacing w:after="20"/>
              <w:ind w:left="20"/>
              <w:jc w:val="both"/>
            </w:pPr>
            <w:r>
              <w:rPr>
                <w:rFonts w:ascii="Times New Roman"/>
                <w:b w:val="false"/>
                <w:i w:val="false"/>
                <w:color w:val="000000"/>
                <w:sz w:val="20"/>
              </w:rPr>
              <w:t>
   7.3.1. Информация о подозреваемых, взаимодействующих и сопутствующих лекарственных препаратах</w:t>
            </w:r>
          </w:p>
          <w:p>
            <w:pPr>
              <w:spacing w:after="20"/>
              <w:ind w:left="20"/>
              <w:jc w:val="both"/>
            </w:pPr>
            <w:r>
              <w:rPr>
                <w:rFonts w:ascii="Times New Roman"/>
                <w:b w:val="false"/>
                <w:i w:val="false"/>
                <w:color w:val="000000"/>
                <w:sz w:val="20"/>
              </w:rPr>
              <w:t>
   В сообщении о нежелательной реакции указываются подозреваемые, взаимодействующие и (или) сопутствующие лекарственные препараты с указанием режимов дозирования и дат начала и окончания терапии. В отношении комбинированных лекарственных препаратов, которые содержат более одного активного вещества, каждое действующее вещество указывается отдельно.</w:t>
            </w:r>
          </w:p>
          <w:p>
            <w:pPr>
              <w:spacing w:after="20"/>
              <w:ind w:left="20"/>
              <w:jc w:val="both"/>
            </w:pPr>
            <w:r>
              <w:rPr>
                <w:rFonts w:ascii="Times New Roman"/>
                <w:b w:val="false"/>
                <w:i w:val="false"/>
                <w:color w:val="000000"/>
                <w:sz w:val="20"/>
              </w:rPr>
              <w:t>
   Если сообщается, что описываемый случай нежелательной реакции связан только с терапевтическим классом, он считается неполным и не отвечает критериям срочного репортирования сообщения о нежелательной реакции. Ведется последующая деятельность по случаю нежелательной реакции, для сбора недостающей информацию о подозреваемом лекарственном препарате.</w:t>
            </w:r>
          </w:p>
          <w:p>
            <w:pPr>
              <w:spacing w:after="20"/>
              <w:ind w:left="20"/>
              <w:jc w:val="both"/>
            </w:pPr>
            <w:r>
              <w:rPr>
                <w:rFonts w:ascii="Times New Roman"/>
                <w:b w:val="false"/>
                <w:i w:val="false"/>
                <w:color w:val="000000"/>
                <w:sz w:val="20"/>
              </w:rPr>
              <w:t>
   7.3.2. Подозреваемая нежелательная реакция</w:t>
            </w:r>
          </w:p>
          <w:p>
            <w:pPr>
              <w:spacing w:after="20"/>
              <w:ind w:left="20"/>
              <w:jc w:val="both"/>
            </w:pPr>
            <w:r>
              <w:rPr>
                <w:rFonts w:ascii="Times New Roman"/>
                <w:b w:val="false"/>
                <w:i w:val="false"/>
                <w:color w:val="000000"/>
                <w:sz w:val="20"/>
              </w:rPr>
              <w:t>
   Описание подозреваемой нежелательной реакции выполняется согласно действующей версии Медицинского словаря терминологии MedDRA Международной конференции по гармонизации (ICH).</w:t>
            </w:r>
          </w:p>
          <w:p>
            <w:pPr>
              <w:spacing w:after="20"/>
              <w:ind w:left="20"/>
              <w:jc w:val="both"/>
            </w:pPr>
            <w:r>
              <w:rPr>
                <w:rFonts w:ascii="Times New Roman"/>
                <w:b w:val="false"/>
                <w:i w:val="false"/>
                <w:color w:val="000000"/>
                <w:sz w:val="20"/>
              </w:rPr>
              <w:t>
   7.3.3. Описание нежелательной реакции и оценка причинно-следственной связи</w:t>
            </w:r>
          </w:p>
          <w:p>
            <w:pPr>
              <w:spacing w:after="20"/>
              <w:ind w:left="20"/>
              <w:jc w:val="both"/>
            </w:pPr>
            <w:r>
              <w:rPr>
                <w:rFonts w:ascii="Times New Roman"/>
                <w:b w:val="false"/>
                <w:i w:val="false"/>
                <w:color w:val="000000"/>
                <w:sz w:val="20"/>
              </w:rPr>
              <w:t>
   Для каждого индивидуального случая представляется вся имеющаяся информация по развившейся нежелательной реакции. Информация представляется в логической временной последовательности, в хронологии изменения состояния пациента, включая клиническое течение, терапевтические меры, исход и полученную последующую информацию. Описание всестороннее, самостоятельное "медицинский отчет", содержащее все известные важные клинические и связанные с этим (лабораторные, диагностические и иные) сведения, включая характеристику пациента, подробности лечения, историю болезни, клиническое течение явления(-й), диагноз, нежелательные реакции и их исход и любая другая информация, подтверждающая или опровергающая подозреваемые нежелательные реакции. В случаях, когда это применимо, обобщаются важные результаты вскрытия или результаты посмертного исследования.</w:t>
            </w:r>
          </w:p>
          <w:p>
            <w:pPr>
              <w:spacing w:after="20"/>
              <w:ind w:left="20"/>
              <w:jc w:val="both"/>
            </w:pPr>
            <w:r>
              <w:rPr>
                <w:rFonts w:ascii="Times New Roman"/>
                <w:b w:val="false"/>
                <w:i w:val="false"/>
                <w:color w:val="000000"/>
                <w:sz w:val="20"/>
              </w:rPr>
              <w:t>
   Уполномоченная организация и держатель регистрационного удостоверения, дополнительно к оценке причинно-следственной связи первоисточника (репортера), если она представлена, комментируют отношение причинно-следственной связи между подозреваемым лекарственным препаратом и нежелательной реакцией.</w:t>
            </w:r>
          </w:p>
          <w:p>
            <w:pPr>
              <w:spacing w:after="20"/>
              <w:ind w:left="20"/>
              <w:jc w:val="both"/>
            </w:pPr>
            <w:r>
              <w:rPr>
                <w:rFonts w:ascii="Times New Roman"/>
                <w:b w:val="false"/>
                <w:i w:val="false"/>
                <w:color w:val="000000"/>
                <w:sz w:val="20"/>
              </w:rPr>
              <w:t>
   7.3.4. Результаты анализов и инструментальных исследований</w:t>
            </w:r>
          </w:p>
          <w:p>
            <w:pPr>
              <w:spacing w:after="20"/>
              <w:ind w:left="20"/>
              <w:jc w:val="both"/>
            </w:pPr>
            <w:r>
              <w:rPr>
                <w:rFonts w:ascii="Times New Roman"/>
                <w:b w:val="false"/>
                <w:i w:val="false"/>
                <w:color w:val="000000"/>
                <w:sz w:val="20"/>
              </w:rPr>
              <w:t>
   В описании нежелательной реакции фиксируются результаты анализов и процедур, выполненных с целью диагностики или подтверждения реакции или явления, включая анализы, проведенные для исследования причины, не связанной с лекарственным препаратом (в частности, серологические анализы на инфекционный гепатит при подозрении на гепатит, вызванный лекарственным препаратом). Подлежат сообщению и положительные, и отрицательные результаты исследований.</w:t>
            </w:r>
          </w:p>
          <w:p>
            <w:pPr>
              <w:spacing w:after="20"/>
              <w:ind w:left="20"/>
              <w:jc w:val="both"/>
            </w:pPr>
            <w:r>
              <w:rPr>
                <w:rFonts w:ascii="Times New Roman"/>
                <w:b w:val="false"/>
                <w:i w:val="false"/>
                <w:color w:val="000000"/>
                <w:sz w:val="20"/>
              </w:rPr>
              <w:t>
   7.3 5. Последующая информация</w:t>
            </w:r>
          </w:p>
          <w:p>
            <w:pPr>
              <w:spacing w:after="20"/>
              <w:ind w:left="20"/>
              <w:jc w:val="both"/>
            </w:pPr>
            <w:r>
              <w:rPr>
                <w:rFonts w:ascii="Times New Roman"/>
                <w:b w:val="false"/>
                <w:i w:val="false"/>
                <w:color w:val="000000"/>
                <w:sz w:val="20"/>
              </w:rPr>
              <w:t>
   Отправитель сообщения о нежелательной реакции, в случае получения новой важной медицинской информации, направляет ее незамедлительно. Важная новая информация включает, новую подозреваемую нежелательную реакцию, изменение в оценке причинно-следственной связи и любую новую информацию или данные об изменении первоначальной (предшествующей) информации, или случаи, влияющие на медицинскую оценку. Идентификация важной новой информации, требующей срочного репортирования, подвергается медицинскому заключению.</w:t>
            </w:r>
          </w:p>
          <w:p>
            <w:pPr>
              <w:spacing w:after="20"/>
              <w:ind w:left="20"/>
              <w:jc w:val="both"/>
            </w:pPr>
            <w:r>
              <w:rPr>
                <w:rFonts w:ascii="Times New Roman"/>
                <w:b w:val="false"/>
                <w:i w:val="false"/>
                <w:color w:val="000000"/>
                <w:sz w:val="20"/>
              </w:rPr>
              <w:t>
   Ситуации, когда критерии серьезности и (или) оценка причинно-следственной связи по отдельным случаям снижаются (в частности, последующая информация приводит к изменению критериев серьезности с серьезной нежелательной реакции на несерьезную; оценка причинно-следственной связи меняется с установленного уровня взаимосвязи на сомнительную взаимосвязь) оцениваются как значительные изменения, и подлежат сообщению согласно требованиям срочного репортирования информации.</w:t>
            </w:r>
          </w:p>
          <w:p>
            <w:pPr>
              <w:spacing w:after="20"/>
              <w:ind w:left="20"/>
              <w:jc w:val="both"/>
            </w:pPr>
            <w:r>
              <w:rPr>
                <w:rFonts w:ascii="Times New Roman"/>
                <w:b w:val="false"/>
                <w:i w:val="false"/>
                <w:color w:val="000000"/>
                <w:sz w:val="20"/>
              </w:rPr>
              <w:t>
   В случае, если последующая информация вносит незначительные изменения в изначальные данные и оценку, она не подлежит срочному репортированию. Примеры незначительных изменений включают незначимые изменения некоторых дат, без влияния на оценку или передачу случая, или исправления опечаток в предыдущей версии. Тем не менее, последующая информация подлежит медицинскому экспертному заключению в отношении значимости, так как в ряде случаев формальная оценка является недостаточной (в частности, изменение в дате рождения представляет существенное изменение информации о возрасте пациента).</w:t>
            </w:r>
          </w:p>
          <w:p>
            <w:pPr>
              <w:spacing w:after="20"/>
              <w:ind w:left="20"/>
              <w:jc w:val="both"/>
            </w:pPr>
            <w:r>
              <w:rPr>
                <w:rFonts w:ascii="Times New Roman"/>
                <w:b w:val="false"/>
                <w:i w:val="false"/>
                <w:color w:val="000000"/>
                <w:sz w:val="20"/>
              </w:rPr>
              <w:t>
   7.3.6. Аннулирование случаев</w:t>
            </w:r>
          </w:p>
          <w:p>
            <w:pPr>
              <w:spacing w:after="20"/>
              <w:ind w:left="20"/>
              <w:jc w:val="both"/>
            </w:pPr>
            <w:r>
              <w:rPr>
                <w:rFonts w:ascii="Times New Roman"/>
                <w:b w:val="false"/>
                <w:i w:val="false"/>
                <w:color w:val="000000"/>
                <w:sz w:val="20"/>
              </w:rPr>
              <w:t>
   Аннулированный случай – случай, который более не учитывается в процедурах оценки. Аннулирование осуществляется при обнаружении ошибочности случая, либо в случае дублированных отчетов. Процесс аннулирования случая выполняется посредством уведомления репортера о том, что случай более не является действительным. Однако сообщение сохраняется в базе данных фармаконадзора репортера.</w:t>
            </w:r>
          </w:p>
          <w:p>
            <w:pPr>
              <w:spacing w:after="20"/>
              <w:ind w:left="20"/>
              <w:jc w:val="both"/>
            </w:pPr>
            <w:r>
              <w:rPr>
                <w:rFonts w:ascii="Times New Roman"/>
                <w:b w:val="false"/>
                <w:i w:val="false"/>
                <w:color w:val="000000"/>
                <w:sz w:val="20"/>
              </w:rPr>
              <w:t>
   </w:t>
            </w:r>
            <w:r>
              <w:rPr>
                <w:rFonts w:ascii="Times New Roman"/>
                <w:b/>
                <w:i w:val="false"/>
                <w:color w:val="000000"/>
                <w:sz w:val="20"/>
              </w:rPr>
              <w:t>7.4. Сотрудничество со Всемирной Организацией Здравоохранения</w:t>
            </w:r>
          </w:p>
          <w:p>
            <w:pPr>
              <w:spacing w:after="20"/>
              <w:ind w:left="20"/>
              <w:jc w:val="both"/>
            </w:pPr>
            <w:r>
              <w:rPr>
                <w:rFonts w:ascii="Times New Roman"/>
                <w:b w:val="false"/>
                <w:i w:val="false"/>
                <w:color w:val="000000"/>
                <w:sz w:val="20"/>
              </w:rPr>
              <w:t>
   Уполномоченная организация обеспечивает регулярное представление сообщений о выявленных на территории Республики Казахстан подозреваемых нежелательных реакций на лекарственные препараты в Сотрудничающий Центр Всемирной Организации Здравоохранения с целью их включения в базу данных нежелательных реакций Всемирной Организации Здравоохранения.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1938"/>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Периодический отчет по безопасности</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 представляет собой документ по фармаконадзору, целью которого является представление держателем регистрационного удостоверения оценки соотношения польза-риск лекарственного препарата на определенных этапах пострегистрационного периода.</w:t>
            </w:r>
          </w:p>
          <w:p>
            <w:pPr>
              <w:spacing w:after="20"/>
              <w:ind w:left="20"/>
              <w:jc w:val="both"/>
            </w:pPr>
            <w:r>
              <w:rPr>
                <w:rFonts w:ascii="Times New Roman"/>
                <w:b w:val="false"/>
                <w:i w:val="false"/>
                <w:color w:val="000000"/>
                <w:sz w:val="20"/>
              </w:rPr>
              <w:t>
   Уполномоченная организация выполняет оценку ПОБ для определения возможных новых выявленных рисков и их влияния на оценку соотношения польза-риск лекарственного препарата. По результатам оценки уполномоченный орган определяет необходимость выполнения дальнейших исследований или испытаний безопасности или эффективности лекарственного препарата, принятия уполномоченных решений в отношении регистрационного статуса лекарственного препарата или внесения изменений в утвержденную инструкцию по медицинскому применению лекарственного препарата в целях обеспечения его применения при превышении пользы над риском.</w:t>
            </w:r>
          </w:p>
          <w:p>
            <w:pPr>
              <w:spacing w:after="20"/>
              <w:ind w:left="20"/>
              <w:jc w:val="both"/>
            </w:pPr>
            <w:r>
              <w:rPr>
                <w:rFonts w:ascii="Times New Roman"/>
                <w:b w:val="false"/>
                <w:i w:val="false"/>
                <w:color w:val="000000"/>
                <w:sz w:val="20"/>
              </w:rPr>
              <w:t>
   </w:t>
            </w:r>
            <w:r>
              <w:rPr>
                <w:rFonts w:ascii="Times New Roman"/>
                <w:b/>
                <w:i w:val="false"/>
                <w:color w:val="000000"/>
                <w:sz w:val="20"/>
              </w:rPr>
              <w:t>8.1. Цели ПОБ</w:t>
            </w:r>
          </w:p>
          <w:p>
            <w:pPr>
              <w:spacing w:after="20"/>
              <w:ind w:left="20"/>
              <w:jc w:val="both"/>
            </w:pPr>
            <w:r>
              <w:rPr>
                <w:rFonts w:ascii="Times New Roman"/>
                <w:b w:val="false"/>
                <w:i w:val="false"/>
                <w:color w:val="000000"/>
                <w:sz w:val="20"/>
              </w:rPr>
              <w:t xml:space="preserve">
   8.1.1. Основной целью ПОБ является представление исчерпывающего и критического анализа соотношения польза-риск лекарственного препарата с учетом всех новых данных по безопасности и их кумулятивного влияния на профиль безопасности и эффективности лекарственного препарата. ПОБ является инструментом пострегистрационной оценки соотношения польза-риск лекарственного препарата на определенных этапах жизненного цикла лекарственного препарата. </w:t>
            </w:r>
          </w:p>
          <w:p>
            <w:pPr>
              <w:spacing w:after="20"/>
              <w:ind w:left="20"/>
              <w:jc w:val="both"/>
            </w:pPr>
            <w:r>
              <w:rPr>
                <w:rFonts w:ascii="Times New Roman"/>
                <w:b w:val="false"/>
                <w:i w:val="false"/>
                <w:color w:val="000000"/>
                <w:sz w:val="20"/>
              </w:rPr>
              <w:t xml:space="preserve">
   8.1.2. В процессе пострегистрационного применения лекарственного препарата выявляется новая информация по безопасности, на основании оценки которой держатель регистрационного удостоверения постоянно осуществляет анализ влияния новых данных на соотношение польза-риск, переоценку данного показателя, а также определяет необходимость оптимизации соотношения польза-риск путем введения эффективных мер по управлению рисками и их минимизации. </w:t>
            </w:r>
          </w:p>
          <w:p>
            <w:pPr>
              <w:spacing w:after="20"/>
              <w:ind w:left="20"/>
              <w:jc w:val="both"/>
            </w:pPr>
            <w:r>
              <w:rPr>
                <w:rFonts w:ascii="Times New Roman"/>
                <w:b w:val="false"/>
                <w:i w:val="false"/>
                <w:color w:val="000000"/>
                <w:sz w:val="20"/>
              </w:rPr>
              <w:t>
   </w:t>
            </w:r>
            <w:r>
              <w:rPr>
                <w:rFonts w:ascii="Times New Roman"/>
                <w:b/>
                <w:i w:val="false"/>
                <w:color w:val="000000"/>
                <w:sz w:val="20"/>
              </w:rPr>
              <w:t>8.2. Принципы оценки соотношения польза-риск в ПОБ</w:t>
            </w:r>
          </w:p>
          <w:p>
            <w:pPr>
              <w:spacing w:after="20"/>
              <w:ind w:left="20"/>
              <w:jc w:val="both"/>
            </w:pPr>
            <w:r>
              <w:rPr>
                <w:rFonts w:ascii="Times New Roman"/>
                <w:b w:val="false"/>
                <w:i w:val="false"/>
                <w:color w:val="000000"/>
                <w:sz w:val="20"/>
              </w:rPr>
              <w:t>
   Оценка соотношения польза-риск носит непрерывный характер на протяжении всего жизненного цикла лекарственного препарата в целях обеспечения защиты здоровья населения и повышения безопасности пациентов путем реализации эффективных мер минимизации риска. Основой для анализа является информация по безопасности и эффективности, собираемая на протяжении соответствующих промежутков времени, составляющих отчетные периоды. Оценка включает следующие этапы:</w:t>
            </w:r>
          </w:p>
          <w:p>
            <w:pPr>
              <w:spacing w:after="20"/>
              <w:ind w:left="20"/>
              <w:jc w:val="both"/>
            </w:pPr>
            <w:r>
              <w:rPr>
                <w:rFonts w:ascii="Times New Roman"/>
                <w:b w:val="false"/>
                <w:i w:val="false"/>
                <w:color w:val="000000"/>
                <w:sz w:val="20"/>
              </w:rPr>
              <w:t>
   1. Критический анализ всей информации по безопасности, полученной за отчетный период с определением возможных выявленных новых сигналов, свидетельствующих о новых потенциальных или идентифицированных рисках, либо дополнении имеющихся знаний по ранее идентифицированным рискам;</w:t>
            </w:r>
          </w:p>
          <w:p>
            <w:pPr>
              <w:spacing w:after="20"/>
              <w:ind w:left="20"/>
              <w:jc w:val="both"/>
            </w:pPr>
            <w:r>
              <w:rPr>
                <w:rFonts w:ascii="Times New Roman"/>
                <w:b w:val="false"/>
                <w:i w:val="false"/>
                <w:color w:val="000000"/>
                <w:sz w:val="20"/>
              </w:rPr>
              <w:t>
   2. Критическое обобщение всей полученной за отчетный период информации по безопасности и эффективности лекарственного препарата (как в рамках клинических исследований или испытаний, так и при применении в медицинской практике) с оценкой влияния этих данных на соотношение польза-риск лекарственного препарата;</w:t>
            </w:r>
          </w:p>
          <w:p>
            <w:pPr>
              <w:spacing w:after="20"/>
              <w:ind w:left="20"/>
              <w:jc w:val="both"/>
            </w:pPr>
            <w:r>
              <w:rPr>
                <w:rFonts w:ascii="Times New Roman"/>
                <w:b w:val="false"/>
                <w:i w:val="false"/>
                <w:color w:val="000000"/>
                <w:sz w:val="20"/>
              </w:rPr>
              <w:t>
   3. Выполнение интегрального анализа соотношения польза-риск на основании всех кумулятивных данных, имеющихся за период от даты первой регистрации в какой-либо из стран, даты первой регистрации для проведения интервенционного клинического исследования в какой-либо из стран;</w:t>
            </w:r>
          </w:p>
          <w:p>
            <w:pPr>
              <w:spacing w:after="20"/>
              <w:ind w:left="20"/>
              <w:jc w:val="both"/>
            </w:pPr>
            <w:r>
              <w:rPr>
                <w:rFonts w:ascii="Times New Roman"/>
                <w:b w:val="false"/>
                <w:i w:val="false"/>
                <w:color w:val="000000"/>
                <w:sz w:val="20"/>
              </w:rPr>
              <w:t>
   4. Обобщение информации по мерам минимизации риска, которые могли выполняться или планируются;</w:t>
            </w:r>
          </w:p>
          <w:p>
            <w:pPr>
              <w:spacing w:after="20"/>
              <w:ind w:left="20"/>
              <w:jc w:val="both"/>
            </w:pPr>
            <w:r>
              <w:rPr>
                <w:rFonts w:ascii="Times New Roman"/>
                <w:b w:val="false"/>
                <w:i w:val="false"/>
                <w:color w:val="000000"/>
                <w:sz w:val="20"/>
              </w:rPr>
              <w:t>
   5. Определение плана оценки сигналов и рисков и (или) предложений по дополнительной деятельности по фармаконадзору.</w:t>
            </w:r>
          </w:p>
          <w:p>
            <w:pPr>
              <w:spacing w:after="20"/>
              <w:ind w:left="20"/>
              <w:jc w:val="both"/>
            </w:pPr>
            <w:r>
              <w:rPr>
                <w:rFonts w:ascii="Times New Roman"/>
                <w:b w:val="false"/>
                <w:i w:val="false"/>
                <w:color w:val="000000"/>
                <w:sz w:val="20"/>
              </w:rPr>
              <w:t>
   </w:t>
            </w:r>
            <w:r>
              <w:rPr>
                <w:rFonts w:ascii="Times New Roman"/>
                <w:b/>
                <w:i w:val="false"/>
                <w:color w:val="000000"/>
                <w:sz w:val="20"/>
              </w:rPr>
              <w:t>8.3 Принципы подготовки ПОБ</w:t>
            </w:r>
          </w:p>
          <w:p>
            <w:pPr>
              <w:spacing w:after="20"/>
              <w:ind w:left="20"/>
              <w:jc w:val="both"/>
            </w:pPr>
            <w:r>
              <w:rPr>
                <w:rFonts w:ascii="Times New Roman"/>
                <w:b w:val="false"/>
                <w:i w:val="false"/>
                <w:color w:val="000000"/>
                <w:sz w:val="20"/>
              </w:rPr>
              <w:t xml:space="preserve">
   Держатель регистрационного удостоверения готовит один ПОБ для всех своих лекарственных препаратов, содержащих одно и то же действующее вещество или одну и ту же комбинацию действующих веществ по всем одобренным показаниям, способам введения, формам выпуска и режимам дозирования. В определенных случаях требуется представление данных по отдельным показаниям, формам выпуска, способам введения или режимам дозирования в отдельном разделе ПОБ с соответствующим отражением аспектов профиля безопасности, без подготовки отдельного ПОБ. В случае отличной формы выпуска с полностью отличными показаниями к медицинскому применению подготавливается отдельный ПОБ. </w:t>
            </w:r>
          </w:p>
          <w:p>
            <w:pPr>
              <w:spacing w:after="20"/>
              <w:ind w:left="20"/>
              <w:jc w:val="both"/>
            </w:pPr>
            <w:r>
              <w:rPr>
                <w:rFonts w:ascii="Times New Roman"/>
                <w:b w:val="false"/>
                <w:i w:val="false"/>
                <w:color w:val="000000"/>
                <w:sz w:val="20"/>
              </w:rPr>
              <w:t>
   </w:t>
            </w:r>
            <w:r>
              <w:rPr>
                <w:rFonts w:ascii="Times New Roman"/>
                <w:b/>
                <w:i w:val="false"/>
                <w:color w:val="000000"/>
                <w:sz w:val="20"/>
              </w:rPr>
              <w:t>8.4. Содержание ПОБ</w:t>
            </w:r>
          </w:p>
          <w:p>
            <w:pPr>
              <w:spacing w:after="20"/>
              <w:ind w:left="20"/>
              <w:jc w:val="both"/>
            </w:pPr>
            <w:r>
              <w:rPr>
                <w:rFonts w:ascii="Times New Roman"/>
                <w:b w:val="false"/>
                <w:i w:val="false"/>
                <w:color w:val="000000"/>
                <w:sz w:val="20"/>
              </w:rPr>
              <w:t>
   8.4.1. ПОБ включает кумулятивные данные, полученные от даты регистрации, с направленностью на новую информацию, полученную за отчетный период. Кумулятивная информация рассматривается при выполнении общей оценки безопасности и интегрированной оценки соотношения польза-риск.</w:t>
            </w:r>
          </w:p>
          <w:p>
            <w:pPr>
              <w:spacing w:after="20"/>
              <w:ind w:left="20"/>
              <w:jc w:val="both"/>
            </w:pPr>
            <w:r>
              <w:rPr>
                <w:rFonts w:ascii="Times New Roman"/>
                <w:b w:val="false"/>
                <w:i w:val="false"/>
                <w:color w:val="000000"/>
                <w:sz w:val="20"/>
              </w:rPr>
              <w:t>
   ПОБ включает обобщающую информацию по всем источникам получения значимых данных по эффективности и безопасности, которые учитываются при выполнении очередной оценки соотношения польза-риск и которые имеются в распоряжении держателя регистрационного удостоверения. Указанная информация включает:</w:t>
            </w:r>
          </w:p>
          <w:p>
            <w:pPr>
              <w:spacing w:after="20"/>
              <w:ind w:left="20"/>
              <w:jc w:val="both"/>
            </w:pPr>
            <w:r>
              <w:rPr>
                <w:rFonts w:ascii="Times New Roman"/>
                <w:b w:val="false"/>
                <w:i w:val="false"/>
                <w:color w:val="000000"/>
                <w:sz w:val="20"/>
              </w:rPr>
              <w:t>
   1. обобщающая информация по результатам медицинского применения:</w:t>
            </w:r>
          </w:p>
          <w:p>
            <w:pPr>
              <w:spacing w:after="20"/>
              <w:ind w:left="20"/>
              <w:jc w:val="both"/>
            </w:pPr>
            <w:r>
              <w:rPr>
                <w:rFonts w:ascii="Times New Roman"/>
                <w:b w:val="false"/>
                <w:i w:val="false"/>
                <w:color w:val="000000"/>
                <w:sz w:val="20"/>
              </w:rPr>
              <w:t>
   1) данные спонтанного репортирования;</w:t>
            </w:r>
          </w:p>
          <w:p>
            <w:pPr>
              <w:spacing w:after="20"/>
              <w:ind w:left="20"/>
              <w:jc w:val="both"/>
            </w:pPr>
            <w:r>
              <w:rPr>
                <w:rFonts w:ascii="Times New Roman"/>
                <w:b w:val="false"/>
                <w:i w:val="false"/>
                <w:color w:val="000000"/>
                <w:sz w:val="20"/>
              </w:rPr>
              <w:t>
   2) данные медицинской литературы;</w:t>
            </w:r>
          </w:p>
          <w:p>
            <w:pPr>
              <w:spacing w:after="20"/>
              <w:ind w:left="20"/>
              <w:jc w:val="both"/>
            </w:pPr>
            <w:r>
              <w:rPr>
                <w:rFonts w:ascii="Times New Roman"/>
                <w:b w:val="false"/>
                <w:i w:val="false"/>
                <w:color w:val="000000"/>
                <w:sz w:val="20"/>
              </w:rPr>
              <w:t>
   3) данные, полученные в ходе активных методов мониторинга (в частности, анализ внутренних или внешних бах данных);</w:t>
            </w:r>
          </w:p>
          <w:p>
            <w:pPr>
              <w:spacing w:after="20"/>
              <w:ind w:left="20"/>
              <w:jc w:val="both"/>
            </w:pPr>
            <w:r>
              <w:rPr>
                <w:rFonts w:ascii="Times New Roman"/>
                <w:b w:val="false"/>
                <w:i w:val="false"/>
                <w:color w:val="000000"/>
                <w:sz w:val="20"/>
              </w:rPr>
              <w:t>
   4) сигналы по безопасности, находящиеся на рассмотрении у держателя регистрационного удостоверения;</w:t>
            </w:r>
          </w:p>
          <w:p>
            <w:pPr>
              <w:spacing w:after="20"/>
              <w:ind w:left="20"/>
              <w:jc w:val="both"/>
            </w:pPr>
            <w:r>
              <w:rPr>
                <w:rFonts w:ascii="Times New Roman"/>
                <w:b w:val="false"/>
                <w:i w:val="false"/>
                <w:color w:val="000000"/>
                <w:sz w:val="20"/>
              </w:rPr>
              <w:t>
   5) информация от партнеров по маркетингу или дистрибьюции.</w:t>
            </w:r>
          </w:p>
          <w:p>
            <w:pPr>
              <w:spacing w:after="20"/>
              <w:ind w:left="20"/>
              <w:jc w:val="both"/>
            </w:pPr>
            <w:r>
              <w:rPr>
                <w:rFonts w:ascii="Times New Roman"/>
                <w:b w:val="false"/>
                <w:i w:val="false"/>
                <w:color w:val="000000"/>
                <w:sz w:val="20"/>
              </w:rPr>
              <w:t>
   2. обобщающая информация по клиническим исследованиям или испытаниям:</w:t>
            </w:r>
          </w:p>
          <w:p>
            <w:pPr>
              <w:spacing w:after="20"/>
              <w:ind w:left="20"/>
              <w:jc w:val="both"/>
            </w:pPr>
            <w:r>
              <w:rPr>
                <w:rFonts w:ascii="Times New Roman"/>
                <w:b w:val="false"/>
                <w:i w:val="false"/>
                <w:color w:val="000000"/>
                <w:sz w:val="20"/>
              </w:rPr>
              <w:t>
   1) продолжающиеся клинические исследования (испытания) или иные исследования (испытания), которые выполняются держателем регистрационного удостоверения или его представителем, либо которые были завершены в отчетный период;</w:t>
            </w:r>
          </w:p>
          <w:p>
            <w:pPr>
              <w:spacing w:after="20"/>
              <w:ind w:left="20"/>
              <w:jc w:val="both"/>
            </w:pPr>
            <w:r>
              <w:rPr>
                <w:rFonts w:ascii="Times New Roman"/>
                <w:b w:val="false"/>
                <w:i w:val="false"/>
                <w:color w:val="000000"/>
                <w:sz w:val="20"/>
              </w:rPr>
              <w:t>
   2) терапевтическое применение исследуемого лекарственного препарата;</w:t>
            </w:r>
          </w:p>
          <w:p>
            <w:pPr>
              <w:spacing w:after="20"/>
              <w:ind w:left="20"/>
              <w:jc w:val="both"/>
            </w:pPr>
            <w:r>
              <w:rPr>
                <w:rFonts w:ascii="Times New Roman"/>
                <w:b w:val="false"/>
                <w:i w:val="false"/>
                <w:color w:val="000000"/>
                <w:sz w:val="20"/>
              </w:rPr>
              <w:t>
   3) обсервационные или эпидемиологические исследования;</w:t>
            </w:r>
          </w:p>
          <w:p>
            <w:pPr>
              <w:spacing w:after="20"/>
              <w:ind w:left="20"/>
              <w:jc w:val="both"/>
            </w:pPr>
            <w:r>
              <w:rPr>
                <w:rFonts w:ascii="Times New Roman"/>
                <w:b w:val="false"/>
                <w:i w:val="false"/>
                <w:color w:val="000000"/>
                <w:sz w:val="20"/>
              </w:rPr>
              <w:t>
   4) исследования по оценке использования лекарственного препарата;</w:t>
            </w:r>
          </w:p>
          <w:p>
            <w:pPr>
              <w:spacing w:after="20"/>
              <w:ind w:left="20"/>
              <w:jc w:val="both"/>
            </w:pPr>
            <w:r>
              <w:rPr>
                <w:rFonts w:ascii="Times New Roman"/>
                <w:b w:val="false"/>
                <w:i w:val="false"/>
                <w:color w:val="000000"/>
                <w:sz w:val="20"/>
              </w:rPr>
              <w:t>
   5) доклинические исследования (токсикологические и исследования in vitro);</w:t>
            </w:r>
          </w:p>
          <w:p>
            <w:pPr>
              <w:spacing w:after="20"/>
              <w:ind w:left="20"/>
              <w:jc w:val="both"/>
            </w:pPr>
            <w:r>
              <w:rPr>
                <w:rFonts w:ascii="Times New Roman"/>
                <w:b w:val="false"/>
                <w:i w:val="false"/>
                <w:color w:val="000000"/>
                <w:sz w:val="20"/>
              </w:rPr>
              <w:t>
   6) клинические исследования, выполняемые партнерами держателя регистрационного удостоверения по разработке или размещению на рынке лекарственного препарата;</w:t>
            </w:r>
          </w:p>
          <w:p>
            <w:pPr>
              <w:spacing w:after="20"/>
              <w:ind w:left="20"/>
              <w:jc w:val="both"/>
            </w:pPr>
            <w:r>
              <w:rPr>
                <w:rFonts w:ascii="Times New Roman"/>
                <w:b w:val="false"/>
                <w:i w:val="false"/>
                <w:color w:val="000000"/>
                <w:sz w:val="20"/>
              </w:rPr>
              <w:t>
   7) клинические исследования, в которых была выявлена недостаточная терапевтическая эффективность, что оказывает на оценку соотношения польза-риск лекарственного препарата.</w:t>
            </w:r>
          </w:p>
          <w:p>
            <w:pPr>
              <w:spacing w:after="20"/>
              <w:ind w:left="20"/>
              <w:jc w:val="both"/>
            </w:pPr>
            <w:r>
              <w:rPr>
                <w:rFonts w:ascii="Times New Roman"/>
                <w:b w:val="false"/>
                <w:i w:val="false"/>
                <w:color w:val="000000"/>
                <w:sz w:val="20"/>
              </w:rPr>
              <w:t>
   3. обобщающая информация из других источников:</w:t>
            </w:r>
          </w:p>
          <w:p>
            <w:pPr>
              <w:spacing w:after="20"/>
              <w:ind w:left="20"/>
              <w:jc w:val="both"/>
            </w:pPr>
            <w:r>
              <w:rPr>
                <w:rFonts w:ascii="Times New Roman"/>
                <w:b w:val="false"/>
                <w:i w:val="false"/>
                <w:color w:val="000000"/>
                <w:sz w:val="20"/>
              </w:rPr>
              <w:t>
   1) данные из иных источников, имеющих отношение к оценке эффективности или безопасности лекарственных препаратов аналогической фармакотерапевтической группы;</w:t>
            </w:r>
          </w:p>
          <w:p>
            <w:pPr>
              <w:spacing w:after="20"/>
              <w:ind w:left="20"/>
              <w:jc w:val="both"/>
            </w:pPr>
            <w:r>
              <w:rPr>
                <w:rFonts w:ascii="Times New Roman"/>
                <w:b w:val="false"/>
                <w:i w:val="false"/>
                <w:color w:val="000000"/>
                <w:sz w:val="20"/>
              </w:rPr>
              <w:t>
   2) иные ПОБ или отчеты по безопасности разрабатываемых лекарственных препаратов (в частности, контрактных партнеров или инициаторов исследований);</w:t>
            </w:r>
          </w:p>
          <w:p>
            <w:pPr>
              <w:spacing w:after="20"/>
              <w:ind w:left="20"/>
              <w:jc w:val="both"/>
            </w:pPr>
            <w:r>
              <w:rPr>
                <w:rFonts w:ascii="Times New Roman"/>
                <w:b w:val="false"/>
                <w:i w:val="false"/>
                <w:color w:val="000000"/>
                <w:sz w:val="20"/>
              </w:rPr>
              <w:t>
   3) важная информация, полученная после завершения подготовки ПОБ.</w:t>
            </w:r>
          </w:p>
          <w:p>
            <w:pPr>
              <w:spacing w:after="20"/>
              <w:ind w:left="20"/>
              <w:jc w:val="both"/>
            </w:pPr>
            <w:r>
              <w:rPr>
                <w:rFonts w:ascii="Times New Roman"/>
                <w:b w:val="false"/>
                <w:i w:val="false"/>
                <w:color w:val="000000"/>
                <w:sz w:val="20"/>
              </w:rPr>
              <w:t>
   8.4.2. ПОБ включает следующие разделы:</w:t>
            </w:r>
          </w:p>
          <w:p>
            <w:pPr>
              <w:spacing w:after="20"/>
              <w:ind w:left="20"/>
              <w:jc w:val="both"/>
            </w:pPr>
            <w:r>
              <w:rPr>
                <w:rFonts w:ascii="Times New Roman"/>
                <w:b w:val="false"/>
                <w:i w:val="false"/>
                <w:color w:val="000000"/>
                <w:sz w:val="20"/>
              </w:rPr>
              <w:t>
   1. титульный лист, включая удостоверяющую подпись;</w:t>
            </w:r>
          </w:p>
          <w:p>
            <w:pPr>
              <w:spacing w:after="20"/>
              <w:ind w:left="20"/>
              <w:jc w:val="both"/>
            </w:pPr>
            <w:r>
              <w:rPr>
                <w:rFonts w:ascii="Times New Roman"/>
                <w:b w:val="false"/>
                <w:i w:val="false"/>
                <w:color w:val="000000"/>
                <w:sz w:val="20"/>
              </w:rPr>
              <w:t>
   2. краткое изложение основного содержания;</w:t>
            </w:r>
          </w:p>
          <w:p>
            <w:pPr>
              <w:spacing w:after="20"/>
              <w:ind w:left="20"/>
              <w:jc w:val="both"/>
            </w:pPr>
            <w:r>
              <w:rPr>
                <w:rFonts w:ascii="Times New Roman"/>
                <w:b w:val="false"/>
                <w:i w:val="false"/>
                <w:color w:val="000000"/>
                <w:sz w:val="20"/>
              </w:rPr>
              <w:t>
   3. таблица содержания отчета:</w:t>
            </w:r>
          </w:p>
          <w:p>
            <w:pPr>
              <w:spacing w:after="20"/>
              <w:ind w:left="20"/>
              <w:jc w:val="both"/>
            </w:pPr>
            <w:r>
              <w:rPr>
                <w:rFonts w:ascii="Times New Roman"/>
                <w:b w:val="false"/>
                <w:i w:val="false"/>
                <w:color w:val="000000"/>
                <w:sz w:val="20"/>
              </w:rPr>
              <w:t>
   1) введение;</w:t>
            </w:r>
          </w:p>
          <w:p>
            <w:pPr>
              <w:spacing w:after="20"/>
              <w:ind w:left="20"/>
              <w:jc w:val="both"/>
            </w:pPr>
            <w:r>
              <w:rPr>
                <w:rFonts w:ascii="Times New Roman"/>
                <w:b w:val="false"/>
                <w:i w:val="false"/>
                <w:color w:val="000000"/>
                <w:sz w:val="20"/>
              </w:rPr>
              <w:t>
   2) регистрационный статус в мире;</w:t>
            </w:r>
          </w:p>
          <w:p>
            <w:pPr>
              <w:spacing w:after="20"/>
              <w:ind w:left="20"/>
              <w:jc w:val="both"/>
            </w:pPr>
            <w:r>
              <w:rPr>
                <w:rFonts w:ascii="Times New Roman"/>
                <w:b w:val="false"/>
                <w:i w:val="false"/>
                <w:color w:val="000000"/>
                <w:sz w:val="20"/>
              </w:rPr>
              <w:t>
   3) меры, принятые за отчетный период, в связи с данными по безопасности;</w:t>
            </w:r>
          </w:p>
          <w:p>
            <w:pPr>
              <w:spacing w:after="20"/>
              <w:ind w:left="20"/>
              <w:jc w:val="both"/>
            </w:pPr>
            <w:r>
              <w:rPr>
                <w:rFonts w:ascii="Times New Roman"/>
                <w:b w:val="false"/>
                <w:i w:val="false"/>
                <w:color w:val="000000"/>
                <w:sz w:val="20"/>
              </w:rPr>
              <w:t>
   4) изменения, внесенные в справочную информацию по безопасности лекарственного препарата;</w:t>
            </w:r>
          </w:p>
          <w:p>
            <w:pPr>
              <w:spacing w:after="20"/>
              <w:ind w:left="20"/>
              <w:jc w:val="both"/>
            </w:pPr>
            <w:r>
              <w:rPr>
                <w:rFonts w:ascii="Times New Roman"/>
                <w:b w:val="false"/>
                <w:i w:val="false"/>
                <w:color w:val="000000"/>
                <w:sz w:val="20"/>
              </w:rPr>
              <w:t>
   5) оценка количества пациентов, подвергшихся воздействию лекарственного препарата:</w:t>
            </w:r>
          </w:p>
          <w:p>
            <w:pPr>
              <w:spacing w:after="20"/>
              <w:ind w:left="20"/>
              <w:jc w:val="both"/>
            </w:pPr>
            <w:r>
              <w:rPr>
                <w:rFonts w:ascii="Times New Roman"/>
                <w:b w:val="false"/>
                <w:i w:val="false"/>
                <w:color w:val="000000"/>
                <w:sz w:val="20"/>
              </w:rPr>
              <w:t>
   5.1 общее количество пациентов, подвергшихся воздействию в клинических исследованиях;</w:t>
            </w:r>
          </w:p>
          <w:p>
            <w:pPr>
              <w:spacing w:after="20"/>
              <w:ind w:left="20"/>
              <w:jc w:val="both"/>
            </w:pPr>
            <w:r>
              <w:rPr>
                <w:rFonts w:ascii="Times New Roman"/>
                <w:b w:val="false"/>
                <w:i w:val="false"/>
                <w:color w:val="000000"/>
                <w:sz w:val="20"/>
              </w:rPr>
              <w:t>
   5.2 общее количество пациентов, подвергшихся воздействию по данным применения на рынке.</w:t>
            </w:r>
          </w:p>
          <w:p>
            <w:pPr>
              <w:spacing w:after="20"/>
              <w:ind w:left="20"/>
              <w:jc w:val="both"/>
            </w:pPr>
            <w:r>
              <w:rPr>
                <w:rFonts w:ascii="Times New Roman"/>
                <w:b w:val="false"/>
                <w:i w:val="false"/>
                <w:color w:val="000000"/>
                <w:sz w:val="20"/>
              </w:rPr>
              <w:t>
   6) обобщенные табличные данные:</w:t>
            </w:r>
          </w:p>
          <w:p>
            <w:pPr>
              <w:spacing w:after="20"/>
              <w:ind w:left="20"/>
              <w:jc w:val="both"/>
            </w:pPr>
            <w:r>
              <w:rPr>
                <w:rFonts w:ascii="Times New Roman"/>
                <w:b w:val="false"/>
                <w:i w:val="false"/>
                <w:color w:val="000000"/>
                <w:sz w:val="20"/>
              </w:rPr>
              <w:t>
   6.1 справочная информация;</w:t>
            </w:r>
          </w:p>
          <w:p>
            <w:pPr>
              <w:spacing w:after="20"/>
              <w:ind w:left="20"/>
              <w:jc w:val="both"/>
            </w:pPr>
            <w:r>
              <w:rPr>
                <w:rFonts w:ascii="Times New Roman"/>
                <w:b w:val="false"/>
                <w:i w:val="false"/>
                <w:color w:val="000000"/>
                <w:sz w:val="20"/>
              </w:rPr>
              <w:t>
   6.2 обобщенная информация по серьезным нежелательным реакциям, выявленным в ходе клинических исследований;</w:t>
            </w:r>
          </w:p>
          <w:p>
            <w:pPr>
              <w:spacing w:after="20"/>
              <w:ind w:left="20"/>
              <w:jc w:val="both"/>
            </w:pPr>
            <w:r>
              <w:rPr>
                <w:rFonts w:ascii="Times New Roman"/>
                <w:b w:val="false"/>
                <w:i w:val="false"/>
                <w:color w:val="000000"/>
                <w:sz w:val="20"/>
              </w:rPr>
              <w:t>
   6.3 обобщенная информация по данным пострегистрационного применения.</w:t>
            </w:r>
          </w:p>
          <w:p>
            <w:pPr>
              <w:spacing w:after="20"/>
              <w:ind w:left="20"/>
              <w:jc w:val="both"/>
            </w:pPr>
            <w:r>
              <w:rPr>
                <w:rFonts w:ascii="Times New Roman"/>
                <w:b w:val="false"/>
                <w:i w:val="false"/>
                <w:color w:val="000000"/>
                <w:sz w:val="20"/>
              </w:rPr>
              <w:t>
   7) резюме важных данных, полученных в ходе клинических исследований за отчетный период:</w:t>
            </w:r>
          </w:p>
          <w:p>
            <w:pPr>
              <w:spacing w:after="20"/>
              <w:ind w:left="20"/>
              <w:jc w:val="both"/>
            </w:pPr>
            <w:r>
              <w:rPr>
                <w:rFonts w:ascii="Times New Roman"/>
                <w:b w:val="false"/>
                <w:i w:val="false"/>
                <w:color w:val="000000"/>
                <w:sz w:val="20"/>
              </w:rPr>
              <w:t>
   7.1 завершенные клинические исследования;</w:t>
            </w:r>
          </w:p>
          <w:p>
            <w:pPr>
              <w:spacing w:after="20"/>
              <w:ind w:left="20"/>
              <w:jc w:val="both"/>
            </w:pPr>
            <w:r>
              <w:rPr>
                <w:rFonts w:ascii="Times New Roman"/>
                <w:b w:val="false"/>
                <w:i w:val="false"/>
                <w:color w:val="000000"/>
                <w:sz w:val="20"/>
              </w:rPr>
              <w:t>
   7.2 продолжающиеся клинические исследования;</w:t>
            </w:r>
          </w:p>
          <w:p>
            <w:pPr>
              <w:spacing w:after="20"/>
              <w:ind w:left="20"/>
              <w:jc w:val="both"/>
            </w:pPr>
            <w:r>
              <w:rPr>
                <w:rFonts w:ascii="Times New Roman"/>
                <w:b w:val="false"/>
                <w:i w:val="false"/>
                <w:color w:val="000000"/>
                <w:sz w:val="20"/>
              </w:rPr>
              <w:t>
   7.3 длительный последующий мониторинг;</w:t>
            </w:r>
          </w:p>
          <w:p>
            <w:pPr>
              <w:spacing w:after="20"/>
              <w:ind w:left="20"/>
              <w:jc w:val="both"/>
            </w:pPr>
            <w:r>
              <w:rPr>
                <w:rFonts w:ascii="Times New Roman"/>
                <w:b w:val="false"/>
                <w:i w:val="false"/>
                <w:color w:val="000000"/>
                <w:sz w:val="20"/>
              </w:rPr>
              <w:t>
   7.4 иное терапевтическое применение лекарственного препарата;</w:t>
            </w:r>
          </w:p>
          <w:p>
            <w:pPr>
              <w:spacing w:after="20"/>
              <w:ind w:left="20"/>
              <w:jc w:val="both"/>
            </w:pPr>
            <w:r>
              <w:rPr>
                <w:rFonts w:ascii="Times New Roman"/>
                <w:b w:val="false"/>
                <w:i w:val="false"/>
                <w:color w:val="000000"/>
                <w:sz w:val="20"/>
              </w:rPr>
              <w:t>
   7.5 новые данные по безопасности в отношении назначения фиксированных комбинаций.</w:t>
            </w:r>
          </w:p>
          <w:p>
            <w:pPr>
              <w:spacing w:after="20"/>
              <w:ind w:left="20"/>
              <w:jc w:val="both"/>
            </w:pPr>
            <w:r>
              <w:rPr>
                <w:rFonts w:ascii="Times New Roman"/>
                <w:b w:val="false"/>
                <w:i w:val="false"/>
                <w:color w:val="000000"/>
                <w:sz w:val="20"/>
              </w:rPr>
              <w:t>
   8) данные неинтервенционных исследований;</w:t>
            </w:r>
          </w:p>
          <w:p>
            <w:pPr>
              <w:spacing w:after="20"/>
              <w:ind w:left="20"/>
              <w:jc w:val="both"/>
            </w:pPr>
            <w:r>
              <w:rPr>
                <w:rFonts w:ascii="Times New Roman"/>
                <w:b w:val="false"/>
                <w:i w:val="false"/>
                <w:color w:val="000000"/>
                <w:sz w:val="20"/>
              </w:rPr>
              <w:t>
   9) данные других клинических исследований и из других источников;</w:t>
            </w:r>
          </w:p>
          <w:p>
            <w:pPr>
              <w:spacing w:after="20"/>
              <w:ind w:left="20"/>
              <w:jc w:val="both"/>
            </w:pPr>
            <w:r>
              <w:rPr>
                <w:rFonts w:ascii="Times New Roman"/>
                <w:b w:val="false"/>
                <w:i w:val="false"/>
                <w:color w:val="000000"/>
                <w:sz w:val="20"/>
              </w:rPr>
              <w:t>
   10) данные доклинических исследований;</w:t>
            </w:r>
          </w:p>
          <w:p>
            <w:pPr>
              <w:spacing w:after="20"/>
              <w:ind w:left="20"/>
              <w:jc w:val="both"/>
            </w:pPr>
            <w:r>
              <w:rPr>
                <w:rFonts w:ascii="Times New Roman"/>
                <w:b w:val="false"/>
                <w:i w:val="false"/>
                <w:color w:val="000000"/>
                <w:sz w:val="20"/>
              </w:rPr>
              <w:t>
   11) литература;</w:t>
            </w:r>
          </w:p>
          <w:p>
            <w:pPr>
              <w:spacing w:after="20"/>
              <w:ind w:left="20"/>
              <w:jc w:val="both"/>
            </w:pPr>
            <w:r>
              <w:rPr>
                <w:rFonts w:ascii="Times New Roman"/>
                <w:b w:val="false"/>
                <w:i w:val="false"/>
                <w:color w:val="000000"/>
                <w:sz w:val="20"/>
              </w:rPr>
              <w:t>
   12) другие периодические отчеты;</w:t>
            </w:r>
          </w:p>
          <w:p>
            <w:pPr>
              <w:spacing w:after="20"/>
              <w:ind w:left="20"/>
              <w:jc w:val="both"/>
            </w:pPr>
            <w:r>
              <w:rPr>
                <w:rFonts w:ascii="Times New Roman"/>
                <w:b w:val="false"/>
                <w:i w:val="false"/>
                <w:color w:val="000000"/>
                <w:sz w:val="20"/>
              </w:rPr>
              <w:t>
   13) недостаточная терапевтическая эффективность в контролируемых клинических исследованиях;</w:t>
            </w:r>
          </w:p>
          <w:p>
            <w:pPr>
              <w:spacing w:after="20"/>
              <w:ind w:left="20"/>
              <w:jc w:val="both"/>
            </w:pPr>
            <w:r>
              <w:rPr>
                <w:rFonts w:ascii="Times New Roman"/>
                <w:b w:val="false"/>
                <w:i w:val="false"/>
                <w:color w:val="000000"/>
                <w:sz w:val="20"/>
              </w:rPr>
              <w:t>
   14) важная информация, полученная после завершения подготовки ПОБ;</w:t>
            </w:r>
          </w:p>
          <w:p>
            <w:pPr>
              <w:spacing w:after="20"/>
              <w:ind w:left="20"/>
              <w:jc w:val="both"/>
            </w:pPr>
            <w:r>
              <w:rPr>
                <w:rFonts w:ascii="Times New Roman"/>
                <w:b w:val="false"/>
                <w:i w:val="false"/>
                <w:color w:val="000000"/>
                <w:sz w:val="20"/>
              </w:rPr>
              <w:t xml:space="preserve">
   15) обзор сигналов: новые, рассматриваемые и завершенные; </w:t>
            </w:r>
          </w:p>
          <w:p>
            <w:pPr>
              <w:spacing w:after="20"/>
              <w:ind w:left="20"/>
              <w:jc w:val="both"/>
            </w:pPr>
            <w:r>
              <w:rPr>
                <w:rFonts w:ascii="Times New Roman"/>
                <w:b w:val="false"/>
                <w:i w:val="false"/>
                <w:color w:val="000000"/>
                <w:sz w:val="20"/>
              </w:rPr>
              <w:t>
   16) сигналы и оценка риска:</w:t>
            </w:r>
          </w:p>
          <w:p>
            <w:pPr>
              <w:spacing w:after="20"/>
              <w:ind w:left="20"/>
              <w:jc w:val="both"/>
            </w:pPr>
            <w:r>
              <w:rPr>
                <w:rFonts w:ascii="Times New Roman"/>
                <w:b w:val="false"/>
                <w:i w:val="false"/>
                <w:color w:val="000000"/>
                <w:sz w:val="20"/>
              </w:rPr>
              <w:t>
   16.1 обобщающая информация по проблемам безопасности;</w:t>
            </w:r>
          </w:p>
          <w:p>
            <w:pPr>
              <w:spacing w:after="20"/>
              <w:ind w:left="20"/>
              <w:jc w:val="both"/>
            </w:pPr>
            <w:r>
              <w:rPr>
                <w:rFonts w:ascii="Times New Roman"/>
                <w:b w:val="false"/>
                <w:i w:val="false"/>
                <w:color w:val="000000"/>
                <w:sz w:val="20"/>
              </w:rPr>
              <w:t>
   16.2 оценка сигнала;</w:t>
            </w:r>
          </w:p>
          <w:p>
            <w:pPr>
              <w:spacing w:after="20"/>
              <w:ind w:left="20"/>
              <w:jc w:val="both"/>
            </w:pPr>
            <w:r>
              <w:rPr>
                <w:rFonts w:ascii="Times New Roman"/>
                <w:b w:val="false"/>
                <w:i w:val="false"/>
                <w:color w:val="000000"/>
                <w:sz w:val="20"/>
              </w:rPr>
              <w:t>
   16.3 оценка рисков и новой информации;</w:t>
            </w:r>
          </w:p>
          <w:p>
            <w:pPr>
              <w:spacing w:after="20"/>
              <w:ind w:left="20"/>
              <w:jc w:val="both"/>
            </w:pPr>
            <w:r>
              <w:rPr>
                <w:rFonts w:ascii="Times New Roman"/>
                <w:b w:val="false"/>
                <w:i w:val="false"/>
                <w:color w:val="000000"/>
                <w:sz w:val="20"/>
              </w:rPr>
              <w:t>
   16.4 характеристика рисков;</w:t>
            </w:r>
          </w:p>
          <w:p>
            <w:pPr>
              <w:spacing w:after="20"/>
              <w:ind w:left="20"/>
              <w:jc w:val="both"/>
            </w:pPr>
            <w:r>
              <w:rPr>
                <w:rFonts w:ascii="Times New Roman"/>
                <w:b w:val="false"/>
                <w:i w:val="false"/>
                <w:color w:val="000000"/>
                <w:sz w:val="20"/>
              </w:rPr>
              <w:t>
   16.5 эффективность мер минимизации риска (если применимо).</w:t>
            </w:r>
          </w:p>
          <w:p>
            <w:pPr>
              <w:spacing w:after="20"/>
              <w:ind w:left="20"/>
              <w:jc w:val="both"/>
            </w:pPr>
            <w:r>
              <w:rPr>
                <w:rFonts w:ascii="Times New Roman"/>
                <w:b w:val="false"/>
                <w:i w:val="false"/>
                <w:color w:val="000000"/>
                <w:sz w:val="20"/>
              </w:rPr>
              <w:t>
   17) оценка пользы:</w:t>
            </w:r>
          </w:p>
          <w:p>
            <w:pPr>
              <w:spacing w:after="20"/>
              <w:ind w:left="20"/>
              <w:jc w:val="both"/>
            </w:pPr>
            <w:r>
              <w:rPr>
                <w:rFonts w:ascii="Times New Roman"/>
                <w:b w:val="false"/>
                <w:i w:val="false"/>
                <w:color w:val="000000"/>
                <w:sz w:val="20"/>
              </w:rPr>
              <w:t>
   17.1 важная базисная информация по эффективности в ходе клинических испытаний и применения в медицинской практике;</w:t>
            </w:r>
          </w:p>
          <w:p>
            <w:pPr>
              <w:spacing w:after="20"/>
              <w:ind w:left="20"/>
              <w:jc w:val="both"/>
            </w:pPr>
            <w:r>
              <w:rPr>
                <w:rFonts w:ascii="Times New Roman"/>
                <w:b w:val="false"/>
                <w:i w:val="false"/>
                <w:color w:val="000000"/>
                <w:sz w:val="20"/>
              </w:rPr>
              <w:t>
   17.2 новая выявленная информация по эффективности в ходе клинических испытаний и применения в медицинской практике;</w:t>
            </w:r>
          </w:p>
          <w:p>
            <w:pPr>
              <w:spacing w:after="20"/>
              <w:ind w:left="20"/>
              <w:jc w:val="both"/>
            </w:pPr>
            <w:r>
              <w:rPr>
                <w:rFonts w:ascii="Times New Roman"/>
                <w:b w:val="false"/>
                <w:i w:val="false"/>
                <w:color w:val="000000"/>
                <w:sz w:val="20"/>
              </w:rPr>
              <w:t>
   17.3 характеристика пользы.</w:t>
            </w:r>
          </w:p>
          <w:p>
            <w:pPr>
              <w:spacing w:after="20"/>
              <w:ind w:left="20"/>
              <w:jc w:val="both"/>
            </w:pPr>
            <w:r>
              <w:rPr>
                <w:rFonts w:ascii="Times New Roman"/>
                <w:b w:val="false"/>
                <w:i w:val="false"/>
                <w:color w:val="000000"/>
                <w:sz w:val="20"/>
              </w:rPr>
              <w:t>
   18) интегрированный анализ соотношения польза-риск по одобренным показаниям:</w:t>
            </w:r>
          </w:p>
          <w:p>
            <w:pPr>
              <w:spacing w:after="20"/>
              <w:ind w:left="20"/>
              <w:jc w:val="both"/>
            </w:pPr>
            <w:r>
              <w:rPr>
                <w:rFonts w:ascii="Times New Roman"/>
                <w:b w:val="false"/>
                <w:i w:val="false"/>
                <w:color w:val="000000"/>
                <w:sz w:val="20"/>
              </w:rPr>
              <w:t>
   18.1 контекст соотношения польза-риск – медицинская потребность и важные альтернативы;</w:t>
            </w:r>
          </w:p>
          <w:p>
            <w:pPr>
              <w:spacing w:after="20"/>
              <w:ind w:left="20"/>
              <w:jc w:val="both"/>
            </w:pPr>
            <w:r>
              <w:rPr>
                <w:rFonts w:ascii="Times New Roman"/>
                <w:b w:val="false"/>
                <w:i w:val="false"/>
                <w:color w:val="000000"/>
                <w:sz w:val="20"/>
              </w:rPr>
              <w:t>
   18.2 оценка процедуры анализа соотношения польза-риск.</w:t>
            </w:r>
          </w:p>
          <w:p>
            <w:pPr>
              <w:spacing w:after="20"/>
              <w:ind w:left="20"/>
              <w:jc w:val="both"/>
            </w:pPr>
            <w:r>
              <w:rPr>
                <w:rFonts w:ascii="Times New Roman"/>
                <w:b w:val="false"/>
                <w:i w:val="false"/>
                <w:color w:val="000000"/>
                <w:sz w:val="20"/>
              </w:rPr>
              <w:t>
   19) заключение и действия;</w:t>
            </w:r>
          </w:p>
          <w:p>
            <w:pPr>
              <w:spacing w:after="20"/>
              <w:ind w:left="20"/>
              <w:jc w:val="both"/>
            </w:pPr>
            <w:r>
              <w:rPr>
                <w:rFonts w:ascii="Times New Roman"/>
                <w:b w:val="false"/>
                <w:i w:val="false"/>
                <w:color w:val="000000"/>
                <w:sz w:val="20"/>
              </w:rPr>
              <w:t>
   20) приложения к ПОБ.</w:t>
            </w:r>
          </w:p>
          <w:p>
            <w:pPr>
              <w:spacing w:after="20"/>
              <w:ind w:left="20"/>
              <w:jc w:val="both"/>
            </w:pPr>
            <w:r>
              <w:rPr>
                <w:rFonts w:ascii="Times New Roman"/>
                <w:b w:val="false"/>
                <w:i w:val="false"/>
                <w:color w:val="000000"/>
                <w:sz w:val="20"/>
              </w:rPr>
              <w:t>
   8.4.3. Титульный лист</w:t>
            </w:r>
          </w:p>
          <w:p>
            <w:pPr>
              <w:spacing w:after="20"/>
              <w:ind w:left="20"/>
              <w:jc w:val="both"/>
            </w:pPr>
            <w:r>
              <w:rPr>
                <w:rFonts w:ascii="Times New Roman"/>
                <w:b w:val="false"/>
                <w:i w:val="false"/>
                <w:color w:val="000000"/>
                <w:sz w:val="20"/>
              </w:rPr>
              <w:t>
   На титульном листе указываются номера отчета (отчеты имеют последовательную нумерацию), наименование лекарственного препарата, международную дату регистрации, отчетный период (либо указание на внеочередной порядок подачи по запросу уполномоченной организации), дату составления отчета, данные держателя регистрационного удостоверения и указание о конфиденциальности информации, включенной в ПОБ. Титульный лист заверяется подписью.</w:t>
            </w:r>
          </w:p>
          <w:p>
            <w:pPr>
              <w:spacing w:after="20"/>
              <w:ind w:left="20"/>
              <w:jc w:val="both"/>
            </w:pPr>
            <w:r>
              <w:rPr>
                <w:rFonts w:ascii="Times New Roman"/>
                <w:b w:val="false"/>
                <w:i w:val="false"/>
                <w:color w:val="000000"/>
                <w:sz w:val="20"/>
              </w:rPr>
              <w:t>
   8.4.4. Краткое изложение основного содержания</w:t>
            </w:r>
          </w:p>
          <w:p>
            <w:pPr>
              <w:spacing w:after="20"/>
              <w:ind w:left="20"/>
              <w:jc w:val="both"/>
            </w:pPr>
            <w:r>
              <w:rPr>
                <w:rFonts w:ascii="Times New Roman"/>
                <w:b w:val="false"/>
                <w:i w:val="false"/>
                <w:color w:val="000000"/>
                <w:sz w:val="20"/>
              </w:rPr>
              <w:t>
   Целью краткого изложения содержания является краткое представление в обобщенном виде содержания и наиболее важной информации, составляющей ПОБ. Данный раздел включает следующую информацию:</w:t>
            </w:r>
          </w:p>
          <w:p>
            <w:pPr>
              <w:spacing w:after="20"/>
              <w:ind w:left="20"/>
              <w:jc w:val="both"/>
            </w:pPr>
            <w:r>
              <w:rPr>
                <w:rFonts w:ascii="Times New Roman"/>
                <w:b w:val="false"/>
                <w:i w:val="false"/>
                <w:color w:val="000000"/>
                <w:sz w:val="20"/>
              </w:rPr>
              <w:t>
   1) введение, указание номера отчета и отчетного периода;</w:t>
            </w:r>
          </w:p>
          <w:p>
            <w:pPr>
              <w:spacing w:after="20"/>
              <w:ind w:left="20"/>
              <w:jc w:val="both"/>
            </w:pPr>
            <w:r>
              <w:rPr>
                <w:rFonts w:ascii="Times New Roman"/>
                <w:b w:val="false"/>
                <w:i w:val="false"/>
                <w:color w:val="000000"/>
                <w:sz w:val="20"/>
              </w:rPr>
              <w:t>
   2) наименование лекарственного препарата, фармакотерапевтический класс, механизм действия, показания к применению, форма выпуска, доза, способ введения;</w:t>
            </w:r>
          </w:p>
          <w:p>
            <w:pPr>
              <w:spacing w:after="20"/>
              <w:ind w:left="20"/>
              <w:jc w:val="both"/>
            </w:pPr>
            <w:r>
              <w:rPr>
                <w:rFonts w:ascii="Times New Roman"/>
                <w:b w:val="false"/>
                <w:i w:val="false"/>
                <w:color w:val="000000"/>
                <w:sz w:val="20"/>
              </w:rPr>
              <w:t>
   3) оценка кумулятивного воздействия в ходе клинических исследований;</w:t>
            </w:r>
          </w:p>
          <w:p>
            <w:pPr>
              <w:spacing w:after="20"/>
              <w:ind w:left="20"/>
              <w:jc w:val="both"/>
            </w:pPr>
            <w:r>
              <w:rPr>
                <w:rFonts w:ascii="Times New Roman"/>
                <w:b w:val="false"/>
                <w:i w:val="false"/>
                <w:color w:val="000000"/>
                <w:sz w:val="20"/>
              </w:rPr>
              <w:t>
   4) оценка интервала пострегистрационного применения и кумулятивного воздействия за этот период;</w:t>
            </w:r>
          </w:p>
          <w:p>
            <w:pPr>
              <w:spacing w:after="20"/>
              <w:ind w:left="20"/>
              <w:jc w:val="both"/>
            </w:pPr>
            <w:r>
              <w:rPr>
                <w:rFonts w:ascii="Times New Roman"/>
                <w:b w:val="false"/>
                <w:i w:val="false"/>
                <w:color w:val="000000"/>
                <w:sz w:val="20"/>
              </w:rPr>
              <w:t>
   5) число стран, на территории которых разрешено применение лекарственного препарата;</w:t>
            </w:r>
          </w:p>
          <w:p>
            <w:pPr>
              <w:spacing w:after="20"/>
              <w:ind w:left="20"/>
              <w:jc w:val="both"/>
            </w:pPr>
            <w:r>
              <w:rPr>
                <w:rFonts w:ascii="Times New Roman"/>
                <w:b w:val="false"/>
                <w:i w:val="false"/>
                <w:color w:val="000000"/>
                <w:sz w:val="20"/>
              </w:rPr>
              <w:t>
   6) обобщенная информация по оценке соотношения польза-риск;</w:t>
            </w:r>
          </w:p>
          <w:p>
            <w:pPr>
              <w:spacing w:after="20"/>
              <w:ind w:left="20"/>
              <w:jc w:val="both"/>
            </w:pPr>
            <w:r>
              <w:rPr>
                <w:rFonts w:ascii="Times New Roman"/>
                <w:b w:val="false"/>
                <w:i w:val="false"/>
                <w:color w:val="000000"/>
                <w:sz w:val="20"/>
              </w:rPr>
              <w:t>
   7) принятые и предлагаемые действия, связанные с аспектами профиля безопасности, включая существенные изменения в брошюру исследователя на этапе клинических исследований и в инструкцию по медицинскому применению на пострегистрационном этапе, либо иные меры минимизации риска;</w:t>
            </w:r>
          </w:p>
          <w:p>
            <w:pPr>
              <w:spacing w:after="20"/>
              <w:ind w:left="20"/>
              <w:jc w:val="both"/>
            </w:pPr>
            <w:r>
              <w:rPr>
                <w:rFonts w:ascii="Times New Roman"/>
                <w:b w:val="false"/>
                <w:i w:val="false"/>
                <w:color w:val="000000"/>
                <w:sz w:val="20"/>
              </w:rPr>
              <w:t>
   8) заключения.</w:t>
            </w:r>
          </w:p>
          <w:p>
            <w:pPr>
              <w:spacing w:after="20"/>
              <w:ind w:left="20"/>
              <w:jc w:val="both"/>
            </w:pPr>
            <w:r>
              <w:rPr>
                <w:rFonts w:ascii="Times New Roman"/>
                <w:b w:val="false"/>
                <w:i w:val="false"/>
                <w:color w:val="000000"/>
                <w:sz w:val="20"/>
              </w:rPr>
              <w:t>
   8.4.5. Раздел краткого изложения содержания отчета сопровождается таблицей содержания ПОБ.</w:t>
            </w:r>
          </w:p>
          <w:p>
            <w:pPr>
              <w:spacing w:after="20"/>
              <w:ind w:left="20"/>
              <w:jc w:val="both"/>
            </w:pPr>
            <w:r>
              <w:rPr>
                <w:rFonts w:ascii="Times New Roman"/>
                <w:b w:val="false"/>
                <w:i w:val="false"/>
                <w:color w:val="000000"/>
                <w:sz w:val="20"/>
              </w:rPr>
              <w:t>
   </w:t>
            </w:r>
            <w:r>
              <w:rPr>
                <w:rFonts w:ascii="Times New Roman"/>
                <w:b/>
                <w:i w:val="false"/>
                <w:color w:val="000000"/>
                <w:sz w:val="20"/>
              </w:rPr>
              <w:t>8.5. Требования к содержанию каждой части ПОБ</w:t>
            </w:r>
          </w:p>
          <w:p>
            <w:pPr>
              <w:spacing w:after="20"/>
              <w:ind w:left="20"/>
              <w:jc w:val="both"/>
            </w:pPr>
            <w:r>
              <w:rPr>
                <w:rFonts w:ascii="Times New Roman"/>
                <w:b w:val="false"/>
                <w:i w:val="false"/>
                <w:color w:val="000000"/>
                <w:sz w:val="20"/>
              </w:rPr>
              <w:t>
   8.5.1. Раздел ПОБ "Введение"</w:t>
            </w:r>
          </w:p>
          <w:p>
            <w:pPr>
              <w:spacing w:after="20"/>
              <w:ind w:left="20"/>
              <w:jc w:val="both"/>
            </w:pPr>
            <w:r>
              <w:rPr>
                <w:rFonts w:ascii="Times New Roman"/>
                <w:b w:val="false"/>
                <w:i w:val="false"/>
                <w:color w:val="000000"/>
                <w:sz w:val="20"/>
              </w:rPr>
              <w:t>
   Введение содержит следующую информацию:</w:t>
            </w:r>
          </w:p>
          <w:p>
            <w:pPr>
              <w:spacing w:after="20"/>
              <w:ind w:left="20"/>
              <w:jc w:val="both"/>
            </w:pPr>
            <w:r>
              <w:rPr>
                <w:rFonts w:ascii="Times New Roman"/>
                <w:b w:val="false"/>
                <w:i w:val="false"/>
                <w:color w:val="000000"/>
                <w:sz w:val="20"/>
              </w:rPr>
              <w:t>
   1) международная дата регистрации, отчетный период и порядковый номер отчета;</w:t>
            </w:r>
          </w:p>
          <w:p>
            <w:pPr>
              <w:spacing w:after="20"/>
              <w:ind w:left="20"/>
              <w:jc w:val="both"/>
            </w:pPr>
            <w:r>
              <w:rPr>
                <w:rFonts w:ascii="Times New Roman"/>
                <w:b w:val="false"/>
                <w:i w:val="false"/>
                <w:color w:val="000000"/>
                <w:sz w:val="20"/>
              </w:rPr>
              <w:t>
   2) наименование лекарственного препарата, фармакотерапевтический класс, механизм действия, показания к применению, форма выпуска, доза, способ введения;</w:t>
            </w:r>
          </w:p>
          <w:p>
            <w:pPr>
              <w:spacing w:after="20"/>
              <w:ind w:left="20"/>
              <w:jc w:val="both"/>
            </w:pPr>
            <w:r>
              <w:rPr>
                <w:rFonts w:ascii="Times New Roman"/>
                <w:b w:val="false"/>
                <w:i w:val="false"/>
                <w:color w:val="000000"/>
                <w:sz w:val="20"/>
              </w:rPr>
              <w:t>
   3) краткое описание популяций, которые получают лечение с назначением лекарственного препарата или были включены в клинические исследования;</w:t>
            </w:r>
          </w:p>
          <w:p>
            <w:pPr>
              <w:spacing w:after="20"/>
              <w:ind w:left="20"/>
              <w:jc w:val="both"/>
            </w:pPr>
            <w:r>
              <w:rPr>
                <w:rFonts w:ascii="Times New Roman"/>
                <w:b w:val="false"/>
                <w:i w:val="false"/>
                <w:color w:val="000000"/>
                <w:sz w:val="20"/>
              </w:rPr>
              <w:t>
   4) краткое описание и разъяснение любой имеющей отношение к требуемой информации в ПОБ, которая не была включена в подаваемый ПОБ.</w:t>
            </w:r>
          </w:p>
          <w:p>
            <w:pPr>
              <w:spacing w:after="20"/>
              <w:ind w:left="20"/>
              <w:jc w:val="both"/>
            </w:pPr>
            <w:r>
              <w:rPr>
                <w:rFonts w:ascii="Times New Roman"/>
                <w:b w:val="false"/>
                <w:i w:val="false"/>
                <w:color w:val="000000"/>
                <w:sz w:val="20"/>
              </w:rPr>
              <w:t>
   8.5.2 Раздел ПОБ "Регистрационный статус в мире":</w:t>
            </w:r>
          </w:p>
          <w:p>
            <w:pPr>
              <w:spacing w:after="20"/>
              <w:ind w:left="20"/>
              <w:jc w:val="both"/>
            </w:pPr>
            <w:r>
              <w:rPr>
                <w:rFonts w:ascii="Times New Roman"/>
                <w:b w:val="false"/>
                <w:i w:val="false"/>
                <w:color w:val="000000"/>
                <w:sz w:val="20"/>
              </w:rPr>
              <w:t>
   В данном разделе ПОБ представляется краткая обзорная информация, включающая даты первичных регистраций в странах мира, одобренные показания к применению, зарегистрированные формы выпуска и дозировки с указанием действующих на дату подготовки ПОБ регистраций.</w:t>
            </w:r>
          </w:p>
          <w:p>
            <w:pPr>
              <w:spacing w:after="20"/>
              <w:ind w:left="20"/>
              <w:jc w:val="both"/>
            </w:pPr>
            <w:r>
              <w:rPr>
                <w:rFonts w:ascii="Times New Roman"/>
                <w:b w:val="false"/>
                <w:i w:val="false"/>
                <w:color w:val="000000"/>
                <w:sz w:val="20"/>
              </w:rPr>
              <w:t>
   8.5.3. Раздел ПОБ "Меры, принятые за отчетный период, в связи с данными по безопасности"</w:t>
            </w:r>
          </w:p>
          <w:p>
            <w:pPr>
              <w:spacing w:after="20"/>
              <w:ind w:left="20"/>
              <w:jc w:val="both"/>
            </w:pPr>
            <w:r>
              <w:rPr>
                <w:rFonts w:ascii="Times New Roman"/>
                <w:b w:val="false"/>
                <w:i w:val="false"/>
                <w:color w:val="000000"/>
                <w:sz w:val="20"/>
              </w:rPr>
              <w:t>
   В разделе представляется описание существенных мер, принятых за отчетный период, как в отношении продолжающихся клинических исследований или испытаний, так и пострегистрационного применения, со стороны уполномоченного органа, держателя регистрационного удостоверения, спонсора или заявителя клинических исследований, комитета по мониторингу или оценке данных, комитета по этике на основании данных по безопасности, которые:</w:t>
            </w:r>
          </w:p>
          <w:p>
            <w:pPr>
              <w:spacing w:after="20"/>
              <w:ind w:left="20"/>
              <w:jc w:val="both"/>
            </w:pPr>
            <w:r>
              <w:rPr>
                <w:rFonts w:ascii="Times New Roman"/>
                <w:b w:val="false"/>
                <w:i w:val="false"/>
                <w:color w:val="000000"/>
                <w:sz w:val="20"/>
              </w:rPr>
              <w:t>
   1) оказали существенное влияние на соотношение польза-риск зарегистрированного лекарственного препарата; и (или)</w:t>
            </w:r>
          </w:p>
          <w:p>
            <w:pPr>
              <w:spacing w:after="20"/>
              <w:ind w:left="20"/>
              <w:jc w:val="both"/>
            </w:pPr>
            <w:r>
              <w:rPr>
                <w:rFonts w:ascii="Times New Roman"/>
                <w:b w:val="false"/>
                <w:i w:val="false"/>
                <w:color w:val="000000"/>
                <w:sz w:val="20"/>
              </w:rPr>
              <w:t xml:space="preserve">
   2) оказали влияние на проведение конкретного клинического исследования или в целом на программу клинической разработки лекарственного препарата. </w:t>
            </w:r>
          </w:p>
          <w:p>
            <w:pPr>
              <w:spacing w:after="20"/>
              <w:ind w:left="20"/>
              <w:jc w:val="both"/>
            </w:pPr>
            <w:r>
              <w:rPr>
                <w:rFonts w:ascii="Times New Roman"/>
                <w:b w:val="false"/>
                <w:i w:val="false"/>
                <w:color w:val="000000"/>
                <w:sz w:val="20"/>
              </w:rPr>
              <w:t>
   В разделе указываются основания для принятия данных мер и при необходимости дополнительная информация, если таковые доступны.</w:t>
            </w:r>
          </w:p>
          <w:p>
            <w:pPr>
              <w:spacing w:after="20"/>
              <w:ind w:left="20"/>
              <w:jc w:val="both"/>
            </w:pPr>
            <w:r>
              <w:rPr>
                <w:rFonts w:ascii="Times New Roman"/>
                <w:b w:val="false"/>
                <w:i w:val="false"/>
                <w:color w:val="000000"/>
                <w:sz w:val="20"/>
              </w:rPr>
              <w:t>
   1. меры, принятые в отношении исследуемого лекарственного препарата включают:</w:t>
            </w:r>
          </w:p>
          <w:p>
            <w:pPr>
              <w:spacing w:after="20"/>
              <w:ind w:left="20"/>
              <w:jc w:val="both"/>
            </w:pPr>
            <w:r>
              <w:rPr>
                <w:rFonts w:ascii="Times New Roman"/>
                <w:b w:val="false"/>
                <w:i w:val="false"/>
                <w:color w:val="000000"/>
                <w:sz w:val="20"/>
              </w:rPr>
              <w:t>
   1) отказ в выдаче разрешения на проведение клинического исследования (испытания) по аспектам безопасности или этическим вопросам;</w:t>
            </w:r>
          </w:p>
          <w:p>
            <w:pPr>
              <w:spacing w:after="20"/>
              <w:ind w:left="20"/>
              <w:jc w:val="both"/>
            </w:pPr>
            <w:r>
              <w:rPr>
                <w:rFonts w:ascii="Times New Roman"/>
                <w:b w:val="false"/>
                <w:i w:val="false"/>
                <w:color w:val="000000"/>
                <w:sz w:val="20"/>
              </w:rPr>
              <w:t>
   2) частичная или полная приостановка клинического исследования (испытания) либо полная остановка клинического исследования (испытания) ранее планируемого срока по причине выявленных данных безопасности или недостаточной терапевтической эффективности;</w:t>
            </w:r>
          </w:p>
          <w:p>
            <w:pPr>
              <w:spacing w:after="20"/>
              <w:ind w:left="20"/>
              <w:jc w:val="both"/>
            </w:pPr>
            <w:r>
              <w:rPr>
                <w:rFonts w:ascii="Times New Roman"/>
                <w:b w:val="false"/>
                <w:i w:val="false"/>
                <w:color w:val="000000"/>
                <w:sz w:val="20"/>
              </w:rPr>
              <w:t>
   3) отзыв исследуемого лекарственного препарата или препарата сравнения;</w:t>
            </w:r>
          </w:p>
          <w:p>
            <w:pPr>
              <w:spacing w:after="20"/>
              <w:ind w:left="20"/>
              <w:jc w:val="both"/>
            </w:pPr>
            <w:r>
              <w:rPr>
                <w:rFonts w:ascii="Times New Roman"/>
                <w:b w:val="false"/>
                <w:i w:val="false"/>
                <w:color w:val="000000"/>
                <w:sz w:val="20"/>
              </w:rPr>
              <w:t>
   4) отказ в получении разрешения на применение по показанию, исследуемому в ходе клинического исследования, включая добровольный отзыв подачи заявления на регистрацию;</w:t>
            </w:r>
          </w:p>
          <w:p>
            <w:pPr>
              <w:spacing w:after="20"/>
              <w:ind w:left="20"/>
              <w:jc w:val="both"/>
            </w:pPr>
            <w:r>
              <w:rPr>
                <w:rFonts w:ascii="Times New Roman"/>
                <w:b w:val="false"/>
                <w:i w:val="false"/>
                <w:color w:val="000000"/>
                <w:sz w:val="20"/>
              </w:rPr>
              <w:t>
   5) введение мер минимизации риска, включая:</w:t>
            </w:r>
          </w:p>
          <w:p>
            <w:pPr>
              <w:spacing w:after="20"/>
              <w:ind w:left="20"/>
              <w:jc w:val="both"/>
            </w:pPr>
            <w:r>
              <w:rPr>
                <w:rFonts w:ascii="Times New Roman"/>
                <w:b w:val="false"/>
                <w:i w:val="false"/>
                <w:color w:val="000000"/>
                <w:sz w:val="20"/>
              </w:rPr>
              <w:t>
   5.1 изменения в протокол исследования (испытания), обусловленные данными безопасности или эффективности (такие как, изменение режима дозирования, изменения критериев включения или невключения, введение дополнительных мер по мониторингу субъектов исследования, ограничение продолжительности исследования (испытания);</w:t>
            </w:r>
          </w:p>
          <w:p>
            <w:pPr>
              <w:spacing w:after="20"/>
              <w:ind w:left="20"/>
              <w:jc w:val="both"/>
            </w:pPr>
            <w:r>
              <w:rPr>
                <w:rFonts w:ascii="Times New Roman"/>
                <w:b w:val="false"/>
                <w:i w:val="false"/>
                <w:color w:val="000000"/>
                <w:sz w:val="20"/>
              </w:rPr>
              <w:t>
   5.2 ограничения исследуемой популяции или показаний к применению:</w:t>
            </w:r>
          </w:p>
          <w:p>
            <w:pPr>
              <w:spacing w:after="20"/>
              <w:ind w:left="20"/>
              <w:jc w:val="both"/>
            </w:pPr>
            <w:r>
              <w:rPr>
                <w:rFonts w:ascii="Times New Roman"/>
                <w:b w:val="false"/>
                <w:i w:val="false"/>
                <w:color w:val="000000"/>
                <w:sz w:val="20"/>
              </w:rPr>
              <w:t>
   5.2.1 изменения информированного согласия, связанные с аспектами профиля безопасности;</w:t>
            </w:r>
          </w:p>
          <w:p>
            <w:pPr>
              <w:spacing w:after="20"/>
              <w:ind w:left="20"/>
              <w:jc w:val="both"/>
            </w:pPr>
            <w:r>
              <w:rPr>
                <w:rFonts w:ascii="Times New Roman"/>
                <w:b w:val="false"/>
                <w:i w:val="false"/>
                <w:color w:val="000000"/>
                <w:sz w:val="20"/>
              </w:rPr>
              <w:t>
   5.2.2 изменения состава;</w:t>
            </w:r>
          </w:p>
          <w:p>
            <w:pPr>
              <w:spacing w:after="20"/>
              <w:ind w:left="20"/>
              <w:jc w:val="both"/>
            </w:pPr>
            <w:r>
              <w:rPr>
                <w:rFonts w:ascii="Times New Roman"/>
                <w:b w:val="false"/>
                <w:i w:val="false"/>
                <w:color w:val="000000"/>
                <w:sz w:val="20"/>
              </w:rPr>
              <w:t>
   5.2.3 дополнительное требование уполномоченного органа по особому порядку представления информации по безопасности лекарственного препарата;</w:t>
            </w:r>
          </w:p>
          <w:p>
            <w:pPr>
              <w:spacing w:after="20"/>
              <w:ind w:left="20"/>
              <w:jc w:val="both"/>
            </w:pPr>
            <w:r>
              <w:rPr>
                <w:rFonts w:ascii="Times New Roman"/>
                <w:b w:val="false"/>
                <w:i w:val="false"/>
                <w:color w:val="000000"/>
                <w:sz w:val="20"/>
              </w:rPr>
              <w:t>
   5.2.4 специальное информирование врачей-исследователей или медицинских работников; и</w:t>
            </w:r>
          </w:p>
          <w:p>
            <w:pPr>
              <w:spacing w:after="20"/>
              <w:ind w:left="20"/>
              <w:jc w:val="both"/>
            </w:pPr>
            <w:r>
              <w:rPr>
                <w:rFonts w:ascii="Times New Roman"/>
                <w:b w:val="false"/>
                <w:i w:val="false"/>
                <w:color w:val="000000"/>
                <w:sz w:val="20"/>
              </w:rPr>
              <w:t>
   5.2.5 планирование проведения новых исследований по оценке аспектов профиля безопасности.</w:t>
            </w:r>
          </w:p>
          <w:p>
            <w:pPr>
              <w:spacing w:after="20"/>
              <w:ind w:left="20"/>
              <w:jc w:val="both"/>
            </w:pPr>
            <w:r>
              <w:rPr>
                <w:rFonts w:ascii="Times New Roman"/>
                <w:b w:val="false"/>
                <w:i w:val="false"/>
                <w:color w:val="000000"/>
                <w:sz w:val="20"/>
              </w:rPr>
              <w:t>
   2. Меры, принятые в отношении зарегистрированного лекарственного препарата включают:</w:t>
            </w:r>
          </w:p>
          <w:p>
            <w:pPr>
              <w:spacing w:after="20"/>
              <w:ind w:left="20"/>
              <w:jc w:val="both"/>
            </w:pPr>
            <w:r>
              <w:rPr>
                <w:rFonts w:ascii="Times New Roman"/>
                <w:b w:val="false"/>
                <w:i w:val="false"/>
                <w:color w:val="000000"/>
                <w:sz w:val="20"/>
              </w:rPr>
              <w:t>
   1. отказ в продлении действия регистрационного удостоверения;</w:t>
            </w:r>
          </w:p>
          <w:p>
            <w:pPr>
              <w:spacing w:after="20"/>
              <w:ind w:left="20"/>
              <w:jc w:val="both"/>
            </w:pPr>
            <w:r>
              <w:rPr>
                <w:rFonts w:ascii="Times New Roman"/>
                <w:b w:val="false"/>
                <w:i w:val="false"/>
                <w:color w:val="000000"/>
                <w:sz w:val="20"/>
              </w:rPr>
              <w:t>
   2. приостановка или отзыв регистрационного удостоверения;</w:t>
            </w:r>
          </w:p>
          <w:p>
            <w:pPr>
              <w:spacing w:after="20"/>
              <w:ind w:left="20"/>
              <w:jc w:val="both"/>
            </w:pPr>
            <w:r>
              <w:rPr>
                <w:rFonts w:ascii="Times New Roman"/>
                <w:b w:val="false"/>
                <w:i w:val="false"/>
                <w:color w:val="000000"/>
                <w:sz w:val="20"/>
              </w:rPr>
              <w:t>
   3. введение плана минимизации риска, включая:</w:t>
            </w:r>
          </w:p>
          <w:p>
            <w:pPr>
              <w:spacing w:after="20"/>
              <w:ind w:left="20"/>
              <w:jc w:val="both"/>
            </w:pPr>
            <w:r>
              <w:rPr>
                <w:rFonts w:ascii="Times New Roman"/>
                <w:b w:val="false"/>
                <w:i w:val="false"/>
                <w:color w:val="000000"/>
                <w:sz w:val="20"/>
              </w:rPr>
              <w:t>
   3.1 существенные ограничения в распространении или введение иных мер минимизации риска;</w:t>
            </w:r>
          </w:p>
          <w:p>
            <w:pPr>
              <w:spacing w:after="20"/>
              <w:ind w:left="20"/>
              <w:jc w:val="both"/>
            </w:pPr>
            <w:r>
              <w:rPr>
                <w:rFonts w:ascii="Times New Roman"/>
                <w:b w:val="false"/>
                <w:i w:val="false"/>
                <w:color w:val="000000"/>
                <w:sz w:val="20"/>
              </w:rPr>
              <w:t>
   3.2 существенные изменения инструкции по медицинскому применению, которые влияют на программу разработки, включая ограничения показаний к назначению или групп пациентов, которым назначается лекарственный препарат;</w:t>
            </w:r>
          </w:p>
          <w:p>
            <w:pPr>
              <w:spacing w:after="20"/>
              <w:ind w:left="20"/>
              <w:jc w:val="both"/>
            </w:pPr>
            <w:r>
              <w:rPr>
                <w:rFonts w:ascii="Times New Roman"/>
                <w:b w:val="false"/>
                <w:i w:val="false"/>
                <w:color w:val="000000"/>
                <w:sz w:val="20"/>
              </w:rPr>
              <w:t>
   3.3 специальное информирование медицинских работников; и</w:t>
            </w:r>
          </w:p>
          <w:p>
            <w:pPr>
              <w:spacing w:after="20"/>
              <w:ind w:left="20"/>
              <w:jc w:val="both"/>
            </w:pPr>
            <w:r>
              <w:rPr>
                <w:rFonts w:ascii="Times New Roman"/>
                <w:b w:val="false"/>
                <w:i w:val="false"/>
                <w:color w:val="000000"/>
                <w:sz w:val="20"/>
              </w:rPr>
              <w:t>
   3.4 требование по проведению пострегистрационного исследования со стороны уполномоченного органа.</w:t>
            </w:r>
          </w:p>
          <w:p>
            <w:pPr>
              <w:spacing w:after="20"/>
              <w:ind w:left="20"/>
              <w:jc w:val="both"/>
            </w:pPr>
            <w:r>
              <w:rPr>
                <w:rFonts w:ascii="Times New Roman"/>
                <w:b w:val="false"/>
                <w:i w:val="false"/>
                <w:color w:val="000000"/>
                <w:sz w:val="20"/>
              </w:rPr>
              <w:t>
   8.5.4 Раздел ПОБ "Изменения, внесенные в справочную информацию по безопасности лекарственного препарата"</w:t>
            </w:r>
          </w:p>
          <w:p>
            <w:pPr>
              <w:spacing w:after="20"/>
              <w:ind w:left="20"/>
              <w:jc w:val="both"/>
            </w:pPr>
            <w:r>
              <w:rPr>
                <w:rFonts w:ascii="Times New Roman"/>
                <w:b w:val="false"/>
                <w:i w:val="false"/>
                <w:color w:val="000000"/>
                <w:sz w:val="20"/>
              </w:rPr>
              <w:t>
   В разделе перечисляется информация обо всех существенных изменениях, внесенных в справочную информацию по безопасности лекарственного препарата за отчетный период. Данные существенные изменения включают в разделы противопоказаний, предостережений, особых указаний, дополнение информацией о серьезных нежелательных реакциях, нежелательных реакциях, представляющих особый интерес, реакциях взаимодействия; важные данные продолжающихся и завершенных клинических исследований или испытаний; важные данные доклинических исследований (в частности, изучение канцерогенности). Информация по данным изменениям представляется в соответствующих разделах ПОБ. В приложении к ПОБ прилагается версия справочной информации о безопасности лекарственного препарата с соответствующими изменениями.</w:t>
            </w:r>
          </w:p>
          <w:p>
            <w:pPr>
              <w:spacing w:after="20"/>
              <w:ind w:left="20"/>
              <w:jc w:val="both"/>
            </w:pPr>
            <w:r>
              <w:rPr>
                <w:rFonts w:ascii="Times New Roman"/>
                <w:b w:val="false"/>
                <w:i w:val="false"/>
                <w:color w:val="000000"/>
                <w:sz w:val="20"/>
              </w:rPr>
              <w:t>
   Держатель регистрационного удостоверения также представляет о внесенных и находящихся на этапе внесения изменений в инструкцию по медицинскому применению информации на основании обновленной версии основной информации по безопасности держателя регистрационного удостоверения в приложении.</w:t>
            </w:r>
          </w:p>
          <w:p>
            <w:pPr>
              <w:spacing w:after="20"/>
              <w:ind w:left="20"/>
              <w:jc w:val="both"/>
            </w:pPr>
            <w:r>
              <w:rPr>
                <w:rFonts w:ascii="Times New Roman"/>
                <w:b w:val="false"/>
                <w:i w:val="false"/>
                <w:color w:val="000000"/>
                <w:sz w:val="20"/>
              </w:rPr>
              <w:t>
   8.5.5. Раздел ПОБ "Оценка количества пациентов, подвергшихся воздействию"</w:t>
            </w:r>
          </w:p>
          <w:p>
            <w:pPr>
              <w:spacing w:after="20"/>
              <w:ind w:left="20"/>
              <w:jc w:val="both"/>
            </w:pPr>
            <w:r>
              <w:rPr>
                <w:rFonts w:ascii="Times New Roman"/>
                <w:b w:val="false"/>
                <w:i w:val="false"/>
                <w:color w:val="000000"/>
                <w:sz w:val="20"/>
              </w:rPr>
              <w:t>
   ПОБ содержит точную оценку количества пациентов, подвергшихся воздействию лекарственного препарата, включая все данные в отношении объема продаж и количества назначений. Данная оценка сопровождается качественным и количественным анализом применения в реальной медицинской практике с указанием того, каким образом она отличаться от одобренного применения, основываясь на всех данных доступных держателю регистрационного удостоверения и результатах наблюдательных исследований по оценке использования лекарственного препарата.</w:t>
            </w:r>
          </w:p>
          <w:p>
            <w:pPr>
              <w:spacing w:after="20"/>
              <w:ind w:left="20"/>
              <w:jc w:val="both"/>
            </w:pPr>
            <w:r>
              <w:rPr>
                <w:rFonts w:ascii="Times New Roman"/>
                <w:b w:val="false"/>
                <w:i w:val="false"/>
                <w:color w:val="000000"/>
                <w:sz w:val="20"/>
              </w:rPr>
              <w:t>
   В данном разделе представляется оценка объема и характеристики популяции, подвергшейся воздействию лекарственного препарата, включая краткое описание оценки метода и указания недостатков используемого метода.</w:t>
            </w:r>
          </w:p>
          <w:p>
            <w:pPr>
              <w:spacing w:after="20"/>
              <w:ind w:left="20"/>
              <w:jc w:val="both"/>
            </w:pPr>
            <w:r>
              <w:rPr>
                <w:rFonts w:ascii="Times New Roman"/>
                <w:b w:val="false"/>
                <w:i w:val="false"/>
                <w:color w:val="000000"/>
                <w:sz w:val="20"/>
              </w:rPr>
              <w:t>
   Согласующиеся методы по оценке воздействия на субъекта или пациента используются во всех разделах ПОБ для одного лекарственного препарата. Если уместным является замена используемого метода оценки, оба метода и расчеты представляются в ПОБ с обоснованием замены.</w:t>
            </w:r>
          </w:p>
          <w:p>
            <w:pPr>
              <w:spacing w:after="20"/>
              <w:ind w:left="20"/>
              <w:jc w:val="both"/>
            </w:pPr>
            <w:r>
              <w:rPr>
                <w:rFonts w:ascii="Times New Roman"/>
                <w:b w:val="false"/>
                <w:i w:val="false"/>
                <w:color w:val="000000"/>
                <w:sz w:val="20"/>
              </w:rPr>
              <w:t>
   8.5.5.1. Подраздел ПОБ "Общее количество пациентов, подвергшихся воздействию в клинических исследованиях"</w:t>
            </w:r>
          </w:p>
          <w:p>
            <w:pPr>
              <w:spacing w:after="20"/>
              <w:ind w:left="20"/>
              <w:jc w:val="both"/>
            </w:pPr>
            <w:r>
              <w:rPr>
                <w:rFonts w:ascii="Times New Roman"/>
                <w:b w:val="false"/>
                <w:i w:val="false"/>
                <w:color w:val="000000"/>
                <w:sz w:val="20"/>
              </w:rPr>
              <w:t>
   Данный раздел ПОБ содержит следующую информацию по пациентам, включенным в клинические исследования (испытания) (рекомендуется табличный формат):</w:t>
            </w:r>
          </w:p>
          <w:p>
            <w:pPr>
              <w:spacing w:after="20"/>
              <w:ind w:left="20"/>
              <w:jc w:val="both"/>
            </w:pPr>
            <w:r>
              <w:rPr>
                <w:rFonts w:ascii="Times New Roman"/>
                <w:b w:val="false"/>
                <w:i w:val="false"/>
                <w:color w:val="000000"/>
                <w:sz w:val="20"/>
              </w:rPr>
              <w:t>
   1) кумулятивное число субъектов исследования, включенных в продолжающиеся и завершенные клинические исследования (испытания) и подвергшихся воздействию исследуемого лекарственного препарата, плацебо, и (или) активного препарата сравнения от международной даты одобрения разрабатываемого лекарственного препарата. Для лекарственных препаратов, находящихся в обращении длительное время, детальная информация может оказаться не доступной;</w:t>
            </w:r>
          </w:p>
          <w:p>
            <w:pPr>
              <w:spacing w:after="20"/>
              <w:ind w:left="20"/>
              <w:jc w:val="both"/>
            </w:pPr>
            <w:r>
              <w:rPr>
                <w:rFonts w:ascii="Times New Roman"/>
                <w:b w:val="false"/>
                <w:i w:val="false"/>
                <w:color w:val="000000"/>
                <w:sz w:val="20"/>
              </w:rPr>
              <w:t>
   2) более детальная кумулятивная информация по субъектам исследования, подвергшимся воздействию, при наличии (в частности, сгруппированные по возрасту, полу, расовой принадлежности по всей программе разработки);</w:t>
            </w:r>
          </w:p>
          <w:p>
            <w:pPr>
              <w:spacing w:after="20"/>
              <w:ind w:left="20"/>
              <w:jc w:val="both"/>
            </w:pPr>
            <w:r>
              <w:rPr>
                <w:rFonts w:ascii="Times New Roman"/>
                <w:b w:val="false"/>
                <w:i w:val="false"/>
                <w:color w:val="000000"/>
                <w:sz w:val="20"/>
              </w:rPr>
              <w:t>
   3) важные различия между исследованиями или испытаниями в отношении назначаемых доз, путей введения, подгрупп пациентов;</w:t>
            </w:r>
          </w:p>
          <w:p>
            <w:pPr>
              <w:spacing w:after="20"/>
              <w:ind w:left="20"/>
              <w:jc w:val="both"/>
            </w:pPr>
            <w:r>
              <w:rPr>
                <w:rFonts w:ascii="Times New Roman"/>
                <w:b w:val="false"/>
                <w:i w:val="false"/>
                <w:color w:val="000000"/>
                <w:sz w:val="20"/>
              </w:rPr>
              <w:t>
   4) в случае, если клинические исследования (испытания) проводились на особых группах пациентов (в частности, беременные женщины, пациенты с нарушениями функции почек, печени, сердечно-сосудистой системы; пациенты с клинически значимым генетическим полиморфизмом), представляются данные по воздействию;</w:t>
            </w:r>
          </w:p>
          <w:p>
            <w:pPr>
              <w:spacing w:after="20"/>
              <w:ind w:left="20"/>
              <w:jc w:val="both"/>
            </w:pPr>
            <w:r>
              <w:rPr>
                <w:rFonts w:ascii="Times New Roman"/>
                <w:b w:val="false"/>
                <w:i w:val="false"/>
                <w:color w:val="000000"/>
                <w:sz w:val="20"/>
              </w:rPr>
              <w:t>
   5) при наличии существенных различий по времени воздействия между субъектами, рандомизированными на получение исследуемого лекарственного препарата или препарата сравнения, или несоответствий по продолжительности воздействия между клиническими исследованиями или испытаниями, проводится оценка воздействия в выражении субъект-время (пациенто-дни-месяцы или годы);</w:t>
            </w:r>
          </w:p>
          <w:p>
            <w:pPr>
              <w:spacing w:after="20"/>
              <w:ind w:left="20"/>
              <w:jc w:val="both"/>
            </w:pPr>
            <w:r>
              <w:rPr>
                <w:rFonts w:ascii="Times New Roman"/>
                <w:b w:val="false"/>
                <w:i w:val="false"/>
                <w:color w:val="000000"/>
                <w:sz w:val="20"/>
              </w:rPr>
              <w:t>
   6) данные по воздействию исследуемого препарата на здоровых добровольцев имеет меньшую значимость для оценки профиля безопасности лекарственного средства в целом, в зависимости от типа наблюдаемых нежелательных реакций, в особенности, когда пациенты подвергаются воздействию единичной дозы. Подобные данные представляются отдельно с пояснениями в случае необходимости;</w:t>
            </w:r>
          </w:p>
          <w:p>
            <w:pPr>
              <w:spacing w:after="20"/>
              <w:ind w:left="20"/>
              <w:jc w:val="both"/>
            </w:pPr>
            <w:r>
              <w:rPr>
                <w:rFonts w:ascii="Times New Roman"/>
                <w:b w:val="false"/>
                <w:i w:val="false"/>
                <w:color w:val="000000"/>
                <w:sz w:val="20"/>
              </w:rPr>
              <w:t>
   7) в случае, если в обобщенной информации по нежелательным реакциям, выявленным в ходе клинических исследований или испытаний, указаны серьезные нежелательные реакции, делается соответствующее указание по оценке воздействия на пациента, когда это возможно;</w:t>
            </w:r>
          </w:p>
          <w:p>
            <w:pPr>
              <w:spacing w:after="20"/>
              <w:ind w:left="20"/>
              <w:jc w:val="both"/>
            </w:pPr>
            <w:r>
              <w:rPr>
                <w:rFonts w:ascii="Times New Roman"/>
                <w:b w:val="false"/>
                <w:i w:val="false"/>
                <w:color w:val="000000"/>
                <w:sz w:val="20"/>
              </w:rPr>
              <w:t>
   8) для определенных особо важных клинических исследований или испытаний, демографическая характеристика пациентов представляется отдельно.</w:t>
            </w:r>
          </w:p>
          <w:p>
            <w:pPr>
              <w:spacing w:after="20"/>
              <w:ind w:left="20"/>
              <w:jc w:val="both"/>
            </w:pPr>
            <w:r>
              <w:rPr>
                <w:rFonts w:ascii="Times New Roman"/>
                <w:b w:val="false"/>
                <w:i w:val="false"/>
                <w:color w:val="000000"/>
                <w:sz w:val="20"/>
              </w:rPr>
              <w:t>
   8.5.5.2. Подраздел ПОБ "Общее количество пациентов, подвергшихся воздействию, по данным применения на рынке"</w:t>
            </w:r>
          </w:p>
          <w:p>
            <w:pPr>
              <w:spacing w:after="20"/>
              <w:ind w:left="20"/>
              <w:jc w:val="both"/>
            </w:pPr>
            <w:r>
              <w:rPr>
                <w:rFonts w:ascii="Times New Roman"/>
                <w:b w:val="false"/>
                <w:i w:val="false"/>
                <w:color w:val="000000"/>
                <w:sz w:val="20"/>
              </w:rPr>
              <w:t>
   В случаях, когда это возможно, представляется отдельная оценка по кумулятивному воздействию (начиная от международной даты регистрации) и воздействию за определенный интервал (от даты окончания сбора данных по предшествующему ПОБ). В разделе представляется оценка по количеству пациентов, подвергшихся воздействию и методу, по которым выполнялись определение и оценка. Представляется обоснование, в случае невозможности осуществления расчета числа пациентов, подвергшихся воздействию. Если невозможно выполнить оценку числа пациентов, представляются альтернативные варианты оценки с указанием метода их выполнения. Примером альтернативного варианта оценки воздействия является показатель пациент-дней и число назначений (выписываний). В тех случаях, когда вышеуказанные показатели недоступны, используется оценка объема продаж, выраженная в весовых единицах или дозах. Применяется концепция установленной суточной дозы (DDD)для получения данных по воздействию на пациентов.</w:t>
            </w:r>
          </w:p>
          <w:p>
            <w:pPr>
              <w:spacing w:after="20"/>
              <w:ind w:left="20"/>
              <w:jc w:val="both"/>
            </w:pPr>
            <w:r>
              <w:rPr>
                <w:rFonts w:ascii="Times New Roman"/>
                <w:b w:val="false"/>
                <w:i w:val="false"/>
                <w:color w:val="000000"/>
                <w:sz w:val="20"/>
              </w:rPr>
              <w:t>
   Данные по воздействию приводятся по следующим категориям использования лекарственного препарата:</w:t>
            </w:r>
          </w:p>
          <w:p>
            <w:pPr>
              <w:spacing w:after="20"/>
              <w:ind w:left="20"/>
              <w:jc w:val="both"/>
            </w:pPr>
            <w:r>
              <w:rPr>
                <w:rFonts w:ascii="Times New Roman"/>
                <w:b w:val="false"/>
                <w:i w:val="false"/>
                <w:color w:val="000000"/>
                <w:sz w:val="20"/>
              </w:rPr>
              <w:t>
   1. пострегистрационное применение (за исключением клинических исследований или испытаний):</w:t>
            </w:r>
          </w:p>
          <w:p>
            <w:pPr>
              <w:spacing w:after="20"/>
              <w:ind w:left="20"/>
              <w:jc w:val="both"/>
            </w:pPr>
            <w:r>
              <w:rPr>
                <w:rFonts w:ascii="Times New Roman"/>
                <w:b w:val="false"/>
                <w:i w:val="false"/>
                <w:color w:val="000000"/>
                <w:sz w:val="20"/>
              </w:rPr>
              <w:t>
   Проводится и представляется общая оценка. Дополнительно данные представляются с разбивкой по полу, возрасту, показаниям, дозам, формам выпуска и регионам, где это применимо. В зависимости от лекарственного препарата, иные переменные приводятся, как значимые, в частности число выполненных вакцинаций, способ введения и продолжительность лечения.</w:t>
            </w:r>
          </w:p>
          <w:p>
            <w:pPr>
              <w:spacing w:after="20"/>
              <w:ind w:left="20"/>
              <w:jc w:val="both"/>
            </w:pPr>
            <w:r>
              <w:rPr>
                <w:rFonts w:ascii="Times New Roman"/>
                <w:b w:val="false"/>
                <w:i w:val="false"/>
                <w:color w:val="000000"/>
                <w:sz w:val="20"/>
              </w:rPr>
              <w:t>
   В случае, выявлении серий сообщений о нежелательных реакциях, предполагающих о наличии сигнала, представляются данные по воздействию внутри соответствующей подгруппы, если это возможно.</w:t>
            </w:r>
          </w:p>
          <w:p>
            <w:pPr>
              <w:spacing w:after="20"/>
              <w:ind w:left="20"/>
              <w:jc w:val="both"/>
            </w:pPr>
            <w:r>
              <w:rPr>
                <w:rFonts w:ascii="Times New Roman"/>
                <w:b w:val="false"/>
                <w:i w:val="false"/>
                <w:color w:val="000000"/>
                <w:sz w:val="20"/>
              </w:rPr>
              <w:t>
   2. пострегистрационное применение у особых популяционных групп:</w:t>
            </w:r>
          </w:p>
          <w:p>
            <w:pPr>
              <w:spacing w:after="20"/>
              <w:ind w:left="20"/>
              <w:jc w:val="both"/>
            </w:pPr>
            <w:r>
              <w:rPr>
                <w:rFonts w:ascii="Times New Roman"/>
                <w:b w:val="false"/>
                <w:i w:val="false"/>
                <w:color w:val="000000"/>
                <w:sz w:val="20"/>
              </w:rPr>
              <w:t>
   В случае, если на пострегистрационном этапе лекарственный препарат используется у особых популяционных групп, представляется доступная информация в отношении кумулятивного числа пациентов, подвергшихся воздействию, и используемый метод расчета. Источники этих данных включают неинтервенционные исследования, разработанные непосредственно для получения данных по особым популяционным подгруппам, включая регистры. Популяции, входящие в оценку по данному разделу включают, но не ограничиваются следующими:</w:t>
            </w:r>
          </w:p>
          <w:p>
            <w:pPr>
              <w:spacing w:after="20"/>
              <w:ind w:left="20"/>
              <w:jc w:val="both"/>
            </w:pPr>
            <w:r>
              <w:rPr>
                <w:rFonts w:ascii="Times New Roman"/>
                <w:b w:val="false"/>
                <w:i w:val="false"/>
                <w:color w:val="000000"/>
                <w:sz w:val="20"/>
              </w:rPr>
              <w:t>
   1) педиатрическая популяция;</w:t>
            </w:r>
          </w:p>
          <w:p>
            <w:pPr>
              <w:spacing w:after="20"/>
              <w:ind w:left="20"/>
              <w:jc w:val="both"/>
            </w:pPr>
            <w:r>
              <w:rPr>
                <w:rFonts w:ascii="Times New Roman"/>
                <w:b w:val="false"/>
                <w:i w:val="false"/>
                <w:color w:val="000000"/>
                <w:sz w:val="20"/>
              </w:rPr>
              <w:t>
   2) популяция пожилого возраста;</w:t>
            </w:r>
          </w:p>
          <w:p>
            <w:pPr>
              <w:spacing w:after="20"/>
              <w:ind w:left="20"/>
              <w:jc w:val="both"/>
            </w:pPr>
            <w:r>
              <w:rPr>
                <w:rFonts w:ascii="Times New Roman"/>
                <w:b w:val="false"/>
                <w:i w:val="false"/>
                <w:color w:val="000000"/>
                <w:sz w:val="20"/>
              </w:rPr>
              <w:t>
   3) женщины в период беременности и кормления;</w:t>
            </w:r>
          </w:p>
          <w:p>
            <w:pPr>
              <w:spacing w:after="20"/>
              <w:ind w:left="20"/>
              <w:jc w:val="both"/>
            </w:pPr>
            <w:r>
              <w:rPr>
                <w:rFonts w:ascii="Times New Roman"/>
                <w:b w:val="false"/>
                <w:i w:val="false"/>
                <w:color w:val="000000"/>
                <w:sz w:val="20"/>
              </w:rPr>
              <w:t>
   4) пациенты с нарушениями функции печени и (или) почек;</w:t>
            </w:r>
          </w:p>
          <w:p>
            <w:pPr>
              <w:spacing w:after="20"/>
              <w:ind w:left="20"/>
              <w:jc w:val="both"/>
            </w:pPr>
            <w:r>
              <w:rPr>
                <w:rFonts w:ascii="Times New Roman"/>
                <w:b w:val="false"/>
                <w:i w:val="false"/>
                <w:color w:val="000000"/>
                <w:sz w:val="20"/>
              </w:rPr>
              <w:t>
   5) пациенты с иной важной сопутствующей патологией;</w:t>
            </w:r>
          </w:p>
          <w:p>
            <w:pPr>
              <w:spacing w:after="20"/>
              <w:ind w:left="20"/>
              <w:jc w:val="both"/>
            </w:pPr>
            <w:r>
              <w:rPr>
                <w:rFonts w:ascii="Times New Roman"/>
                <w:b w:val="false"/>
                <w:i w:val="false"/>
                <w:color w:val="000000"/>
                <w:sz w:val="20"/>
              </w:rPr>
              <w:t>
   6) пациенты, степень тяжести заболевания которых отлична от исследуемой в ходе клинических исследований;</w:t>
            </w:r>
          </w:p>
          <w:p>
            <w:pPr>
              <w:spacing w:after="20"/>
              <w:ind w:left="20"/>
              <w:jc w:val="both"/>
            </w:pPr>
            <w:r>
              <w:rPr>
                <w:rFonts w:ascii="Times New Roman"/>
                <w:b w:val="false"/>
                <w:i w:val="false"/>
                <w:color w:val="000000"/>
                <w:sz w:val="20"/>
              </w:rPr>
              <w:t>
   7) подпопуляции с носительством генетического полиморфизма;</w:t>
            </w:r>
          </w:p>
          <w:p>
            <w:pPr>
              <w:spacing w:after="20"/>
              <w:ind w:left="20"/>
              <w:jc w:val="both"/>
            </w:pPr>
            <w:r>
              <w:rPr>
                <w:rFonts w:ascii="Times New Roman"/>
                <w:b w:val="false"/>
                <w:i w:val="false"/>
                <w:color w:val="000000"/>
                <w:sz w:val="20"/>
              </w:rPr>
              <w:t>
   8) пациенты с иной расовой или этнической принадлежностью.</w:t>
            </w:r>
          </w:p>
          <w:p>
            <w:pPr>
              <w:spacing w:after="20"/>
              <w:ind w:left="20"/>
              <w:jc w:val="both"/>
            </w:pPr>
            <w:r>
              <w:rPr>
                <w:rFonts w:ascii="Times New Roman"/>
                <w:b w:val="false"/>
                <w:i w:val="false"/>
                <w:color w:val="000000"/>
                <w:sz w:val="20"/>
              </w:rPr>
              <w:t>
   3. особенности применения лекарственного препарата</w:t>
            </w:r>
          </w:p>
          <w:p>
            <w:pPr>
              <w:spacing w:after="20"/>
              <w:ind w:left="20"/>
              <w:jc w:val="both"/>
            </w:pPr>
            <w:r>
              <w:rPr>
                <w:rFonts w:ascii="Times New Roman"/>
                <w:b w:val="false"/>
                <w:i w:val="false"/>
                <w:color w:val="000000"/>
                <w:sz w:val="20"/>
              </w:rPr>
              <w:t>
   В случае, если держателю регистрационного удостоверения известна информация об определенных особенностях применения лекарственного препарата, приводится описание особенностей и проводится соответствующая оценка и интерпретация данных по безопасности. К числу таких особенностей относится, в частности, применение в медицинской практике по показаниям, не включенным в число одобренных показаний. Если имеются соответствующие данные, держатель регистрационного удостоверения комментирует насколько данное применение поддерживается клиническими протоколами, доказательной базой клинических исследований, либо обусловлено отсутствием в целом зарегистрированных альтернатив. Представляется количественная оценка по объему данного применения, если подобные данные имеются.</w:t>
            </w:r>
          </w:p>
          <w:p>
            <w:pPr>
              <w:spacing w:after="20"/>
              <w:ind w:left="20"/>
              <w:jc w:val="both"/>
            </w:pPr>
            <w:r>
              <w:rPr>
                <w:rFonts w:ascii="Times New Roman"/>
                <w:b w:val="false"/>
                <w:i w:val="false"/>
                <w:color w:val="000000"/>
                <w:sz w:val="20"/>
              </w:rPr>
              <w:t>
   8.5.6. Раздел ПОБ "Обобщенные табличные данные"</w:t>
            </w:r>
          </w:p>
          <w:p>
            <w:pPr>
              <w:spacing w:after="20"/>
              <w:ind w:left="20"/>
              <w:jc w:val="both"/>
            </w:pPr>
            <w:r>
              <w:rPr>
                <w:rFonts w:ascii="Times New Roman"/>
                <w:b w:val="false"/>
                <w:i w:val="false"/>
                <w:color w:val="000000"/>
                <w:sz w:val="20"/>
              </w:rPr>
              <w:t>
   Целью данного раздела ПОБ является представление данных по нежелательным реакциям или явлениям, выявленным в ходе клинических исследований в форме обобщенных табличных данных. На усмотрение держателя регистрационного удостоверения приводится графическое отображение определенных аспектов данных с целью облегчения восприятия и понимания.</w:t>
            </w:r>
          </w:p>
          <w:p>
            <w:pPr>
              <w:spacing w:after="20"/>
              <w:ind w:left="20"/>
              <w:jc w:val="both"/>
            </w:pPr>
            <w:r>
              <w:rPr>
                <w:rFonts w:ascii="Times New Roman"/>
                <w:b w:val="false"/>
                <w:i w:val="false"/>
                <w:color w:val="000000"/>
                <w:sz w:val="20"/>
              </w:rPr>
              <w:t>
   Отнесение к числу серьезных нежелательных реакций в обобщенных табличных данных соответствует отнесению, сделанному по результатам оценки индивидуальных сообщений о нежелательных реакциях с использованием критериев серьезности, установленных законодательством. Оценка серьезности не меняется при подготовке данных для включения в ПОБ.</w:t>
            </w:r>
          </w:p>
          <w:p>
            <w:pPr>
              <w:spacing w:after="20"/>
              <w:ind w:left="20"/>
              <w:jc w:val="both"/>
            </w:pPr>
            <w:r>
              <w:rPr>
                <w:rFonts w:ascii="Times New Roman"/>
                <w:b w:val="false"/>
                <w:i w:val="false"/>
                <w:color w:val="000000"/>
                <w:sz w:val="20"/>
              </w:rPr>
              <w:t>
   8.5.6.1 Подраздел ПОБ "Справочная информация"</w:t>
            </w:r>
          </w:p>
          <w:p>
            <w:pPr>
              <w:spacing w:after="20"/>
              <w:ind w:left="20"/>
              <w:jc w:val="both"/>
            </w:pPr>
            <w:r>
              <w:rPr>
                <w:rFonts w:ascii="Times New Roman"/>
                <w:b w:val="false"/>
                <w:i w:val="false"/>
                <w:color w:val="000000"/>
                <w:sz w:val="20"/>
              </w:rPr>
              <w:t>
   В данном подразделе указывается версия терминологического классификатора, используемого для анализа нежелательных явлений или реакций.</w:t>
            </w:r>
          </w:p>
          <w:p>
            <w:pPr>
              <w:spacing w:after="20"/>
              <w:ind w:left="20"/>
              <w:jc w:val="both"/>
            </w:pPr>
            <w:r>
              <w:rPr>
                <w:rFonts w:ascii="Times New Roman"/>
                <w:b w:val="false"/>
                <w:i w:val="false"/>
                <w:color w:val="000000"/>
                <w:sz w:val="20"/>
              </w:rPr>
              <w:t>
   8.5.6.2 Подраздел ПОБ "Обобщенные табличные данные по серьезным явлениям, выявленным в ходе клинических исследований или испытаний"</w:t>
            </w:r>
          </w:p>
          <w:p>
            <w:pPr>
              <w:spacing w:after="20"/>
              <w:ind w:left="20"/>
              <w:jc w:val="both"/>
            </w:pPr>
            <w:r>
              <w:rPr>
                <w:rFonts w:ascii="Times New Roman"/>
                <w:b w:val="false"/>
                <w:i w:val="false"/>
                <w:color w:val="000000"/>
                <w:sz w:val="20"/>
              </w:rPr>
              <w:t>
   В данном подразделе ПОБ приводится обоснование по приложению, которое включает кумулятивные обобщенные табличные данные по серьезным нежелательным явлениям, выявленным в ходе клинических исследований или испытаний, организованных держателем регистрационного удостоверения, начиная от международной даты одобрения разрабатываемого лекарственного препарата до даты окончания сбора данных по текущему ПОБ. Держатель регистрационного удостоверения обосновывает все исключаемые данные (данные по результатам клинического исследования (испытания) могут быть недоступны на протяжении нескольких лет). Данные в табличной форме группируется в соответствии с классификационным отнесением нежелательных реакций по органо-системным классам для исследуемого лекарственного препарата, а также для препаратов сравнения (активных и плацебо). Когда это является целесообразным, данные представляются в группированном виде по клиническим исследованиям (испытаниям), показаниям, путям введения и иным переменным.</w:t>
            </w:r>
          </w:p>
          <w:p>
            <w:pPr>
              <w:spacing w:after="20"/>
              <w:ind w:left="20"/>
              <w:jc w:val="both"/>
            </w:pPr>
            <w:r>
              <w:rPr>
                <w:rFonts w:ascii="Times New Roman"/>
                <w:b w:val="false"/>
                <w:i w:val="false"/>
                <w:color w:val="000000"/>
                <w:sz w:val="20"/>
              </w:rPr>
              <w:t>
   Рассматриваются следующие аспекты:</w:t>
            </w:r>
          </w:p>
          <w:p>
            <w:pPr>
              <w:spacing w:after="20"/>
              <w:ind w:left="20"/>
              <w:jc w:val="both"/>
            </w:pPr>
            <w:r>
              <w:rPr>
                <w:rFonts w:ascii="Times New Roman"/>
                <w:b w:val="false"/>
                <w:i w:val="false"/>
                <w:color w:val="000000"/>
                <w:sz w:val="20"/>
              </w:rPr>
              <w:t>
   1) рекомендуется представление оценки причинно-следственной связи по редким нежелательным реакциям. Представляются данные по всем серьезным нежелательным явлением и для исследуемого лекарственного препарата, и для препаратов сравнения и плацебо для проведения группового сравнения, в том числе, в отношении частоты. Представляются данные с отражением взаимосвязи назначаемой дозы и частоты;</w:t>
            </w:r>
          </w:p>
          <w:p>
            <w:pPr>
              <w:spacing w:after="20"/>
              <w:ind w:left="20"/>
              <w:jc w:val="both"/>
            </w:pPr>
            <w:r>
              <w:rPr>
                <w:rFonts w:ascii="Times New Roman"/>
                <w:b w:val="false"/>
                <w:i w:val="false"/>
                <w:color w:val="000000"/>
                <w:sz w:val="20"/>
              </w:rPr>
              <w:t>
   2) обобщенные табличные данные включают как ослепленные, так и разослепленные данные по серьезным нежелательным явлениям в клинических исследованиях. Разослепленные данные представляются по результатам завершенных клинических исследований и отдельным индивидуальным случаям, которые были разослеплены по определенным причинам (по аспектам безопасности или выполнения требований незамедлительного репортирования). Спонсоры (заявители) клинического исследования (испытания) и держатели регистрационных удостоверений не выполняют разослепление непосредственно в связи с подготовкой ПОБ;</w:t>
            </w:r>
          </w:p>
          <w:p>
            <w:pPr>
              <w:spacing w:after="20"/>
              <w:ind w:left="20"/>
              <w:jc w:val="both"/>
            </w:pPr>
            <w:r>
              <w:rPr>
                <w:rFonts w:ascii="Times New Roman"/>
                <w:b w:val="false"/>
                <w:i w:val="false"/>
                <w:color w:val="000000"/>
                <w:sz w:val="20"/>
              </w:rPr>
              <w:t>
   3) определенные нежелательные реакции исключаются из обобщающей информации, но все подобные исключения обосновываются в отчете (нежелательные реакции, определенные в протоколе как исключающиеся из процедуры незамедлительного репортирования и только включаемые в общую базу данных по причине того, что они являются присущими целевой популяции, или совпадают с конечными точками).</w:t>
            </w:r>
          </w:p>
          <w:p>
            <w:pPr>
              <w:spacing w:after="20"/>
              <w:ind w:left="20"/>
              <w:jc w:val="both"/>
            </w:pPr>
            <w:r>
              <w:rPr>
                <w:rFonts w:ascii="Times New Roman"/>
                <w:b w:val="false"/>
                <w:i w:val="false"/>
                <w:color w:val="000000"/>
                <w:sz w:val="20"/>
              </w:rPr>
              <w:t>
   8.5.6.3. Подраздел ПОБ "Обобщенные табличные данные по данным пострегистрационного применения"</w:t>
            </w:r>
          </w:p>
          <w:p>
            <w:pPr>
              <w:spacing w:after="20"/>
              <w:ind w:left="20"/>
              <w:jc w:val="both"/>
            </w:pPr>
            <w:r>
              <w:rPr>
                <w:rFonts w:ascii="Times New Roman"/>
                <w:b w:val="false"/>
                <w:i w:val="false"/>
                <w:color w:val="000000"/>
                <w:sz w:val="20"/>
              </w:rPr>
              <w:t>
   В данном разделе ПОБ представляется обоснование по приложению, включающему в табличной форме обобщающие данные по нежелательным реакциям кумулятивно за весь период и за отчетный период, от даты международной регистрации лекарственного препарата до даты окончания сбора данных. Включаются сведения о нежелательных реакциях, полученных в ходе неинтервенционных исследований и спонтанного репортирования и данные от медицинских и фармацевтических работников, потребителей, пациентов, уполномоченного органа и данных, опубликованных в медицинской литературе. Серьезные и несерьезные нежелательные реакции представляются в отдельных таблицах. В таблице данные распределяются согласно классификации по органо-функциональным классам. По особо важным аспектам профиля безопасности представляются отдельные таблицы нежелательных реакций с группированием данных по показаниям, способу введения и иным параметрам.</w:t>
            </w:r>
          </w:p>
          <w:p>
            <w:pPr>
              <w:spacing w:after="20"/>
              <w:ind w:left="20"/>
              <w:jc w:val="both"/>
            </w:pPr>
            <w:r>
              <w:rPr>
                <w:rFonts w:ascii="Times New Roman"/>
                <w:b w:val="false"/>
                <w:i w:val="false"/>
                <w:color w:val="000000"/>
                <w:sz w:val="20"/>
              </w:rPr>
              <w:t>
   8.5.7 Раздел ПОБ "Резюме важных данных, полученных в ходе клинических исследований (испытаний) за отчетный период"</w:t>
            </w:r>
          </w:p>
          <w:p>
            <w:pPr>
              <w:spacing w:after="20"/>
              <w:ind w:left="20"/>
              <w:jc w:val="both"/>
            </w:pPr>
            <w:r>
              <w:rPr>
                <w:rFonts w:ascii="Times New Roman"/>
                <w:b w:val="false"/>
                <w:i w:val="false"/>
                <w:color w:val="000000"/>
                <w:sz w:val="20"/>
              </w:rPr>
              <w:t xml:space="preserve">
   Держатель регистрационного удостоверения предоставляет в приложении перечисление организованных им интервенционных клинических исследований с целью возможности идентификации, характеристики и количественной оценки уровня рисков, подтверждения профиля безопасности лекарственного препарата или оценки эффективности мер минимизации риска, которые завершены или продолжают выполняться в отчетный период. </w:t>
            </w:r>
          </w:p>
          <w:p>
            <w:pPr>
              <w:spacing w:after="20"/>
              <w:ind w:left="20"/>
              <w:jc w:val="both"/>
            </w:pPr>
            <w:r>
              <w:rPr>
                <w:rFonts w:ascii="Times New Roman"/>
                <w:b w:val="false"/>
                <w:i w:val="false"/>
                <w:color w:val="000000"/>
                <w:sz w:val="20"/>
              </w:rPr>
              <w:t>
   Данные разбиваются на категории по половому и возрастному признаку (в особенности взрослые по сравнению с детской популяцией), показаниям, режимам дозирования и регионам, если применимо.</w:t>
            </w:r>
          </w:p>
          <w:p>
            <w:pPr>
              <w:spacing w:after="20"/>
              <w:ind w:left="20"/>
              <w:jc w:val="both"/>
            </w:pPr>
            <w:r>
              <w:rPr>
                <w:rFonts w:ascii="Times New Roman"/>
                <w:b w:val="false"/>
                <w:i w:val="false"/>
                <w:color w:val="000000"/>
                <w:sz w:val="20"/>
              </w:rPr>
              <w:t>
   Сигналы, выявленные в ходе клинических исследований представляются в табличной форме в разделе 15 ПОБ ("Обзор по сигналам: новые, находящиеся в работе или завершенные"). Для сигналов проводится оценка, по отнесению их к потенциальным или идентифицированным рискам. Риск оценивается и характеризуется в разделе 16.3 ПОБ ("Оценка рисков и новой информации") и 16.4 ("Характеристика рисков") соответственно.</w:t>
            </w:r>
          </w:p>
          <w:p>
            <w:pPr>
              <w:spacing w:after="20"/>
              <w:ind w:left="20"/>
              <w:jc w:val="both"/>
            </w:pPr>
            <w:r>
              <w:rPr>
                <w:rFonts w:ascii="Times New Roman"/>
                <w:b w:val="false"/>
                <w:i w:val="false"/>
                <w:color w:val="000000"/>
                <w:sz w:val="20"/>
              </w:rPr>
              <w:t>
   В данном разделе ПОБ представляется обобщающая информация по клинически важным данным эффективности и безопасности, полученными из следующих источников за отчетный период:</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 Подраздел "Завершенные клинические исследования"</w:t>
            </w:r>
          </w:p>
          <w:p>
            <w:pPr>
              <w:spacing w:after="20"/>
              <w:ind w:left="20"/>
              <w:jc w:val="both"/>
            </w:pPr>
            <w:r>
              <w:rPr>
                <w:rFonts w:ascii="Times New Roman"/>
                <w:b w:val="false"/>
                <w:i w:val="false"/>
                <w:color w:val="000000"/>
                <w:sz w:val="20"/>
              </w:rPr>
              <w:t>
   Данный подраздел ПОБ представлять краткую информацию по клинически важным данным эффективности и безопасности, полученными в результате завершенных за отчетный период клинических исследований (испытаний). Данная информация представляется в сжатом виде или в форме синопсиса и включает информацию, подтверждающую или опровергающую ранее идентифицированные сигналы по безопасности, а также доказательства по новым сигналам безопасности.</w:t>
            </w:r>
          </w:p>
          <w:p>
            <w:pPr>
              <w:spacing w:after="20"/>
              <w:ind w:left="20"/>
              <w:jc w:val="both"/>
            </w:pPr>
            <w:r>
              <w:rPr>
                <w:rFonts w:ascii="Times New Roman"/>
                <w:b w:val="false"/>
                <w:i w:val="false"/>
                <w:color w:val="000000"/>
                <w:sz w:val="20"/>
              </w:rPr>
              <w:t>
   8.5.7.2. Подраздел ПОБ "Продолжающиеся клинические исследования (испытания)"</w:t>
            </w:r>
          </w:p>
          <w:p>
            <w:pPr>
              <w:spacing w:after="20"/>
              <w:ind w:left="20"/>
              <w:jc w:val="both"/>
            </w:pPr>
            <w:r>
              <w:rPr>
                <w:rFonts w:ascii="Times New Roman"/>
                <w:b w:val="false"/>
                <w:i w:val="false"/>
                <w:color w:val="000000"/>
                <w:sz w:val="20"/>
              </w:rPr>
              <w:t>
   В случае, если держателю регистрационного удостоверения известна какая-либо клинически важная информация, полученная в ходе продолжающихся клинических исследований (испытаний) (выявленная в ходе промежуточного анализа безопасности либо в результате разослепления выявленных серьезных нежелательных явлений), в данном разделе излагается информация по выявленной новой информации безопасности. Этот раздел также включает информацию, подтверждающая или опровергающая ранее идентифицированные сигналы по безопасности, а также доказательства по новым сигналам безопасности.</w:t>
            </w:r>
          </w:p>
          <w:p>
            <w:pPr>
              <w:spacing w:after="20"/>
              <w:ind w:left="20"/>
              <w:jc w:val="both"/>
            </w:pPr>
            <w:r>
              <w:rPr>
                <w:rFonts w:ascii="Times New Roman"/>
                <w:b w:val="false"/>
                <w:i w:val="false"/>
                <w:color w:val="000000"/>
                <w:sz w:val="20"/>
              </w:rPr>
              <w:t>
   8.5.7.3 Подраздел ПОБ "Длительное последующее наблюдение"</w:t>
            </w:r>
          </w:p>
          <w:p>
            <w:pPr>
              <w:spacing w:after="20"/>
              <w:ind w:left="20"/>
              <w:jc w:val="both"/>
            </w:pPr>
            <w:r>
              <w:rPr>
                <w:rFonts w:ascii="Times New Roman"/>
                <w:b w:val="false"/>
                <w:i w:val="false"/>
                <w:color w:val="000000"/>
                <w:sz w:val="20"/>
              </w:rPr>
              <w:t>
   В тех случаях, когда имеются данные по длительному последующему наблюдению пациентов, включенных в клинические исследования (испытания), в разделе приводится информация по этим наблюдениям, значимым с точки зрения профиля безопасности.</w:t>
            </w:r>
          </w:p>
          <w:p>
            <w:pPr>
              <w:spacing w:after="20"/>
              <w:ind w:left="20"/>
              <w:jc w:val="both"/>
            </w:pPr>
            <w:r>
              <w:rPr>
                <w:rFonts w:ascii="Times New Roman"/>
                <w:b w:val="false"/>
                <w:i w:val="false"/>
                <w:color w:val="000000"/>
                <w:sz w:val="20"/>
              </w:rPr>
              <w:t>
   8.5.7.4. Подраздел ПОБ "Иное терапевтическое применение лекарственных препаратов"</w:t>
            </w:r>
          </w:p>
          <w:p>
            <w:pPr>
              <w:spacing w:after="20"/>
              <w:ind w:left="20"/>
              <w:jc w:val="both"/>
            </w:pPr>
            <w:r>
              <w:rPr>
                <w:rFonts w:ascii="Times New Roman"/>
                <w:b w:val="false"/>
                <w:i w:val="false"/>
                <w:color w:val="000000"/>
                <w:sz w:val="20"/>
              </w:rPr>
              <w:t>
   Данный подраздел ПОБ включает клинически важную информацию по безопасности, полученную в результате других программ, проведенных держателем регистрационного удостоверения, по специальным протоколам (программы расширенного доступа, программы использования в связи с исключительными обстоятельствами из соображений сострадания, индивидуального доступа и иных).</w:t>
            </w:r>
          </w:p>
          <w:p>
            <w:pPr>
              <w:spacing w:after="20"/>
              <w:ind w:left="20"/>
              <w:jc w:val="both"/>
            </w:pPr>
            <w:r>
              <w:rPr>
                <w:rFonts w:ascii="Times New Roman"/>
                <w:b w:val="false"/>
                <w:i w:val="false"/>
                <w:color w:val="000000"/>
                <w:sz w:val="20"/>
              </w:rPr>
              <w:t xml:space="preserve">
   8.5.7.5. Подраздел ПОБ "Новые данные по безопасности в отношении назначения фиксированных комбинаций" </w:t>
            </w:r>
          </w:p>
          <w:p>
            <w:pPr>
              <w:spacing w:after="20"/>
              <w:ind w:left="20"/>
              <w:jc w:val="both"/>
            </w:pPr>
            <w:r>
              <w:rPr>
                <w:rFonts w:ascii="Times New Roman"/>
                <w:b w:val="false"/>
                <w:i w:val="false"/>
                <w:color w:val="000000"/>
                <w:sz w:val="20"/>
              </w:rPr>
              <w:t>
   Следующие данные представляются в отношении комбинированной терапии:</w:t>
            </w:r>
          </w:p>
          <w:p>
            <w:pPr>
              <w:spacing w:after="20"/>
              <w:ind w:left="20"/>
              <w:jc w:val="both"/>
            </w:pPr>
            <w:r>
              <w:rPr>
                <w:rFonts w:ascii="Times New Roman"/>
                <w:b w:val="false"/>
                <w:i w:val="false"/>
                <w:color w:val="000000"/>
                <w:sz w:val="20"/>
              </w:rPr>
              <w:t>
   1) в случае, если лекарственный препарат одобрен для назначения в качестве компонента фиксированной лекарственной терапии или многокомпонентного режима лекарственной терапии, в разделе обощаются важные данные по безопасности применения комбинированной терапии;</w:t>
            </w:r>
          </w:p>
          <w:p>
            <w:pPr>
              <w:spacing w:after="20"/>
              <w:ind w:left="20"/>
              <w:jc w:val="both"/>
            </w:pPr>
            <w:r>
              <w:rPr>
                <w:rFonts w:ascii="Times New Roman"/>
                <w:b w:val="false"/>
                <w:i w:val="false"/>
                <w:color w:val="000000"/>
                <w:sz w:val="20"/>
              </w:rPr>
              <w:t>
   2) в случае, если лекарственный препарат является комбинированным лекарственным препаратом, данный раздел обобщает важную информацию по безопасности по каждому из индивидуальных компонентов.</w:t>
            </w:r>
          </w:p>
          <w:p>
            <w:pPr>
              <w:spacing w:after="20"/>
              <w:ind w:left="20"/>
              <w:jc w:val="both"/>
            </w:pPr>
            <w:r>
              <w:rPr>
                <w:rFonts w:ascii="Times New Roman"/>
                <w:b w:val="false"/>
                <w:i w:val="false"/>
                <w:color w:val="000000"/>
                <w:sz w:val="20"/>
              </w:rPr>
              <w:t>
   8.5.8. Раздел ПОБ "Данные неинтервенционных исследований"</w:t>
            </w:r>
          </w:p>
          <w:p>
            <w:pPr>
              <w:spacing w:after="20"/>
              <w:ind w:left="20"/>
              <w:jc w:val="both"/>
            </w:pPr>
            <w:r>
              <w:rPr>
                <w:rFonts w:ascii="Times New Roman"/>
                <w:b w:val="false"/>
                <w:i w:val="false"/>
                <w:color w:val="000000"/>
                <w:sz w:val="20"/>
              </w:rPr>
              <w:t>
   В данном разделе обобщается соответствующая информация по безопасности или данные об их влиянии на оценку соотношения польза-риск, полученная по результатам неинтервенционных клинических исследований (испытаний) таких как, обсервационных исследований, эпидемиологических исследований, регистров, программ активного мониторинга, организованных держателем регистрационного удостоверения, доступных в отчетный период. Раздел включает данные, имеющие отношение к аспектам профиля безопасности, полученные по результатам исследований оценки использования лекарственного препарата.</w:t>
            </w:r>
          </w:p>
          <w:p>
            <w:pPr>
              <w:spacing w:after="20"/>
              <w:ind w:left="20"/>
              <w:jc w:val="both"/>
            </w:pPr>
            <w:r>
              <w:rPr>
                <w:rFonts w:ascii="Times New Roman"/>
                <w:b w:val="false"/>
                <w:i w:val="false"/>
                <w:color w:val="000000"/>
                <w:sz w:val="20"/>
              </w:rPr>
              <w:t>
   Держатель регистрационного удостоверения включает в приложение к отчету перечень всех неинтервенционных исследований (испытаний), организованных держателем регистрационного удостоверения, выполненных с целью выявления, характеристики и количественной оценки вызывающих опасения аспектов профиля безопасности, подтверждения профиля безопасности лекарственного препарата или оценки эффективности мер минимизации риска, которые были выполнены или выполняются на протяжении отчетного периода (ПРИБ).</w:t>
            </w:r>
          </w:p>
          <w:p>
            <w:pPr>
              <w:spacing w:after="20"/>
              <w:ind w:left="20"/>
              <w:jc w:val="both"/>
            </w:pPr>
            <w:r>
              <w:rPr>
                <w:rFonts w:ascii="Times New Roman"/>
                <w:b w:val="false"/>
                <w:i w:val="false"/>
                <w:color w:val="000000"/>
                <w:sz w:val="20"/>
              </w:rPr>
              <w:t>
   Отчеты о стадии выполнения или итоговые отчеты, подготовленные на протяжении отчетного периода, включаются в приложение к ПОБ.</w:t>
            </w:r>
          </w:p>
          <w:p>
            <w:pPr>
              <w:spacing w:after="20"/>
              <w:ind w:left="20"/>
              <w:jc w:val="both"/>
            </w:pPr>
            <w:r>
              <w:rPr>
                <w:rFonts w:ascii="Times New Roman"/>
                <w:b w:val="false"/>
                <w:i w:val="false"/>
                <w:color w:val="000000"/>
                <w:sz w:val="20"/>
              </w:rPr>
              <w:t>
   8.5.9. Раздел ПОБ "Данные других клинических исследований и из других источников"</w:t>
            </w:r>
          </w:p>
          <w:p>
            <w:pPr>
              <w:spacing w:after="20"/>
              <w:ind w:left="20"/>
              <w:jc w:val="both"/>
            </w:pPr>
            <w:r>
              <w:rPr>
                <w:rFonts w:ascii="Times New Roman"/>
                <w:b w:val="false"/>
                <w:i w:val="false"/>
                <w:color w:val="000000"/>
                <w:sz w:val="20"/>
              </w:rPr>
              <w:t>
   В разделе обобщается информация, имеющая отношение к оценке соотношения польза-риск лекарственного препарата и полученная по результатам иных клинических исследований либо полученная из иных источников, к которым имелся доступ у держателя регистрационного удостоверения, за отчетный период (результаты мета-анализов рандомизированных клинических исследований, данные по безопасности партнеров по разработке лекарственного препарата и иные).</w:t>
            </w:r>
          </w:p>
          <w:p>
            <w:pPr>
              <w:spacing w:after="20"/>
              <w:ind w:left="20"/>
              <w:jc w:val="both"/>
            </w:pPr>
            <w:r>
              <w:rPr>
                <w:rFonts w:ascii="Times New Roman"/>
                <w:b w:val="false"/>
                <w:i w:val="false"/>
                <w:color w:val="000000"/>
                <w:sz w:val="20"/>
              </w:rPr>
              <w:t>
   8.5.10. Раздел ПОБ "Данные доклинических исследований"</w:t>
            </w:r>
          </w:p>
          <w:p>
            <w:pPr>
              <w:spacing w:after="20"/>
              <w:ind w:left="20"/>
              <w:jc w:val="both"/>
            </w:pPr>
            <w:r>
              <w:rPr>
                <w:rFonts w:ascii="Times New Roman"/>
                <w:b w:val="false"/>
                <w:i w:val="false"/>
                <w:color w:val="000000"/>
                <w:sz w:val="20"/>
              </w:rPr>
              <w:t xml:space="preserve">
   В разделе представляется обобщенная информация по значимым в отношении профиля безопасности данным, полученным в результате доклинических исследований </w:t>
            </w:r>
            <w:r>
              <w:rPr>
                <w:rFonts w:ascii="Times New Roman"/>
                <w:b w:val="false"/>
                <w:i/>
                <w:color w:val="000000"/>
                <w:sz w:val="20"/>
              </w:rPr>
              <w:t>in vivo</w:t>
            </w:r>
            <w:r>
              <w:rPr>
                <w:rFonts w:ascii="Times New Roman"/>
                <w:b w:val="false"/>
                <w:i w:val="false"/>
                <w:color w:val="000000"/>
                <w:sz w:val="20"/>
              </w:rPr>
              <w:t xml:space="preserve"> и </w:t>
            </w:r>
            <w:r>
              <w:rPr>
                <w:rFonts w:ascii="Times New Roman"/>
                <w:b w:val="false"/>
                <w:i/>
                <w:color w:val="000000"/>
                <w:sz w:val="20"/>
              </w:rPr>
              <w:t>in vitro</w:t>
            </w:r>
            <w:r>
              <w:rPr>
                <w:rFonts w:ascii="Times New Roman"/>
                <w:b w:val="false"/>
                <w:i w:val="false"/>
                <w:color w:val="000000"/>
                <w:sz w:val="20"/>
              </w:rPr>
              <w:t xml:space="preserve"> (исследования канцерогенности, репродуктивной токсичности или иммунотоксичности), выполняемых или завершенных в отчетный период. Оценка влияние полученных данных на профиль безопасности представляется в разделе 16 ("Сигнал и оценка риска") и разделе 18 ("Интегрированный анализ соотношения польза-риск по одобренным показаниям") ПОБ.</w:t>
            </w:r>
          </w:p>
          <w:p>
            <w:pPr>
              <w:spacing w:after="20"/>
              <w:ind w:left="20"/>
              <w:jc w:val="both"/>
            </w:pPr>
            <w:r>
              <w:rPr>
                <w:rFonts w:ascii="Times New Roman"/>
                <w:b w:val="false"/>
                <w:i w:val="false"/>
                <w:color w:val="000000"/>
                <w:sz w:val="20"/>
              </w:rPr>
              <w:t>
   8.5.11. Раздел ПОБ "Литература"</w:t>
            </w:r>
          </w:p>
          <w:p>
            <w:pPr>
              <w:spacing w:after="20"/>
              <w:ind w:left="20"/>
              <w:jc w:val="both"/>
            </w:pPr>
            <w:r>
              <w:rPr>
                <w:rFonts w:ascii="Times New Roman"/>
                <w:b w:val="false"/>
                <w:i w:val="false"/>
                <w:color w:val="000000"/>
                <w:sz w:val="20"/>
              </w:rPr>
              <w:t>
   Раздел включает обобщение полученных новых и значимых данных по безопасности, которые были опубликованы научной литературе, прошедшей экспертную оценку, либо были получены из неопубликованных монографий, имеющие отношение к лекарственному препарату и стали доступны держателю регистрационного удостоверения в отчетный период.</w:t>
            </w:r>
          </w:p>
          <w:p>
            <w:pPr>
              <w:spacing w:after="20"/>
              <w:ind w:left="20"/>
              <w:jc w:val="both"/>
            </w:pPr>
            <w:r>
              <w:rPr>
                <w:rFonts w:ascii="Times New Roman"/>
                <w:b w:val="false"/>
                <w:i w:val="false"/>
                <w:color w:val="000000"/>
                <w:sz w:val="20"/>
              </w:rPr>
              <w:t>
   Литературный поиск для подготовки ПОБ шире, чем осуществляемый с целью поиска индивидуальных сообщений о нежелательных реакциях, поскольку включает также исследования, в ходе которых были оценены исходы с точки зрения безопасности в группах субъектов исследования.</w:t>
            </w:r>
          </w:p>
          <w:p>
            <w:pPr>
              <w:spacing w:after="20"/>
              <w:ind w:left="20"/>
              <w:jc w:val="both"/>
            </w:pPr>
            <w:r>
              <w:rPr>
                <w:rFonts w:ascii="Times New Roman"/>
                <w:b w:val="false"/>
                <w:i w:val="false"/>
                <w:color w:val="000000"/>
                <w:sz w:val="20"/>
              </w:rPr>
              <w:t>
   Особые аспекты профиля безопасности, подлежащие поиску, но которые могут быть не выявлены при осуществлении поиска с целью получения данных по индивидуальным случаям нежелательных реакций, включают:</w:t>
            </w:r>
          </w:p>
          <w:p>
            <w:pPr>
              <w:spacing w:after="20"/>
              <w:ind w:left="20"/>
              <w:jc w:val="both"/>
            </w:pPr>
            <w:r>
              <w:rPr>
                <w:rFonts w:ascii="Times New Roman"/>
                <w:b w:val="false"/>
                <w:i w:val="false"/>
                <w:color w:val="000000"/>
                <w:sz w:val="20"/>
              </w:rPr>
              <w:t>
   1) исходы беременности (включая прерывание), не сопровождающиеся нежелательными последствиями;</w:t>
            </w:r>
          </w:p>
          <w:p>
            <w:pPr>
              <w:spacing w:after="20"/>
              <w:ind w:left="20"/>
              <w:jc w:val="both"/>
            </w:pPr>
            <w:r>
              <w:rPr>
                <w:rFonts w:ascii="Times New Roman"/>
                <w:b w:val="false"/>
                <w:i w:val="false"/>
                <w:color w:val="000000"/>
                <w:sz w:val="20"/>
              </w:rPr>
              <w:t>
   2) применение в педиатрической популяции;</w:t>
            </w:r>
          </w:p>
          <w:p>
            <w:pPr>
              <w:spacing w:after="20"/>
              <w:ind w:left="20"/>
              <w:jc w:val="both"/>
            </w:pPr>
            <w:r>
              <w:rPr>
                <w:rFonts w:ascii="Times New Roman"/>
                <w:b w:val="false"/>
                <w:i w:val="false"/>
                <w:color w:val="000000"/>
                <w:sz w:val="20"/>
              </w:rPr>
              <w:t>
   3) применение по программам использования в связи с исключительными обстоятельствами из соображений сострадания, персонализированным программам назначения;</w:t>
            </w:r>
          </w:p>
          <w:p>
            <w:pPr>
              <w:spacing w:after="20"/>
              <w:ind w:left="20"/>
              <w:jc w:val="both"/>
            </w:pPr>
            <w:r>
              <w:rPr>
                <w:rFonts w:ascii="Times New Roman"/>
                <w:b w:val="false"/>
                <w:i w:val="false"/>
                <w:color w:val="000000"/>
                <w:sz w:val="20"/>
              </w:rPr>
              <w:t>
   4) отсутствие эффективности;</w:t>
            </w:r>
          </w:p>
          <w:p>
            <w:pPr>
              <w:spacing w:after="20"/>
              <w:ind w:left="20"/>
              <w:jc w:val="both"/>
            </w:pPr>
            <w:r>
              <w:rPr>
                <w:rFonts w:ascii="Times New Roman"/>
                <w:b w:val="false"/>
                <w:i w:val="false"/>
                <w:color w:val="000000"/>
                <w:sz w:val="20"/>
              </w:rPr>
              <w:t>
   5) асимптоматическая передозировка, несоответствующее и неправильное применение;</w:t>
            </w:r>
          </w:p>
          <w:p>
            <w:pPr>
              <w:spacing w:after="20"/>
              <w:ind w:left="20"/>
              <w:jc w:val="both"/>
            </w:pPr>
            <w:r>
              <w:rPr>
                <w:rFonts w:ascii="Times New Roman"/>
                <w:b w:val="false"/>
                <w:i w:val="false"/>
                <w:color w:val="000000"/>
                <w:sz w:val="20"/>
              </w:rPr>
              <w:t>
   6) медицинские ошибки, не сопровождавшиеся развитием нежелательных явлений;</w:t>
            </w:r>
          </w:p>
          <w:p>
            <w:pPr>
              <w:spacing w:after="20"/>
              <w:ind w:left="20"/>
              <w:jc w:val="both"/>
            </w:pPr>
            <w:r>
              <w:rPr>
                <w:rFonts w:ascii="Times New Roman"/>
                <w:b w:val="false"/>
                <w:i w:val="false"/>
                <w:color w:val="000000"/>
                <w:sz w:val="20"/>
              </w:rPr>
              <w:t>
   7) важные результаты доклинических исследований.</w:t>
            </w:r>
          </w:p>
          <w:p>
            <w:pPr>
              <w:spacing w:after="20"/>
              <w:ind w:left="20"/>
              <w:jc w:val="both"/>
            </w:pPr>
            <w:r>
              <w:rPr>
                <w:rFonts w:ascii="Times New Roman"/>
                <w:b w:val="false"/>
                <w:i w:val="false"/>
                <w:color w:val="000000"/>
                <w:sz w:val="20"/>
              </w:rPr>
              <w:t>
   В разделе рассматривается информация по другим активным веществам данной группы, если это применимо.</w:t>
            </w:r>
          </w:p>
          <w:p>
            <w:pPr>
              <w:spacing w:after="20"/>
              <w:ind w:left="20"/>
              <w:jc w:val="both"/>
            </w:pPr>
            <w:r>
              <w:rPr>
                <w:rFonts w:ascii="Times New Roman"/>
                <w:b w:val="false"/>
                <w:i w:val="false"/>
                <w:color w:val="000000"/>
                <w:sz w:val="20"/>
              </w:rPr>
              <w:t>
   8.5.12 Раздел ПОБ "Другие периодические отчеты"</w:t>
            </w:r>
          </w:p>
          <w:p>
            <w:pPr>
              <w:spacing w:after="20"/>
              <w:ind w:left="20"/>
              <w:jc w:val="both"/>
            </w:pPr>
            <w:r>
              <w:rPr>
                <w:rFonts w:ascii="Times New Roman"/>
                <w:b w:val="false"/>
                <w:i w:val="false"/>
                <w:color w:val="000000"/>
                <w:sz w:val="20"/>
              </w:rPr>
              <w:t>
   Данный раздел ПОБ применим только в тех определенных случаях, когда по договоренности с уполномоченной организацией держателем регистрационного удостоверения готовится более одного ПОБ на лекарственный препарат: в случае фиксированной комбинации, лекарственного препарата с множественными показаниями и (или) формами выпуска. В целом держатель регистрационного удостоверения готовит один ПОБ на одно действующее вещество (за исключением случаев, если иное не требуется уполномоченным органом); в случае если подготовлено несколько ПОБ для одного лекарственного препарата, в данном разделе обобщаются значимые данные по безопасности из других ПОБ, если она не представлена в иных разделах данного ПОБ.</w:t>
            </w:r>
          </w:p>
          <w:p>
            <w:pPr>
              <w:spacing w:after="20"/>
              <w:ind w:left="20"/>
              <w:jc w:val="both"/>
            </w:pPr>
            <w:r>
              <w:rPr>
                <w:rFonts w:ascii="Times New Roman"/>
                <w:b w:val="false"/>
                <w:i w:val="false"/>
                <w:color w:val="000000"/>
                <w:sz w:val="20"/>
              </w:rPr>
              <w:t>
   В случае наличия доступа, на основании контрактных договоренностей, держатель регистрационного удостоверения предоставляет в обобщенном виде значимые данные по безопасности, полученные в представляемых в ПОБ за отчетный период другими сторонами (спонсорами или иными партнерами).</w:t>
            </w:r>
          </w:p>
          <w:p>
            <w:pPr>
              <w:spacing w:after="20"/>
              <w:ind w:left="20"/>
              <w:jc w:val="both"/>
            </w:pPr>
            <w:r>
              <w:rPr>
                <w:rFonts w:ascii="Times New Roman"/>
                <w:b w:val="false"/>
                <w:i w:val="false"/>
                <w:color w:val="000000"/>
                <w:sz w:val="20"/>
              </w:rPr>
              <w:t>
   8.5.13. Раздел ПОБ "Недостаточная терапевтическая эффективность в контролируемых клинических исследованиях"</w:t>
            </w:r>
          </w:p>
          <w:p>
            <w:pPr>
              <w:spacing w:after="20"/>
              <w:ind w:left="20"/>
              <w:jc w:val="both"/>
            </w:pPr>
            <w:r>
              <w:rPr>
                <w:rFonts w:ascii="Times New Roman"/>
                <w:b w:val="false"/>
                <w:i w:val="false"/>
                <w:color w:val="000000"/>
                <w:sz w:val="20"/>
              </w:rPr>
              <w:t>
   Данные, полученные в ходе клинических исследований, свидетельствующие о недостаточной терапевтической эффективности, либо недостаточной терапевтической эффективности в отношении принятой терапии для лекарственных препаратов, используемых для лечения и профилактики серьезных и жизнеугрожающих заболеваний, свидетельствуют о значительном риске для целевой популяции и подлежат анализу и обобщению в данном разделе ПОБ.</w:t>
            </w:r>
          </w:p>
          <w:p>
            <w:pPr>
              <w:spacing w:after="20"/>
              <w:ind w:left="20"/>
              <w:jc w:val="both"/>
            </w:pPr>
            <w:r>
              <w:rPr>
                <w:rFonts w:ascii="Times New Roman"/>
                <w:b w:val="false"/>
                <w:i w:val="false"/>
                <w:color w:val="000000"/>
                <w:sz w:val="20"/>
              </w:rPr>
              <w:t>
   В случае, если это применимо к оценке соотношения польза-риск, данные клинических исследований, демонстрирующие недостаточную терапевтическую эффективность лекарственных препаратов, не предназначенных для лечения жизнеугрожающей патологии, анализируются в данном разделе.</w:t>
            </w:r>
          </w:p>
          <w:p>
            <w:pPr>
              <w:spacing w:after="20"/>
              <w:ind w:left="20"/>
              <w:jc w:val="both"/>
            </w:pPr>
            <w:r>
              <w:rPr>
                <w:rFonts w:ascii="Times New Roman"/>
                <w:b w:val="false"/>
                <w:i w:val="false"/>
                <w:color w:val="000000"/>
                <w:sz w:val="20"/>
              </w:rPr>
              <w:t>
   8.5.14. Раздел ПОБ "Важная информация, полученная после завершения подготовки ПОБ"</w:t>
            </w:r>
          </w:p>
          <w:p>
            <w:pPr>
              <w:spacing w:after="20"/>
              <w:ind w:left="20"/>
              <w:jc w:val="both"/>
            </w:pPr>
            <w:r>
              <w:rPr>
                <w:rFonts w:ascii="Times New Roman"/>
                <w:b w:val="false"/>
                <w:i w:val="false"/>
                <w:color w:val="000000"/>
                <w:sz w:val="20"/>
              </w:rPr>
              <w:t>
   В разделе обобщаются потенциально важные данные по безопасности и эффективности, полученные после даты окончания сбора данных, но в период подготовки ПОБ. Примеры включают данные клинически значимых новых публикаций, важные данные последующего наблюдения, клинически важные токсикологические данные, а также все действия держателя регистрационного удостоверения, уполномоченного органа, предпринятые в связи с аспектами профиля безопасности. Новые индивидуальные сообщения о нежелательных реакциях не включаются в раздел, за исключением случаев, когда они представляют важный показательный случай (первый случай развития важного нежелательного явления) или важный сигнал по безопасности.</w:t>
            </w:r>
          </w:p>
          <w:p>
            <w:pPr>
              <w:spacing w:after="20"/>
              <w:ind w:left="20"/>
              <w:jc w:val="both"/>
            </w:pPr>
            <w:r>
              <w:rPr>
                <w:rFonts w:ascii="Times New Roman"/>
                <w:b w:val="false"/>
                <w:i w:val="false"/>
                <w:color w:val="000000"/>
                <w:sz w:val="20"/>
              </w:rPr>
              <w:t>
   Данные раздела учитываются при оценке риска и новой информации.</w:t>
            </w:r>
          </w:p>
          <w:p>
            <w:pPr>
              <w:spacing w:after="20"/>
              <w:ind w:left="20"/>
              <w:jc w:val="both"/>
            </w:pPr>
            <w:r>
              <w:rPr>
                <w:rFonts w:ascii="Times New Roman"/>
                <w:b w:val="false"/>
                <w:i w:val="false"/>
                <w:color w:val="000000"/>
                <w:sz w:val="20"/>
              </w:rPr>
              <w:t>
   8.5.15. Раздел ПОБ "Обзор сигналов: новые, рассматриваемые и завершенные"</w:t>
            </w:r>
          </w:p>
          <w:p>
            <w:pPr>
              <w:spacing w:after="20"/>
              <w:ind w:left="20"/>
              <w:jc w:val="both"/>
            </w:pPr>
            <w:r>
              <w:rPr>
                <w:rFonts w:ascii="Times New Roman"/>
                <w:b w:val="false"/>
                <w:i w:val="false"/>
                <w:color w:val="000000"/>
                <w:sz w:val="20"/>
              </w:rPr>
              <w:t>
   Целью данного раздела является представление исчерпывающего обзора выявленных сигналов, сигналов на этапе оценки и прошедших оценку за отчетный период.</w:t>
            </w:r>
          </w:p>
          <w:p>
            <w:pPr>
              <w:spacing w:after="20"/>
              <w:ind w:left="20"/>
              <w:jc w:val="both"/>
            </w:pPr>
            <w:r>
              <w:rPr>
                <w:rFonts w:ascii="Times New Roman"/>
                <w:b w:val="false"/>
                <w:i w:val="false"/>
                <w:color w:val="000000"/>
                <w:sz w:val="20"/>
              </w:rPr>
              <w:t>
   Держателем регистрационного удостоверения представляется краткое описание метода, который используется для выявления сигналов, а также источники данных для выявления сигналов.</w:t>
            </w:r>
          </w:p>
          <w:p>
            <w:pPr>
              <w:spacing w:after="20"/>
              <w:ind w:left="20"/>
              <w:jc w:val="both"/>
            </w:pPr>
            <w:r>
              <w:rPr>
                <w:rFonts w:ascii="Times New Roman"/>
                <w:b w:val="false"/>
                <w:i w:val="false"/>
                <w:color w:val="000000"/>
                <w:sz w:val="20"/>
              </w:rPr>
              <w:t>
   К новым выявленным сигналам относятся сигналы, выявленные за отчетный период. К рассматриваемым сигналам относят сигналы, которые находились на этапе оценки на дату окончания сбора данных. К завершенным относят сигналы, оценка которых была завершена за отчетный период. Сигналы, которые являются одновременно и новыми и завершенными за отчетный период относятся в раздел завершенных сигналов.</w:t>
            </w:r>
          </w:p>
          <w:p>
            <w:pPr>
              <w:spacing w:after="20"/>
              <w:ind w:left="20"/>
              <w:jc w:val="both"/>
            </w:pPr>
            <w:r>
              <w:rPr>
                <w:rFonts w:ascii="Times New Roman"/>
                <w:b w:val="false"/>
                <w:i w:val="false"/>
                <w:color w:val="000000"/>
                <w:sz w:val="20"/>
              </w:rPr>
              <w:t>
   В данный раздел включают данные по рассматриваемым и завершенным за отчетный период сигналам, приведенные в табличной форме. Таблица прилагается к отчету в форме приложения. На усмотрение держателя регистрационного удостоверения, данная информация включает кумулятивные данные по сигналам и ранее завершенные сигналы, при этом указывается дата, от которой выполнено обобщение по сигналам.</w:t>
            </w:r>
          </w:p>
          <w:p>
            <w:pPr>
              <w:spacing w:after="20"/>
              <w:ind w:left="20"/>
              <w:jc w:val="both"/>
            </w:pPr>
            <w:r>
              <w:rPr>
                <w:rFonts w:ascii="Times New Roman"/>
                <w:b w:val="false"/>
                <w:i w:val="false"/>
                <w:color w:val="000000"/>
                <w:sz w:val="20"/>
              </w:rPr>
              <w:t>
   Детальная оценка сигналов включается в раздел ПОБ 16.2 ("Оценка сигнала") и 16.3 ("Оценка рисков и новой информации").</w:t>
            </w:r>
          </w:p>
          <w:p>
            <w:pPr>
              <w:spacing w:after="20"/>
              <w:ind w:left="20"/>
              <w:jc w:val="both"/>
            </w:pPr>
            <w:r>
              <w:rPr>
                <w:rFonts w:ascii="Times New Roman"/>
                <w:b w:val="false"/>
                <w:i w:val="false"/>
                <w:color w:val="000000"/>
                <w:sz w:val="20"/>
              </w:rPr>
              <w:t>
   8.5.16. Раздел ПОБ "Сигналы и оценка риска"</w:t>
            </w:r>
          </w:p>
          <w:p>
            <w:pPr>
              <w:spacing w:after="20"/>
              <w:ind w:left="20"/>
              <w:jc w:val="both"/>
            </w:pPr>
            <w:r>
              <w:rPr>
                <w:rFonts w:ascii="Times New Roman"/>
                <w:b w:val="false"/>
                <w:i w:val="false"/>
                <w:color w:val="000000"/>
                <w:sz w:val="20"/>
              </w:rPr>
              <w:t>
   8.5.16.1. Подраздел ПОБ "Обобщенная информация по проблемам безопасности"</w:t>
            </w:r>
          </w:p>
          <w:p>
            <w:pPr>
              <w:spacing w:after="20"/>
              <w:ind w:left="20"/>
              <w:jc w:val="both"/>
            </w:pPr>
            <w:r>
              <w:rPr>
                <w:rFonts w:ascii="Times New Roman"/>
                <w:b w:val="false"/>
                <w:i w:val="false"/>
                <w:color w:val="000000"/>
                <w:sz w:val="20"/>
              </w:rPr>
              <w:t>
   Целью подраздела является представление базисной обобщающей информации по важным аспектам профиля безопасности, представляющим проблемы по безопасности, с указанием по каждой проблеме по безопасности какая новая информация и оценка по данным аспектам осуществляется. При определении важности каждого из аспектов риска учитывают следующие факторы:</w:t>
            </w:r>
          </w:p>
          <w:p>
            <w:pPr>
              <w:spacing w:after="20"/>
              <w:ind w:left="20"/>
              <w:jc w:val="both"/>
            </w:pPr>
            <w:r>
              <w:rPr>
                <w:rFonts w:ascii="Times New Roman"/>
                <w:b w:val="false"/>
                <w:i w:val="false"/>
                <w:color w:val="000000"/>
                <w:sz w:val="20"/>
              </w:rPr>
              <w:t>
   1) серьезность риска с медицинской точки зрения, включая влияние на индивидуальное состояние пациентов;</w:t>
            </w:r>
          </w:p>
          <w:p>
            <w:pPr>
              <w:spacing w:after="20"/>
              <w:ind w:left="20"/>
              <w:jc w:val="both"/>
            </w:pPr>
            <w:r>
              <w:rPr>
                <w:rFonts w:ascii="Times New Roman"/>
                <w:b w:val="false"/>
                <w:i w:val="false"/>
                <w:color w:val="000000"/>
                <w:sz w:val="20"/>
              </w:rPr>
              <w:t>
   2) частота, предсказуемость, предотвратимость и обратимость;</w:t>
            </w:r>
          </w:p>
          <w:p>
            <w:pPr>
              <w:spacing w:after="20"/>
              <w:ind w:left="20"/>
              <w:jc w:val="both"/>
            </w:pPr>
            <w:r>
              <w:rPr>
                <w:rFonts w:ascii="Times New Roman"/>
                <w:b w:val="false"/>
                <w:i w:val="false"/>
                <w:color w:val="000000"/>
                <w:sz w:val="20"/>
              </w:rPr>
              <w:t xml:space="preserve">
   3) потенциальное влияние на общественное здоровье (частота в популяции; размер популяции, подвергшийся воздействию); и </w:t>
            </w:r>
          </w:p>
          <w:p>
            <w:pPr>
              <w:spacing w:after="20"/>
              <w:ind w:left="20"/>
              <w:jc w:val="both"/>
            </w:pPr>
            <w:r>
              <w:rPr>
                <w:rFonts w:ascii="Times New Roman"/>
                <w:b w:val="false"/>
                <w:i w:val="false"/>
                <w:color w:val="000000"/>
                <w:sz w:val="20"/>
              </w:rPr>
              <w:t>
   4) общественное принятие риска в случаях влияния на общественное здоровье (отказ от программы вакцинации).</w:t>
            </w:r>
          </w:p>
          <w:p>
            <w:pPr>
              <w:spacing w:after="20"/>
              <w:ind w:left="20"/>
              <w:jc w:val="both"/>
            </w:pPr>
            <w:r>
              <w:rPr>
                <w:rFonts w:ascii="Times New Roman"/>
                <w:b w:val="false"/>
                <w:i w:val="false"/>
                <w:color w:val="000000"/>
                <w:sz w:val="20"/>
              </w:rPr>
              <w:t>
   Обобщающая информация представляет имеющиеся сведения по лекарственному препарату от начала отчетного периода ПОБ и отражает:</w:t>
            </w:r>
          </w:p>
          <w:p>
            <w:pPr>
              <w:spacing w:after="20"/>
              <w:ind w:left="20"/>
              <w:jc w:val="both"/>
            </w:pPr>
            <w:r>
              <w:rPr>
                <w:rFonts w:ascii="Times New Roman"/>
                <w:b w:val="false"/>
                <w:i w:val="false"/>
                <w:color w:val="000000"/>
                <w:sz w:val="20"/>
              </w:rPr>
              <w:t>
   1) важные идентифицированные риски;</w:t>
            </w:r>
          </w:p>
          <w:p>
            <w:pPr>
              <w:spacing w:after="20"/>
              <w:ind w:left="20"/>
              <w:jc w:val="both"/>
            </w:pPr>
            <w:r>
              <w:rPr>
                <w:rFonts w:ascii="Times New Roman"/>
                <w:b w:val="false"/>
                <w:i w:val="false"/>
                <w:color w:val="000000"/>
                <w:sz w:val="20"/>
              </w:rPr>
              <w:t>
   2) важные потенциальные риски;</w:t>
            </w:r>
          </w:p>
          <w:p>
            <w:pPr>
              <w:spacing w:after="20"/>
              <w:ind w:left="20"/>
              <w:jc w:val="both"/>
            </w:pPr>
            <w:r>
              <w:rPr>
                <w:rFonts w:ascii="Times New Roman"/>
                <w:b w:val="false"/>
                <w:i w:val="false"/>
                <w:color w:val="000000"/>
                <w:sz w:val="20"/>
              </w:rPr>
              <w:t>
   3) важную отсутствующую информацию.</w:t>
            </w:r>
          </w:p>
          <w:p>
            <w:pPr>
              <w:spacing w:after="20"/>
              <w:ind w:left="20"/>
              <w:jc w:val="both"/>
            </w:pPr>
            <w:r>
              <w:rPr>
                <w:rFonts w:ascii="Times New Roman"/>
                <w:b w:val="false"/>
                <w:i w:val="false"/>
                <w:color w:val="000000"/>
                <w:sz w:val="20"/>
              </w:rPr>
              <w:t>
   Для лекарственных препаратов, имеющих спецификацию по безопасности, информация, включаемая в данный подраздел, соответствует обобщающей информации, представленной в текущей версии спецификации по безопасности на момент начала отчетного периода ПОБ.</w:t>
            </w:r>
          </w:p>
          <w:p>
            <w:pPr>
              <w:spacing w:after="20"/>
              <w:ind w:left="20"/>
              <w:jc w:val="both"/>
            </w:pPr>
            <w:r>
              <w:rPr>
                <w:rFonts w:ascii="Times New Roman"/>
                <w:b w:val="false"/>
                <w:i w:val="false"/>
                <w:color w:val="000000"/>
                <w:sz w:val="20"/>
              </w:rPr>
              <w:t>
   Для лекарственных препаратов, не имеющих спецификацию по безопасности, данный подраздел представлять информацию по важным идентифицированным, потенциальным рискам и важной отсутствующей информации, связанной с применением лекарственного препарата на основании данных до- и пострегистрационного периода. Примеры включают следующую информацию:</w:t>
            </w:r>
          </w:p>
          <w:p>
            <w:pPr>
              <w:spacing w:after="20"/>
              <w:ind w:left="20"/>
              <w:jc w:val="both"/>
            </w:pPr>
            <w:r>
              <w:rPr>
                <w:rFonts w:ascii="Times New Roman"/>
                <w:b w:val="false"/>
                <w:i w:val="false"/>
                <w:color w:val="000000"/>
                <w:sz w:val="20"/>
              </w:rPr>
              <w:t>
   1) важные нежелательные реакции;</w:t>
            </w:r>
          </w:p>
          <w:p>
            <w:pPr>
              <w:spacing w:after="20"/>
              <w:ind w:left="20"/>
              <w:jc w:val="both"/>
            </w:pPr>
            <w:r>
              <w:rPr>
                <w:rFonts w:ascii="Times New Roman"/>
                <w:b w:val="false"/>
                <w:i w:val="false"/>
                <w:color w:val="000000"/>
                <w:sz w:val="20"/>
              </w:rPr>
              <w:t>
   2) взаимодействия с другими лекарственными препаратами;</w:t>
            </w:r>
          </w:p>
          <w:p>
            <w:pPr>
              <w:spacing w:after="20"/>
              <w:ind w:left="20"/>
              <w:jc w:val="both"/>
            </w:pPr>
            <w:r>
              <w:rPr>
                <w:rFonts w:ascii="Times New Roman"/>
                <w:b w:val="false"/>
                <w:i w:val="false"/>
                <w:color w:val="000000"/>
                <w:sz w:val="20"/>
              </w:rPr>
              <w:t>
   3) выявленные медицинские ошибки, в случаях, не сопровождавшихся развитием нежелательных реакций;</w:t>
            </w:r>
          </w:p>
          <w:p>
            <w:pPr>
              <w:spacing w:after="20"/>
              <w:ind w:left="20"/>
              <w:jc w:val="both"/>
            </w:pPr>
            <w:r>
              <w:rPr>
                <w:rFonts w:ascii="Times New Roman"/>
                <w:b w:val="false"/>
                <w:i w:val="false"/>
                <w:color w:val="000000"/>
                <w:sz w:val="20"/>
              </w:rPr>
              <w:t>
   4) взаимодействия с продуктами питания или иными веществами;</w:t>
            </w:r>
          </w:p>
          <w:p>
            <w:pPr>
              <w:spacing w:after="20"/>
              <w:ind w:left="20"/>
              <w:jc w:val="both"/>
            </w:pPr>
            <w:r>
              <w:rPr>
                <w:rFonts w:ascii="Times New Roman"/>
                <w:b w:val="false"/>
                <w:i w:val="false"/>
                <w:color w:val="000000"/>
                <w:sz w:val="20"/>
              </w:rPr>
              <w:t>
   5) результаты воздействия при выполнении профессиональной деятельности;</w:t>
            </w:r>
          </w:p>
          <w:p>
            <w:pPr>
              <w:spacing w:after="20"/>
              <w:ind w:left="20"/>
              <w:jc w:val="both"/>
            </w:pPr>
            <w:r>
              <w:rPr>
                <w:rFonts w:ascii="Times New Roman"/>
                <w:b w:val="false"/>
                <w:i w:val="false"/>
                <w:color w:val="000000"/>
                <w:sz w:val="20"/>
              </w:rPr>
              <w:t>
   6) классовые фармакологические эффекты.</w:t>
            </w:r>
          </w:p>
          <w:p>
            <w:pPr>
              <w:spacing w:after="20"/>
              <w:ind w:left="20"/>
              <w:jc w:val="both"/>
            </w:pPr>
            <w:r>
              <w:rPr>
                <w:rFonts w:ascii="Times New Roman"/>
                <w:b w:val="false"/>
                <w:i w:val="false"/>
                <w:color w:val="000000"/>
                <w:sz w:val="20"/>
              </w:rPr>
              <w:t>
   Обобщение по важной отсутствующей информации оценивает критичность пробелов в имеющихся знаниях по определенным аспектам профиля безопасности для целевых популяций.</w:t>
            </w:r>
          </w:p>
          <w:p>
            <w:pPr>
              <w:spacing w:after="20"/>
              <w:ind w:left="20"/>
              <w:jc w:val="both"/>
            </w:pPr>
            <w:r>
              <w:rPr>
                <w:rFonts w:ascii="Times New Roman"/>
                <w:b w:val="false"/>
                <w:i w:val="false"/>
                <w:color w:val="000000"/>
                <w:sz w:val="20"/>
              </w:rPr>
              <w:t>
   8.5.16.2. Подраздел ПОБ "Оценка сигнала"</w:t>
            </w:r>
          </w:p>
          <w:p>
            <w:pPr>
              <w:spacing w:after="20"/>
              <w:ind w:left="20"/>
              <w:jc w:val="both"/>
            </w:pPr>
            <w:r>
              <w:rPr>
                <w:rFonts w:ascii="Times New Roman"/>
                <w:b w:val="false"/>
                <w:i w:val="false"/>
                <w:color w:val="000000"/>
                <w:sz w:val="20"/>
              </w:rPr>
              <w:t>
   Информация, представляемая в разделе, обобщает результаты оценки сигналов по безопасности, которая была завершена в отчетный период; существуют две основные категории:</w:t>
            </w:r>
          </w:p>
          <w:p>
            <w:pPr>
              <w:spacing w:after="20"/>
              <w:ind w:left="20"/>
              <w:jc w:val="both"/>
            </w:pPr>
            <w:r>
              <w:rPr>
                <w:rFonts w:ascii="Times New Roman"/>
                <w:b w:val="false"/>
                <w:i w:val="false"/>
                <w:color w:val="000000"/>
                <w:sz w:val="20"/>
              </w:rPr>
              <w:t>
   1. сигналы, которые по результатам оценки, отнесенные к категории потенциальных или идентифицируемых рисков, включая отсутствие терапевтической эффективности. Такие завершенные сигналы описываются в разделе 16.3 ПОБ ("Оценка рисков и новой информации");</w:t>
            </w:r>
          </w:p>
          <w:p>
            <w:pPr>
              <w:spacing w:after="20"/>
              <w:ind w:left="20"/>
              <w:jc w:val="both"/>
            </w:pPr>
            <w:r>
              <w:rPr>
                <w:rFonts w:ascii="Times New Roman"/>
                <w:b w:val="false"/>
                <w:i w:val="false"/>
                <w:color w:val="000000"/>
                <w:sz w:val="20"/>
              </w:rPr>
              <w:t>
   2. сигналы, которые по результатам оценки отклонены как ложные сигналы на основании научной оценки имеющейся на момент проведения процедуры информации. По данной категории сигналов представляется описание каждого сигнала с целью обоснования его отклонения от категории сигнала. Такое описание включается в основной текст ПОБ или в приложение к отчету.</w:t>
            </w:r>
          </w:p>
          <w:p>
            <w:pPr>
              <w:spacing w:after="20"/>
              <w:ind w:left="20"/>
              <w:jc w:val="both"/>
            </w:pPr>
            <w:r>
              <w:rPr>
                <w:rFonts w:ascii="Times New Roman"/>
                <w:b w:val="false"/>
                <w:i w:val="false"/>
                <w:color w:val="000000"/>
                <w:sz w:val="20"/>
              </w:rPr>
              <w:t>
   Для сигналов, по которым завершена процедура оценки за отчетный период, рекомендуется соблюдение соответствия между объемом и детализацией данных по оценке сигнала и значимостью данного аспекта профиля безопасности для общественного здоровья, а также степенью достаточности доказательной базы. Данная информация включает следующие аспекты:</w:t>
            </w:r>
          </w:p>
          <w:p>
            <w:pPr>
              <w:spacing w:after="20"/>
              <w:ind w:left="20"/>
              <w:jc w:val="both"/>
            </w:pPr>
            <w:r>
              <w:rPr>
                <w:rFonts w:ascii="Times New Roman"/>
                <w:b w:val="false"/>
                <w:i w:val="false"/>
                <w:color w:val="000000"/>
                <w:sz w:val="20"/>
              </w:rPr>
              <w:t>
   1) источник или побудительный момент формирования сигнала;</w:t>
            </w:r>
          </w:p>
          <w:p>
            <w:pPr>
              <w:spacing w:after="20"/>
              <w:ind w:left="20"/>
              <w:jc w:val="both"/>
            </w:pPr>
            <w:r>
              <w:rPr>
                <w:rFonts w:ascii="Times New Roman"/>
                <w:b w:val="false"/>
                <w:i w:val="false"/>
                <w:color w:val="000000"/>
                <w:sz w:val="20"/>
              </w:rPr>
              <w:t>
   2) обоснование, имеющее отношение к оценке;</w:t>
            </w:r>
          </w:p>
          <w:p>
            <w:pPr>
              <w:spacing w:after="20"/>
              <w:ind w:left="20"/>
              <w:jc w:val="both"/>
            </w:pPr>
            <w:r>
              <w:rPr>
                <w:rFonts w:ascii="Times New Roman"/>
                <w:b w:val="false"/>
                <w:i w:val="false"/>
                <w:color w:val="000000"/>
                <w:sz w:val="20"/>
              </w:rPr>
              <w:t>
   3) методы оценки, включая источники данных, критерии поиска или аналитические подходы;</w:t>
            </w:r>
          </w:p>
          <w:p>
            <w:pPr>
              <w:spacing w:after="20"/>
              <w:ind w:left="20"/>
              <w:jc w:val="both"/>
            </w:pPr>
            <w:r>
              <w:rPr>
                <w:rFonts w:ascii="Times New Roman"/>
                <w:b w:val="false"/>
                <w:i w:val="false"/>
                <w:color w:val="000000"/>
                <w:sz w:val="20"/>
              </w:rPr>
              <w:t>
   4) результаты: обобщенная информация по критическому анализу данных, рассматриваемых при оценке сигнала;</w:t>
            </w:r>
          </w:p>
          <w:p>
            <w:pPr>
              <w:spacing w:after="20"/>
              <w:ind w:left="20"/>
              <w:jc w:val="both"/>
            </w:pPr>
            <w:r>
              <w:rPr>
                <w:rFonts w:ascii="Times New Roman"/>
                <w:b w:val="false"/>
                <w:i w:val="false"/>
                <w:color w:val="000000"/>
                <w:sz w:val="20"/>
              </w:rPr>
              <w:t>
   5) обсуждение;</w:t>
            </w:r>
          </w:p>
          <w:p>
            <w:pPr>
              <w:spacing w:after="20"/>
              <w:ind w:left="20"/>
              <w:jc w:val="both"/>
            </w:pPr>
            <w:r>
              <w:rPr>
                <w:rFonts w:ascii="Times New Roman"/>
                <w:b w:val="false"/>
                <w:i w:val="false"/>
                <w:color w:val="000000"/>
                <w:sz w:val="20"/>
              </w:rPr>
              <w:t>
   6) заключение, включая предлагаемые действия.</w:t>
            </w:r>
          </w:p>
          <w:p>
            <w:pPr>
              <w:spacing w:after="20"/>
              <w:ind w:left="20"/>
              <w:jc w:val="both"/>
            </w:pPr>
            <w:r>
              <w:rPr>
                <w:rFonts w:ascii="Times New Roman"/>
                <w:b w:val="false"/>
                <w:i w:val="false"/>
                <w:color w:val="000000"/>
                <w:sz w:val="20"/>
              </w:rPr>
              <w:t>
   8.5.16.3. Подраздел ПОБ "Оценка рисков и новой информации"</w:t>
            </w:r>
          </w:p>
          <w:p>
            <w:pPr>
              <w:spacing w:after="20"/>
              <w:ind w:left="20"/>
              <w:jc w:val="both"/>
            </w:pPr>
            <w:r>
              <w:rPr>
                <w:rFonts w:ascii="Times New Roman"/>
                <w:b w:val="false"/>
                <w:i w:val="false"/>
                <w:color w:val="000000"/>
                <w:sz w:val="20"/>
              </w:rPr>
              <w:t>
   Держатель регистрационного удостоверения представляет критическую оценку новой информации за отчетный период в отношении новых или ранее выявленных рисков (важную или иную).</w:t>
            </w:r>
          </w:p>
          <w:p>
            <w:pPr>
              <w:spacing w:after="20"/>
              <w:ind w:left="20"/>
              <w:jc w:val="both"/>
            </w:pPr>
            <w:r>
              <w:rPr>
                <w:rFonts w:ascii="Times New Roman"/>
                <w:b w:val="false"/>
                <w:i w:val="false"/>
                <w:color w:val="000000"/>
                <w:sz w:val="20"/>
              </w:rPr>
              <w:t>
   Данный подраздел ПОБ содержит описание и оценку всех рисков, выявленных за отчетный период, а также оценку влияния новых данных на ранее выявленные риски. В раздел не содержит обобщающую или повторяющую информацию, включенную в другие разделы ПОБ, но представляется интерпретация и оценка новой информации применительно к характеристике профиля риска.</w:t>
            </w:r>
          </w:p>
          <w:p>
            <w:pPr>
              <w:spacing w:after="20"/>
              <w:ind w:left="20"/>
              <w:jc w:val="both"/>
            </w:pPr>
            <w:r>
              <w:rPr>
                <w:rFonts w:ascii="Times New Roman"/>
                <w:b w:val="false"/>
                <w:i w:val="false"/>
                <w:color w:val="000000"/>
                <w:sz w:val="20"/>
              </w:rPr>
              <w:t>
   Новая информация представляется по следующим видам:</w:t>
            </w:r>
          </w:p>
          <w:p>
            <w:pPr>
              <w:spacing w:after="20"/>
              <w:ind w:left="20"/>
              <w:jc w:val="both"/>
            </w:pPr>
            <w:r>
              <w:rPr>
                <w:rFonts w:ascii="Times New Roman"/>
                <w:b w:val="false"/>
                <w:i w:val="false"/>
                <w:color w:val="000000"/>
                <w:sz w:val="20"/>
              </w:rPr>
              <w:t>
   1. новые потенциальные риски;</w:t>
            </w:r>
          </w:p>
          <w:p>
            <w:pPr>
              <w:spacing w:after="20"/>
              <w:ind w:left="20"/>
              <w:jc w:val="both"/>
            </w:pPr>
            <w:r>
              <w:rPr>
                <w:rFonts w:ascii="Times New Roman"/>
                <w:b w:val="false"/>
                <w:i w:val="false"/>
                <w:color w:val="000000"/>
                <w:sz w:val="20"/>
              </w:rPr>
              <w:t>
   2. новые идентифицированные риски;</w:t>
            </w:r>
          </w:p>
          <w:p>
            <w:pPr>
              <w:spacing w:after="20"/>
              <w:ind w:left="20"/>
              <w:jc w:val="both"/>
            </w:pPr>
            <w:r>
              <w:rPr>
                <w:rFonts w:ascii="Times New Roman"/>
                <w:b w:val="false"/>
                <w:i w:val="false"/>
                <w:color w:val="000000"/>
                <w:sz w:val="20"/>
              </w:rPr>
              <w:t>
   3. новая информация по ранее выявленным рискам (потенциальным и идентифицированным);</w:t>
            </w:r>
          </w:p>
          <w:p>
            <w:pPr>
              <w:spacing w:after="20"/>
              <w:ind w:left="20"/>
              <w:jc w:val="both"/>
            </w:pPr>
            <w:r>
              <w:rPr>
                <w:rFonts w:ascii="Times New Roman"/>
                <w:b w:val="false"/>
                <w:i w:val="false"/>
                <w:color w:val="000000"/>
                <w:sz w:val="20"/>
              </w:rPr>
              <w:t>
   4. обновление по важной отсутствующей информации.</w:t>
            </w:r>
          </w:p>
          <w:p>
            <w:pPr>
              <w:spacing w:after="20"/>
              <w:ind w:left="20"/>
              <w:jc w:val="both"/>
            </w:pPr>
            <w:r>
              <w:rPr>
                <w:rFonts w:ascii="Times New Roman"/>
                <w:b w:val="false"/>
                <w:i w:val="false"/>
                <w:color w:val="000000"/>
                <w:sz w:val="20"/>
              </w:rPr>
              <w:t>
   Представляется краткое описание важных рисков. Для рисков, относимых к иным и не относимых к "важным" рискам, по которым получена новая информация за отчетный период, уровень детализации соответствует имеющейся доказательной базе по данному риску и значимости его влияния на общественное здоровье.</w:t>
            </w:r>
          </w:p>
          <w:p>
            <w:pPr>
              <w:spacing w:after="20"/>
              <w:ind w:left="20"/>
              <w:jc w:val="both"/>
            </w:pPr>
            <w:r>
              <w:rPr>
                <w:rFonts w:ascii="Times New Roman"/>
                <w:b w:val="false"/>
                <w:i w:val="false"/>
                <w:color w:val="000000"/>
                <w:sz w:val="20"/>
              </w:rPr>
              <w:t>
   Вся новая информация по влиянию лекарственного препарата на популяцию, либо данные по ранее отсутствующей информации подвергаются критической оценке. Указываются невыясненные аспекты профилей безопасности, вызывающие опасения и неясные аспекты профиля безопасности,.</w:t>
            </w:r>
          </w:p>
          <w:p>
            <w:pPr>
              <w:spacing w:after="20"/>
              <w:ind w:left="20"/>
              <w:jc w:val="both"/>
            </w:pPr>
            <w:r>
              <w:rPr>
                <w:rFonts w:ascii="Times New Roman"/>
                <w:b w:val="false"/>
                <w:i w:val="false"/>
                <w:color w:val="000000"/>
                <w:sz w:val="20"/>
              </w:rPr>
              <w:t>
   8.5.16.4. Подраздел ПОБ "Характеристика рисков"</w:t>
            </w:r>
          </w:p>
          <w:p>
            <w:pPr>
              <w:spacing w:after="20"/>
              <w:ind w:left="20"/>
              <w:jc w:val="both"/>
            </w:pPr>
            <w:r>
              <w:rPr>
                <w:rFonts w:ascii="Times New Roman"/>
                <w:b w:val="false"/>
                <w:i w:val="false"/>
                <w:color w:val="000000"/>
                <w:sz w:val="20"/>
              </w:rPr>
              <w:t>
   В подразделе описывается характеристика важных идентифицированных рисков и важных потенциальных рисков на основании кумулятивных данных (в том числе не ограничиваемых отчетным периодом) и описывается важная отсутствующая информация.</w:t>
            </w:r>
          </w:p>
          <w:p>
            <w:pPr>
              <w:spacing w:after="20"/>
              <w:ind w:left="20"/>
              <w:jc w:val="both"/>
            </w:pPr>
            <w:r>
              <w:rPr>
                <w:rFonts w:ascii="Times New Roman"/>
                <w:b w:val="false"/>
                <w:i w:val="false"/>
                <w:color w:val="000000"/>
                <w:sz w:val="20"/>
              </w:rPr>
              <w:t>
   В случае, когда это применимо, принимая во внимание источник данных, информация по рискам включает следующее:</w:t>
            </w:r>
          </w:p>
          <w:p>
            <w:pPr>
              <w:spacing w:after="20"/>
              <w:ind w:left="20"/>
              <w:jc w:val="both"/>
            </w:pPr>
            <w:r>
              <w:rPr>
                <w:rFonts w:ascii="Times New Roman"/>
                <w:b w:val="false"/>
                <w:i w:val="false"/>
                <w:color w:val="000000"/>
                <w:sz w:val="20"/>
              </w:rPr>
              <w:t>
   1) частота;</w:t>
            </w:r>
          </w:p>
          <w:p>
            <w:pPr>
              <w:spacing w:after="20"/>
              <w:ind w:left="20"/>
              <w:jc w:val="both"/>
            </w:pPr>
            <w:r>
              <w:rPr>
                <w:rFonts w:ascii="Times New Roman"/>
                <w:b w:val="false"/>
                <w:i w:val="false"/>
                <w:color w:val="000000"/>
                <w:sz w:val="20"/>
              </w:rPr>
              <w:t>
   2) число выявленных случаев (нумератор); точность оценки, принимая во внимание источник данных;</w:t>
            </w:r>
          </w:p>
          <w:p>
            <w:pPr>
              <w:spacing w:after="20"/>
              <w:ind w:left="20"/>
              <w:jc w:val="both"/>
            </w:pPr>
            <w:r>
              <w:rPr>
                <w:rFonts w:ascii="Times New Roman"/>
                <w:b w:val="false"/>
                <w:i w:val="false"/>
                <w:color w:val="000000"/>
                <w:sz w:val="20"/>
              </w:rPr>
              <w:t>
   3) объем назначений (деноминатор), выраженное как число пациентов, пациент-месяцев-лет; точность оценки;</w:t>
            </w:r>
          </w:p>
          <w:p>
            <w:pPr>
              <w:spacing w:after="20"/>
              <w:ind w:left="20"/>
              <w:jc w:val="both"/>
            </w:pPr>
            <w:r>
              <w:rPr>
                <w:rFonts w:ascii="Times New Roman"/>
                <w:b w:val="false"/>
                <w:i w:val="false"/>
                <w:color w:val="000000"/>
                <w:sz w:val="20"/>
              </w:rPr>
              <w:t>
   4) оценка относительного риска и точность оценки;</w:t>
            </w:r>
          </w:p>
          <w:p>
            <w:pPr>
              <w:spacing w:after="20"/>
              <w:ind w:left="20"/>
              <w:jc w:val="both"/>
            </w:pPr>
            <w:r>
              <w:rPr>
                <w:rFonts w:ascii="Times New Roman"/>
                <w:b w:val="false"/>
                <w:i w:val="false"/>
                <w:color w:val="000000"/>
                <w:sz w:val="20"/>
              </w:rPr>
              <w:t>
   5) оценка абсолютного риска и точность оценки;</w:t>
            </w:r>
          </w:p>
          <w:p>
            <w:pPr>
              <w:spacing w:after="20"/>
              <w:ind w:left="20"/>
              <w:jc w:val="both"/>
            </w:pPr>
            <w:r>
              <w:rPr>
                <w:rFonts w:ascii="Times New Roman"/>
                <w:b w:val="false"/>
                <w:i w:val="false"/>
                <w:color w:val="000000"/>
                <w:sz w:val="20"/>
              </w:rPr>
              <w:t>
   6) влияние на пациента (влияние на симптомы, качество жизни);</w:t>
            </w:r>
          </w:p>
          <w:p>
            <w:pPr>
              <w:spacing w:after="20"/>
              <w:ind w:left="20"/>
              <w:jc w:val="both"/>
            </w:pPr>
            <w:r>
              <w:rPr>
                <w:rFonts w:ascii="Times New Roman"/>
                <w:b w:val="false"/>
                <w:i w:val="false"/>
                <w:color w:val="000000"/>
                <w:sz w:val="20"/>
              </w:rPr>
              <w:t>
   7) влияние на общественное здоровье;</w:t>
            </w:r>
          </w:p>
          <w:p>
            <w:pPr>
              <w:spacing w:after="20"/>
              <w:ind w:left="20"/>
              <w:jc w:val="both"/>
            </w:pPr>
            <w:r>
              <w:rPr>
                <w:rFonts w:ascii="Times New Roman"/>
                <w:b w:val="false"/>
                <w:i w:val="false"/>
                <w:color w:val="000000"/>
                <w:sz w:val="20"/>
              </w:rPr>
              <w:t xml:space="preserve">
   8) факторы риска (индивидуальные факторы риска (рассматривается возраст, беременность, лактация, нарушение функции печени (почек), значимая сопутствующая патология, степень тяжести заболеваний, генетический полиморфизм, расовая и (или) этническая принадлежность), дозы); </w:t>
            </w:r>
          </w:p>
          <w:p>
            <w:pPr>
              <w:spacing w:after="20"/>
              <w:ind w:left="20"/>
              <w:jc w:val="both"/>
            </w:pPr>
            <w:r>
              <w:rPr>
                <w:rFonts w:ascii="Times New Roman"/>
                <w:b w:val="false"/>
                <w:i w:val="false"/>
                <w:color w:val="000000"/>
                <w:sz w:val="20"/>
              </w:rPr>
              <w:t>
   9) продолжительность лечения, период риска;</w:t>
            </w:r>
          </w:p>
          <w:p>
            <w:pPr>
              <w:spacing w:after="20"/>
              <w:ind w:left="20"/>
              <w:jc w:val="both"/>
            </w:pPr>
            <w:r>
              <w:rPr>
                <w:rFonts w:ascii="Times New Roman"/>
                <w:b w:val="false"/>
                <w:i w:val="false"/>
                <w:color w:val="000000"/>
                <w:sz w:val="20"/>
              </w:rPr>
              <w:t>
   10) предотвратимость (оценивается предсказуемость, возможность мониторировать состояние по индикаторным симптомам или лабораторным параметрам);</w:t>
            </w:r>
          </w:p>
          <w:p>
            <w:pPr>
              <w:spacing w:after="20"/>
              <w:ind w:left="20"/>
              <w:jc w:val="both"/>
            </w:pPr>
            <w:r>
              <w:rPr>
                <w:rFonts w:ascii="Times New Roman"/>
                <w:b w:val="false"/>
                <w:i w:val="false"/>
                <w:color w:val="000000"/>
                <w:sz w:val="20"/>
              </w:rPr>
              <w:t>
   11) обратимость;</w:t>
            </w:r>
          </w:p>
          <w:p>
            <w:pPr>
              <w:spacing w:after="20"/>
              <w:ind w:left="20"/>
              <w:jc w:val="both"/>
            </w:pPr>
            <w:r>
              <w:rPr>
                <w:rFonts w:ascii="Times New Roman"/>
                <w:b w:val="false"/>
                <w:i w:val="false"/>
                <w:color w:val="000000"/>
                <w:sz w:val="20"/>
              </w:rPr>
              <w:t>
   12) потенциальный механизм;</w:t>
            </w:r>
          </w:p>
          <w:p>
            <w:pPr>
              <w:spacing w:after="20"/>
              <w:ind w:left="20"/>
              <w:jc w:val="both"/>
            </w:pPr>
            <w:r>
              <w:rPr>
                <w:rFonts w:ascii="Times New Roman"/>
                <w:b w:val="false"/>
                <w:i w:val="false"/>
                <w:color w:val="000000"/>
                <w:sz w:val="20"/>
              </w:rPr>
              <w:t>
   13) уровень доказательности и неопределенности, включая анализ противоречащих фактов при их наличии.</w:t>
            </w:r>
          </w:p>
          <w:p>
            <w:pPr>
              <w:spacing w:after="20"/>
              <w:ind w:left="20"/>
              <w:jc w:val="both"/>
            </w:pPr>
            <w:r>
              <w:rPr>
                <w:rFonts w:ascii="Times New Roman"/>
                <w:b w:val="false"/>
                <w:i w:val="false"/>
                <w:color w:val="000000"/>
                <w:sz w:val="20"/>
              </w:rPr>
              <w:t>
   При подготовке ПОБ для лекарственных препаратов с несколькими показаниями, формами выпуска или способами введения, в случае наличия существенных различий по идентифицированным и потенциальным рискам, считается обоснованным представление данных по рискам раздельно по показаниям, формам выпуска или способам введения. Представляются следующие разделы:</w:t>
            </w:r>
          </w:p>
          <w:p>
            <w:pPr>
              <w:spacing w:after="20"/>
              <w:ind w:left="20"/>
              <w:jc w:val="both"/>
            </w:pPr>
            <w:r>
              <w:rPr>
                <w:rFonts w:ascii="Times New Roman"/>
                <w:b w:val="false"/>
                <w:i w:val="false"/>
                <w:color w:val="000000"/>
                <w:sz w:val="20"/>
              </w:rPr>
              <w:t>
   1) риски, характерные для действующего вещества;</w:t>
            </w:r>
          </w:p>
          <w:p>
            <w:pPr>
              <w:spacing w:after="20"/>
              <w:ind w:left="20"/>
              <w:jc w:val="both"/>
            </w:pPr>
            <w:r>
              <w:rPr>
                <w:rFonts w:ascii="Times New Roman"/>
                <w:b w:val="false"/>
                <w:i w:val="false"/>
                <w:color w:val="000000"/>
                <w:sz w:val="20"/>
              </w:rPr>
              <w:t>
   2) риски, характерные для определенных форм выпуска или способов введения (включая воздействие при выполнении профессиональной деятельности);</w:t>
            </w:r>
          </w:p>
          <w:p>
            <w:pPr>
              <w:spacing w:after="20"/>
              <w:ind w:left="20"/>
              <w:jc w:val="both"/>
            </w:pPr>
            <w:r>
              <w:rPr>
                <w:rFonts w:ascii="Times New Roman"/>
                <w:b w:val="false"/>
                <w:i w:val="false"/>
                <w:color w:val="000000"/>
                <w:sz w:val="20"/>
              </w:rPr>
              <w:t>
   3) риски, характерные для определенных популяций;</w:t>
            </w:r>
          </w:p>
          <w:p>
            <w:pPr>
              <w:spacing w:after="20"/>
              <w:ind w:left="20"/>
              <w:jc w:val="both"/>
            </w:pPr>
            <w:r>
              <w:rPr>
                <w:rFonts w:ascii="Times New Roman"/>
                <w:b w:val="false"/>
                <w:i w:val="false"/>
                <w:color w:val="000000"/>
                <w:sz w:val="20"/>
              </w:rPr>
              <w:t>
   4) риски, связанные с применением без назначения врача (для действующих веществ, которые представлены в формах, отпускаемых по рецепту и без рецепта);</w:t>
            </w:r>
          </w:p>
          <w:p>
            <w:pPr>
              <w:spacing w:after="20"/>
              <w:ind w:left="20"/>
              <w:jc w:val="both"/>
            </w:pPr>
            <w:r>
              <w:rPr>
                <w:rFonts w:ascii="Times New Roman"/>
                <w:b w:val="false"/>
                <w:i w:val="false"/>
                <w:color w:val="000000"/>
                <w:sz w:val="20"/>
              </w:rPr>
              <w:t>
   5) проблемы по безопасности, связанные с отсутствием информации.</w:t>
            </w:r>
          </w:p>
          <w:p>
            <w:pPr>
              <w:spacing w:after="20"/>
              <w:ind w:left="20"/>
              <w:jc w:val="both"/>
            </w:pPr>
            <w:r>
              <w:rPr>
                <w:rFonts w:ascii="Times New Roman"/>
                <w:b w:val="false"/>
                <w:i w:val="false"/>
                <w:color w:val="000000"/>
                <w:sz w:val="20"/>
              </w:rPr>
              <w:t>
   8.5.16.5. Подраздел ПОБ "Эффективность мер минимизации риска (если применимо)"</w:t>
            </w:r>
          </w:p>
          <w:p>
            <w:pPr>
              <w:spacing w:after="20"/>
              <w:ind w:left="20"/>
              <w:jc w:val="both"/>
            </w:pPr>
            <w:r>
              <w:rPr>
                <w:rFonts w:ascii="Times New Roman"/>
                <w:b w:val="false"/>
                <w:i w:val="false"/>
                <w:color w:val="000000"/>
                <w:sz w:val="20"/>
              </w:rPr>
              <w:t>
   Меры минимизации риска включают в себя действия, направленные на предотвращение нежелательных реакций, связанных с воздействием лекарственного препарата, либо снижение степени их тяжести при возникновении. Целью деятельности по минимизации риска является снижение вероятности развития или степени тяжести нежелательных лекарственных реакций. Меры минимизации риска включают рутинные меры минимизации риска (изменения в инструкцию по медицинскому применению) или дополнительные меры минимизации риска (прямое информирование специалистов системы здравоохранении и (или) образовательные материалы).</w:t>
            </w:r>
          </w:p>
          <w:p>
            <w:pPr>
              <w:spacing w:after="20"/>
              <w:ind w:left="20"/>
              <w:jc w:val="both"/>
            </w:pPr>
            <w:r>
              <w:rPr>
                <w:rFonts w:ascii="Times New Roman"/>
                <w:b w:val="false"/>
                <w:i w:val="false"/>
                <w:color w:val="000000"/>
                <w:sz w:val="20"/>
              </w:rPr>
              <w:t>
   В подразделе представляются результаты оценки эффективности мер минимизации риска. В обобщенном виде представляется соответствующая информация по эффективности и (или) ограничениям конкретных мер минимизации риска по важным идентифицированным рискам, которая была получена за отчетный период. Результаты оценки за отчетный период представляются в приложении к отчету.</w:t>
            </w:r>
          </w:p>
          <w:p>
            <w:pPr>
              <w:spacing w:after="20"/>
              <w:ind w:left="20"/>
              <w:jc w:val="both"/>
            </w:pPr>
            <w:r>
              <w:rPr>
                <w:rFonts w:ascii="Times New Roman"/>
                <w:b w:val="false"/>
                <w:i w:val="false"/>
                <w:color w:val="000000"/>
                <w:sz w:val="20"/>
              </w:rPr>
              <w:t>
   8.5.17. Раздел ПОБ "Оценка пользы"</w:t>
            </w:r>
          </w:p>
          <w:p>
            <w:pPr>
              <w:spacing w:after="20"/>
              <w:ind w:left="20"/>
              <w:jc w:val="both"/>
            </w:pPr>
            <w:r>
              <w:rPr>
                <w:rFonts w:ascii="Times New Roman"/>
                <w:b w:val="false"/>
                <w:i w:val="false"/>
                <w:color w:val="000000"/>
                <w:sz w:val="20"/>
              </w:rPr>
              <w:t>
   8.5.17.1 Подраздел ПОБ "Важная базисная информация по эффективности в ходе клинических испытаний и применения в медицинской практике"</w:t>
            </w:r>
          </w:p>
          <w:p>
            <w:pPr>
              <w:spacing w:after="20"/>
              <w:ind w:left="20"/>
              <w:jc w:val="both"/>
            </w:pPr>
            <w:r>
              <w:rPr>
                <w:rFonts w:ascii="Times New Roman"/>
                <w:b w:val="false"/>
                <w:i w:val="false"/>
                <w:color w:val="000000"/>
                <w:sz w:val="20"/>
              </w:rPr>
              <w:t>
   В подразделе суммируется основная информация по эффективности лекарственного препарата в ходе клинических исследований и эффективность, продемонстрированная при применении в медицинской практике от начала отчетного периода. Данная информация относится к одобренным показаниям к применению.</w:t>
            </w:r>
          </w:p>
          <w:p>
            <w:pPr>
              <w:spacing w:after="20"/>
              <w:ind w:left="20"/>
              <w:jc w:val="both"/>
            </w:pPr>
            <w:r>
              <w:rPr>
                <w:rFonts w:ascii="Times New Roman"/>
                <w:b w:val="false"/>
                <w:i w:val="false"/>
                <w:color w:val="000000"/>
                <w:sz w:val="20"/>
              </w:rPr>
              <w:t>
   Для лекарственных препаратов с несколькими показаниями, целевыми популяциями и (или) способами введения польза характеризуется отдельно по каждому фактору.</w:t>
            </w:r>
          </w:p>
          <w:p>
            <w:pPr>
              <w:spacing w:after="20"/>
              <w:ind w:left="20"/>
              <w:jc w:val="both"/>
            </w:pPr>
            <w:r>
              <w:rPr>
                <w:rFonts w:ascii="Times New Roman"/>
                <w:b w:val="false"/>
                <w:i w:val="false"/>
                <w:color w:val="000000"/>
                <w:sz w:val="20"/>
              </w:rPr>
              <w:t>
   Для лекарственных препаратов, у которых за отчетный период выявлены существенные изменения профиля безопасности или эффективности, данный подраздел включает достаточную информацию по обоснованию обновленной характеристики пользы лекарственного препарата, отраженной в подразделе ПОБ 17.3 ("Характеристика пользы"). Содержание и степень детализации информации, представленной в разделе, варьирует по различным лекарственным препаратам, включая следующие аспекты, когда это применимо:</w:t>
            </w:r>
          </w:p>
          <w:p>
            <w:pPr>
              <w:spacing w:after="20"/>
              <w:ind w:left="20"/>
              <w:jc w:val="both"/>
            </w:pPr>
            <w:r>
              <w:rPr>
                <w:rFonts w:ascii="Times New Roman"/>
                <w:b w:val="false"/>
                <w:i w:val="false"/>
                <w:color w:val="000000"/>
                <w:sz w:val="20"/>
              </w:rPr>
              <w:t>
   1) эпидемиология и происхождение заболевания;</w:t>
            </w:r>
          </w:p>
          <w:p>
            <w:pPr>
              <w:spacing w:after="20"/>
              <w:ind w:left="20"/>
              <w:jc w:val="both"/>
            </w:pPr>
            <w:r>
              <w:rPr>
                <w:rFonts w:ascii="Times New Roman"/>
                <w:b w:val="false"/>
                <w:i w:val="false"/>
                <w:color w:val="000000"/>
                <w:sz w:val="20"/>
              </w:rPr>
              <w:t>
   2) характеристика пользы (диагностическое, профилактическое, симптоматическое, болезнь-модифицирующее);</w:t>
            </w:r>
          </w:p>
          <w:p>
            <w:pPr>
              <w:spacing w:after="20"/>
              <w:ind w:left="20"/>
              <w:jc w:val="both"/>
            </w:pPr>
            <w:r>
              <w:rPr>
                <w:rFonts w:ascii="Times New Roman"/>
                <w:b w:val="false"/>
                <w:i w:val="false"/>
                <w:color w:val="000000"/>
                <w:sz w:val="20"/>
              </w:rPr>
              <w:t>
   3) важные конечные точки, подтверждающие пользу (влияние на смертность, симптоматику, исходы);</w:t>
            </w:r>
          </w:p>
          <w:p>
            <w:pPr>
              <w:spacing w:after="20"/>
              <w:ind w:left="20"/>
              <w:jc w:val="both"/>
            </w:pPr>
            <w:r>
              <w:rPr>
                <w:rFonts w:ascii="Times New Roman"/>
                <w:b w:val="false"/>
                <w:i w:val="false"/>
                <w:color w:val="000000"/>
                <w:sz w:val="20"/>
              </w:rPr>
              <w:t>
   4) доказательства эффективности в клинических исследованиях и медицинской практике по сравнению с препаратом сравнения (сравнительные клинические исследования с активным контролем, мета-анализы, обсервационные исследования);</w:t>
            </w:r>
          </w:p>
          <w:p>
            <w:pPr>
              <w:spacing w:after="20"/>
              <w:ind w:left="20"/>
              <w:jc w:val="both"/>
            </w:pPr>
            <w:r>
              <w:rPr>
                <w:rFonts w:ascii="Times New Roman"/>
                <w:b w:val="false"/>
                <w:i w:val="false"/>
                <w:color w:val="000000"/>
                <w:sz w:val="20"/>
              </w:rPr>
              <w:t>
   5) тенденции и (или) доказательства пользы по важным популяционным подгруппам (возрастным, половым, этническим, по степени тяжести заболевания, генетическому полиморфизму) в случае, влияния на оценку соотношения польза-риск.</w:t>
            </w:r>
          </w:p>
          <w:p>
            <w:pPr>
              <w:spacing w:after="20"/>
              <w:ind w:left="20"/>
              <w:jc w:val="both"/>
            </w:pPr>
            <w:r>
              <w:rPr>
                <w:rFonts w:ascii="Times New Roman"/>
                <w:b w:val="false"/>
                <w:i w:val="false"/>
                <w:color w:val="000000"/>
                <w:sz w:val="20"/>
              </w:rPr>
              <w:t>
   8.5.17.2 Подраздел ПОБ "Новая выявленная информация по эффективности в ходе клинических исследований и применения в медицинской практике"</w:t>
            </w:r>
          </w:p>
          <w:p>
            <w:pPr>
              <w:spacing w:after="20"/>
              <w:ind w:left="20"/>
              <w:jc w:val="both"/>
            </w:pPr>
            <w:r>
              <w:rPr>
                <w:rFonts w:ascii="Times New Roman"/>
                <w:b w:val="false"/>
                <w:i w:val="false"/>
                <w:color w:val="000000"/>
                <w:sz w:val="20"/>
              </w:rPr>
              <w:t xml:space="preserve">
   Для некоторых лекарственных препаратов за отчетный период существуют случаи получения новой информации по эффективности в клинических исследованиях и медицинской практике, которая подлежит представлению в подразделе. Отдельная информация по доказательной базе в отношении не одобренных показаний по применению не включается в раздел, за исключением случаев, имеющих влияние на оценку соотношения польза-риск. </w:t>
            </w:r>
          </w:p>
          <w:p>
            <w:pPr>
              <w:spacing w:after="20"/>
              <w:ind w:left="20"/>
              <w:jc w:val="both"/>
            </w:pPr>
            <w:r>
              <w:rPr>
                <w:rFonts w:ascii="Times New Roman"/>
                <w:b w:val="false"/>
                <w:i w:val="false"/>
                <w:color w:val="000000"/>
                <w:sz w:val="20"/>
              </w:rPr>
              <w:t>
   Особое внимание в подразделе уделяется вакцинам, антиинфекционным и иным препаратам, для которых изменения терапевтической среды влияют на соотношение польза-риск с течением времени.</w:t>
            </w:r>
          </w:p>
          <w:p>
            <w:pPr>
              <w:spacing w:after="20"/>
              <w:ind w:left="20"/>
              <w:jc w:val="both"/>
            </w:pPr>
            <w:r>
              <w:rPr>
                <w:rFonts w:ascii="Times New Roman"/>
                <w:b w:val="false"/>
                <w:i w:val="false"/>
                <w:color w:val="000000"/>
                <w:sz w:val="20"/>
              </w:rPr>
              <w:t>
   Содержание и степень детализации информации, представляемой в данном разделе, варьирует в зависимости от лекарственного препарата; в случае отсутствия новой информации за отчетный период, ссылаются на раздел 17.1 ("Важная базисная информация по эффективности в клинических исследованиях и медицинской практике").</w:t>
            </w:r>
          </w:p>
          <w:p>
            <w:pPr>
              <w:spacing w:after="20"/>
              <w:ind w:left="20"/>
              <w:jc w:val="both"/>
            </w:pPr>
            <w:r>
              <w:rPr>
                <w:rFonts w:ascii="Times New Roman"/>
                <w:b w:val="false"/>
                <w:i w:val="false"/>
                <w:color w:val="000000"/>
                <w:sz w:val="20"/>
              </w:rPr>
              <w:t>
   8.5.17.3 Подраздел ПОБ "Характеристика пользы"</w:t>
            </w:r>
          </w:p>
          <w:p>
            <w:pPr>
              <w:spacing w:after="20"/>
              <w:ind w:left="20"/>
              <w:jc w:val="both"/>
            </w:pPr>
            <w:r>
              <w:rPr>
                <w:rFonts w:ascii="Times New Roman"/>
                <w:b w:val="false"/>
                <w:i w:val="false"/>
                <w:color w:val="000000"/>
                <w:sz w:val="20"/>
              </w:rPr>
              <w:t>
   В подразделе представляется объединенная информация по базисным и новым данным по терапевтической пользе, которые стали известны за отчетный период по одобренным показаниям.</w:t>
            </w:r>
          </w:p>
          <w:p>
            <w:pPr>
              <w:spacing w:after="20"/>
              <w:ind w:left="20"/>
              <w:jc w:val="both"/>
            </w:pPr>
            <w:r>
              <w:rPr>
                <w:rFonts w:ascii="Times New Roman"/>
                <w:b w:val="false"/>
                <w:i w:val="false"/>
                <w:color w:val="000000"/>
                <w:sz w:val="20"/>
              </w:rPr>
              <w:t>
   В случае отсутствия новых данных по профилю пользы и отсутствия значительных изменений профиля безопасности, данный подраздел содержит ссылку на подраздел 17.1 ("Важная базисная эффективность в клинических исследованиях и информация по эффективности в медицинской практике").</w:t>
            </w:r>
          </w:p>
          <w:p>
            <w:pPr>
              <w:spacing w:after="20"/>
              <w:ind w:left="20"/>
              <w:jc w:val="both"/>
            </w:pPr>
            <w:r>
              <w:rPr>
                <w:rFonts w:ascii="Times New Roman"/>
                <w:b w:val="false"/>
                <w:i w:val="false"/>
                <w:color w:val="000000"/>
                <w:sz w:val="20"/>
              </w:rPr>
              <w:t xml:space="preserve">
   В случае если за отчетный период получена новая информация по терапевтической пользе и нет значимых изменений профиля безопасности, в разделе кратко приводятся объединенные данные по базисной и новой информации. </w:t>
            </w:r>
          </w:p>
          <w:p>
            <w:pPr>
              <w:spacing w:after="20"/>
              <w:ind w:left="20"/>
              <w:jc w:val="both"/>
            </w:pPr>
            <w:r>
              <w:rPr>
                <w:rFonts w:ascii="Times New Roman"/>
                <w:b w:val="false"/>
                <w:i w:val="false"/>
                <w:color w:val="000000"/>
                <w:sz w:val="20"/>
              </w:rPr>
              <w:t>
   В случае наличия существенных изменений профиля безопасности, либо получения новых данных, предполагающих значительно меньший уровень терапевтической пользы по сравнению с изначально продемонстрированным, в разделе приводится краткая, но критическая оценка доказательной базы по безопасности и эффективности в ходе клинических исследований и медицинской практиие, с приведением данных по следующим аспектам:</w:t>
            </w:r>
          </w:p>
          <w:p>
            <w:pPr>
              <w:spacing w:after="20"/>
              <w:ind w:left="20"/>
              <w:jc w:val="both"/>
            </w:pPr>
            <w:r>
              <w:rPr>
                <w:rFonts w:ascii="Times New Roman"/>
                <w:b w:val="false"/>
                <w:i w:val="false"/>
                <w:color w:val="000000"/>
                <w:sz w:val="20"/>
              </w:rPr>
              <w:t>
   1) краткое описание доказательного уровня данных по терапевтической пользе; рассматривается сравнительный аспект эффективности, степень выраженности эффекта, правильность статистической обработки, слабые и сильные аспекты методологии, соответствие данных в разных исследованиях (испытаниях);</w:t>
            </w:r>
          </w:p>
          <w:p>
            <w:pPr>
              <w:spacing w:after="20"/>
              <w:ind w:left="20"/>
              <w:jc w:val="both"/>
            </w:pPr>
            <w:r>
              <w:rPr>
                <w:rFonts w:ascii="Times New Roman"/>
                <w:b w:val="false"/>
                <w:i w:val="false"/>
                <w:color w:val="000000"/>
                <w:sz w:val="20"/>
              </w:rPr>
              <w:t>
   2) новая информация, поставившая под сомнение суррогатные конечные точки, если таковые использовались;</w:t>
            </w:r>
          </w:p>
          <w:p>
            <w:pPr>
              <w:spacing w:after="20"/>
              <w:ind w:left="20"/>
              <w:jc w:val="both"/>
            </w:pPr>
            <w:r>
              <w:rPr>
                <w:rFonts w:ascii="Times New Roman"/>
                <w:b w:val="false"/>
                <w:i w:val="false"/>
                <w:color w:val="000000"/>
                <w:sz w:val="20"/>
              </w:rPr>
              <w:t>
   3) клиническая значимость выраженности терапевтического эффекта;</w:t>
            </w:r>
          </w:p>
          <w:p>
            <w:pPr>
              <w:spacing w:after="20"/>
              <w:ind w:left="20"/>
              <w:jc w:val="both"/>
            </w:pPr>
            <w:r>
              <w:rPr>
                <w:rFonts w:ascii="Times New Roman"/>
                <w:b w:val="false"/>
                <w:i w:val="false"/>
                <w:color w:val="000000"/>
                <w:sz w:val="20"/>
              </w:rPr>
              <w:t>
   4) обобщаемость терапевтического эффекта между целевыми подгруппами (информация о недостаточности терапевтического эффекта по какой-либо популяционной подгруппе);</w:t>
            </w:r>
          </w:p>
          <w:p>
            <w:pPr>
              <w:spacing w:after="20"/>
              <w:ind w:left="20"/>
              <w:jc w:val="both"/>
            </w:pPr>
            <w:r>
              <w:rPr>
                <w:rFonts w:ascii="Times New Roman"/>
                <w:b w:val="false"/>
                <w:i w:val="false"/>
                <w:color w:val="000000"/>
                <w:sz w:val="20"/>
              </w:rPr>
              <w:t>
   5) адекватность характеристики доза-терапевтический ответ;</w:t>
            </w:r>
          </w:p>
          <w:p>
            <w:pPr>
              <w:spacing w:after="20"/>
              <w:ind w:left="20"/>
              <w:jc w:val="both"/>
            </w:pPr>
            <w:r>
              <w:rPr>
                <w:rFonts w:ascii="Times New Roman"/>
                <w:b w:val="false"/>
                <w:i w:val="false"/>
                <w:color w:val="000000"/>
                <w:sz w:val="20"/>
              </w:rPr>
              <w:t>
   6) продолжительность эффекта;</w:t>
            </w:r>
          </w:p>
          <w:p>
            <w:pPr>
              <w:spacing w:after="20"/>
              <w:ind w:left="20"/>
              <w:jc w:val="both"/>
            </w:pPr>
            <w:r>
              <w:rPr>
                <w:rFonts w:ascii="Times New Roman"/>
                <w:b w:val="false"/>
                <w:i w:val="false"/>
                <w:color w:val="000000"/>
                <w:sz w:val="20"/>
              </w:rPr>
              <w:t>
   7) сравнительная эффективность; и</w:t>
            </w:r>
          </w:p>
          <w:p>
            <w:pPr>
              <w:spacing w:after="20"/>
              <w:ind w:left="20"/>
              <w:jc w:val="both"/>
            </w:pPr>
            <w:r>
              <w:rPr>
                <w:rFonts w:ascii="Times New Roman"/>
                <w:b w:val="false"/>
                <w:i w:val="false"/>
                <w:color w:val="000000"/>
                <w:sz w:val="20"/>
              </w:rPr>
              <w:t>
   8) определение степени, в которой данные по эффективности, полученные в клинических исследованиях, обобщаются с популяцией, в которой применяется лекарственный препарат в медицинской практике.</w:t>
            </w:r>
          </w:p>
          <w:p>
            <w:pPr>
              <w:spacing w:after="20"/>
              <w:ind w:left="20"/>
              <w:jc w:val="both"/>
            </w:pPr>
            <w:r>
              <w:rPr>
                <w:rFonts w:ascii="Times New Roman"/>
                <w:b w:val="false"/>
                <w:i w:val="false"/>
                <w:color w:val="000000"/>
                <w:sz w:val="20"/>
              </w:rPr>
              <w:t>
   8.5.18. Раздел ПОБ "Интегрированный анализ соотношения польза-риск по одобренным показаниям"</w:t>
            </w:r>
          </w:p>
          <w:p>
            <w:pPr>
              <w:spacing w:after="20"/>
              <w:ind w:left="20"/>
              <w:jc w:val="both"/>
            </w:pPr>
            <w:r>
              <w:rPr>
                <w:rFonts w:ascii="Times New Roman"/>
                <w:b w:val="false"/>
                <w:i w:val="false"/>
                <w:color w:val="000000"/>
                <w:sz w:val="20"/>
              </w:rPr>
              <w:t>
   В разделе держателем регистрационного удостоверения представляется обобщенная оценка пользы и риска лекарственного препарата при его применении в клинической практике. Представляется критический анализ и объединенная информация по предыдущим разделам в части пользы и риска без дублирования с информацией в разделах 16.3 ("Оценка рисков и новой информации") и 17.3 ("Характеристика пользы").</w:t>
            </w:r>
          </w:p>
          <w:p>
            <w:pPr>
              <w:spacing w:after="20"/>
              <w:ind w:left="20"/>
              <w:jc w:val="both"/>
            </w:pPr>
            <w:r>
              <w:rPr>
                <w:rFonts w:ascii="Times New Roman"/>
                <w:b w:val="false"/>
                <w:i w:val="false"/>
                <w:color w:val="000000"/>
                <w:sz w:val="20"/>
              </w:rPr>
              <w:t>
   8.5.18.1. Подраздел ПОБ "Контекст соотношения польза-риск – медицинская потребность в лекарственном препарате и важные альтернативы"</w:t>
            </w:r>
          </w:p>
          <w:p>
            <w:pPr>
              <w:spacing w:after="20"/>
              <w:ind w:left="20"/>
              <w:jc w:val="both"/>
            </w:pPr>
            <w:r>
              <w:rPr>
                <w:rFonts w:ascii="Times New Roman"/>
                <w:b w:val="false"/>
                <w:i w:val="false"/>
                <w:color w:val="000000"/>
                <w:sz w:val="20"/>
              </w:rPr>
              <w:t>
   В подразделе представляется краткое описание медицинской потребности в лекарственном препарате по одобренным показаниям и суммировано по альтернативам (медикаментозным, хирургическим или иным; включая отсутствие лечения).</w:t>
            </w:r>
          </w:p>
          <w:p>
            <w:pPr>
              <w:spacing w:after="20"/>
              <w:ind w:left="20"/>
              <w:jc w:val="both"/>
            </w:pPr>
            <w:r>
              <w:rPr>
                <w:rFonts w:ascii="Times New Roman"/>
                <w:b w:val="false"/>
                <w:i w:val="false"/>
                <w:color w:val="000000"/>
                <w:sz w:val="20"/>
              </w:rPr>
              <w:t>
   8.5.18.2. Подраздел ПОБ "Оценка процедуры анализа соотношения польза-риск"</w:t>
            </w:r>
          </w:p>
          <w:p>
            <w:pPr>
              <w:spacing w:after="20"/>
              <w:ind w:left="20"/>
              <w:jc w:val="both"/>
            </w:pPr>
            <w:r>
              <w:rPr>
                <w:rFonts w:ascii="Times New Roman"/>
                <w:b w:val="false"/>
                <w:i w:val="false"/>
                <w:color w:val="000000"/>
                <w:sz w:val="20"/>
              </w:rPr>
              <w:t>
   Соотношение польза-риск имеет различное значение в зависимости от показаний и целевых популяций. Следовательно, для лекарственных препаратов, зарегистрированных по нескольким показаниям, соотношение польза-риск оценивается отдельно по каждому показанию. В случае наличия существенных различий соотношения польза-риск между подгруппами в рамках одного показания, оценка соотношения польза-риск представляется отдельно и для популяционных подгрупп, если это возможно.</w:t>
            </w:r>
          </w:p>
          <w:p>
            <w:pPr>
              <w:spacing w:after="20"/>
              <w:ind w:left="20"/>
              <w:jc w:val="both"/>
            </w:pPr>
            <w:r>
              <w:rPr>
                <w:rFonts w:ascii="Times New Roman"/>
                <w:b w:val="false"/>
                <w:i w:val="false"/>
                <w:color w:val="000000"/>
                <w:sz w:val="20"/>
              </w:rPr>
              <w:t>
   1) основные вопросы в отношении пользы и рисков:</w:t>
            </w:r>
          </w:p>
          <w:p>
            <w:pPr>
              <w:spacing w:after="20"/>
              <w:ind w:left="20"/>
              <w:jc w:val="both"/>
            </w:pPr>
            <w:r>
              <w:rPr>
                <w:rFonts w:ascii="Times New Roman"/>
                <w:b w:val="false"/>
                <w:i w:val="false"/>
                <w:color w:val="000000"/>
                <w:sz w:val="20"/>
              </w:rPr>
              <w:t>
   1.1 ключевая информация, представленная в предшествующих разделах по пользе и риску, объединяется с целью оценки их соотношения;</w:t>
            </w:r>
          </w:p>
          <w:p>
            <w:pPr>
              <w:spacing w:after="20"/>
              <w:ind w:left="20"/>
              <w:jc w:val="both"/>
            </w:pPr>
            <w:r>
              <w:rPr>
                <w:rFonts w:ascii="Times New Roman"/>
                <w:b w:val="false"/>
                <w:i w:val="false"/>
                <w:color w:val="000000"/>
                <w:sz w:val="20"/>
              </w:rPr>
              <w:t>
   1.2 оценивается контекст применения лекарственного препарата: излечение, профилактика, диагностика; степень тяжести и серьезность заболевания; целевая популяция (относительно здоровые, хронические заболевания);</w:t>
            </w:r>
          </w:p>
          <w:p>
            <w:pPr>
              <w:spacing w:after="20"/>
              <w:ind w:left="20"/>
              <w:jc w:val="both"/>
            </w:pPr>
            <w:r>
              <w:rPr>
                <w:rFonts w:ascii="Times New Roman"/>
                <w:b w:val="false"/>
                <w:i w:val="false"/>
                <w:color w:val="000000"/>
                <w:sz w:val="20"/>
              </w:rPr>
              <w:t>
   1.3 в отношении пользы оценивается ее характер, клиническая значимость, продолжительность эффекта, обобщаемость, доказательство эффективности у пациентов, не отвечающих на альтернативное лечение, выраженность эффекта, индивидуальные элементы пользы;</w:t>
            </w:r>
          </w:p>
          <w:p>
            <w:pPr>
              <w:spacing w:after="20"/>
              <w:ind w:left="20"/>
              <w:jc w:val="both"/>
            </w:pPr>
            <w:r>
              <w:rPr>
                <w:rFonts w:ascii="Times New Roman"/>
                <w:b w:val="false"/>
                <w:i w:val="false"/>
                <w:color w:val="000000"/>
                <w:sz w:val="20"/>
              </w:rPr>
              <w:t>
   1.4 в отношении риска оценивается клиническая значимость (характер токсичности, серьезность, частота, предсказуемость, предотвратимость, обратимость, влияние на пациента), а также аспекты риска, связанные с применением не по одобренным показаниям, новым показаниям, неправильным применением;</w:t>
            </w:r>
          </w:p>
          <w:p>
            <w:pPr>
              <w:spacing w:after="20"/>
              <w:ind w:left="20"/>
              <w:jc w:val="both"/>
            </w:pPr>
            <w:r>
              <w:rPr>
                <w:rFonts w:ascii="Times New Roman"/>
                <w:b w:val="false"/>
                <w:i w:val="false"/>
                <w:color w:val="000000"/>
                <w:sz w:val="20"/>
              </w:rPr>
              <w:t>
   1.5 при формулировке оценки соотношения польза-риск рассматриваются слабые и сильные стороны, а также неопределенности доказательной базы с описанием их влияния на оценку. Приводится характеристика ограничений выполненной оценки.</w:t>
            </w:r>
          </w:p>
          <w:p>
            <w:pPr>
              <w:spacing w:after="20"/>
              <w:ind w:left="20"/>
              <w:jc w:val="both"/>
            </w:pPr>
            <w:r>
              <w:rPr>
                <w:rFonts w:ascii="Times New Roman"/>
                <w:b w:val="false"/>
                <w:i w:val="false"/>
                <w:color w:val="000000"/>
                <w:sz w:val="20"/>
              </w:rPr>
              <w:t>
   2) представляется описание и аргументации используемой методологии для оценки соотношения польза-риск:</w:t>
            </w:r>
          </w:p>
          <w:p>
            <w:pPr>
              <w:spacing w:after="20"/>
              <w:ind w:left="20"/>
              <w:jc w:val="both"/>
            </w:pPr>
            <w:r>
              <w:rPr>
                <w:rFonts w:ascii="Times New Roman"/>
                <w:b w:val="false"/>
                <w:i w:val="false"/>
                <w:color w:val="000000"/>
                <w:sz w:val="20"/>
              </w:rPr>
              <w:t>
   2.1 предположения, рассмотрение, соотнесения, которые подтверждают сделанный вывод по оценке соотношения польза-риск;</w:t>
            </w:r>
          </w:p>
          <w:p>
            <w:pPr>
              <w:spacing w:after="20"/>
              <w:ind w:left="20"/>
              <w:jc w:val="both"/>
            </w:pPr>
            <w:r>
              <w:rPr>
                <w:rFonts w:ascii="Times New Roman"/>
                <w:b w:val="false"/>
                <w:i w:val="false"/>
                <w:color w:val="000000"/>
                <w:sz w:val="20"/>
              </w:rPr>
              <w:t>
   2.2 комментарии в отношении возможности выражения пользы и риска в представленном виде и их сопоставления;</w:t>
            </w:r>
          </w:p>
          <w:p>
            <w:pPr>
              <w:spacing w:after="20"/>
              <w:ind w:left="20"/>
              <w:jc w:val="both"/>
            </w:pPr>
            <w:r>
              <w:rPr>
                <w:rFonts w:ascii="Times New Roman"/>
                <w:b w:val="false"/>
                <w:i w:val="false"/>
                <w:color w:val="000000"/>
                <w:sz w:val="20"/>
              </w:rPr>
              <w:t>
   2.3 если представлена количественная оценка соотношения, включается обобщенное описание методов оценки;</w:t>
            </w:r>
          </w:p>
          <w:p>
            <w:pPr>
              <w:spacing w:after="20"/>
              <w:ind w:left="20"/>
              <w:jc w:val="both"/>
            </w:pPr>
            <w:r>
              <w:rPr>
                <w:rFonts w:ascii="Times New Roman"/>
                <w:b w:val="false"/>
                <w:i w:val="false"/>
                <w:color w:val="000000"/>
                <w:sz w:val="20"/>
              </w:rPr>
              <w:t>
   2.4 экономическая оценка (стоимость-эффективность) не рассматривается при оценке соотношения польза-риск.</w:t>
            </w:r>
          </w:p>
          <w:p>
            <w:pPr>
              <w:spacing w:after="20"/>
              <w:ind w:left="20"/>
              <w:jc w:val="both"/>
            </w:pPr>
            <w:r>
              <w:rPr>
                <w:rFonts w:ascii="Times New Roman"/>
                <w:b w:val="false"/>
                <w:i w:val="false"/>
                <w:color w:val="000000"/>
                <w:sz w:val="20"/>
              </w:rPr>
              <w:t>
   8.5.19. Раздел ПОБ "Заключение и действия"</w:t>
            </w:r>
          </w:p>
          <w:p>
            <w:pPr>
              <w:spacing w:after="20"/>
              <w:ind w:left="20"/>
              <w:jc w:val="both"/>
            </w:pPr>
            <w:r>
              <w:rPr>
                <w:rFonts w:ascii="Times New Roman"/>
                <w:b w:val="false"/>
                <w:i w:val="false"/>
                <w:color w:val="000000"/>
                <w:sz w:val="20"/>
              </w:rPr>
              <w:t>
   Заключительный раздел ПОБ содержит заключение о влиянии всей новой информации, выявленной в отчетный период, на общую оценку соотношения польза-риск по каждому одобренному показанию, а также подгруппам пациента, когда это применимо.</w:t>
            </w:r>
          </w:p>
          <w:p>
            <w:pPr>
              <w:spacing w:after="20"/>
              <w:ind w:left="20"/>
              <w:jc w:val="both"/>
            </w:pPr>
            <w:r>
              <w:rPr>
                <w:rFonts w:ascii="Times New Roman"/>
                <w:b w:val="false"/>
                <w:i w:val="false"/>
                <w:color w:val="000000"/>
                <w:sz w:val="20"/>
              </w:rPr>
              <w:t>
   Основываясь на оценке кумулятивных данных по безопасности и анализу соотношения польза-риск, держатель регистрационного удостоверения оценивает необходимость внесения изменений в информацию о лекарственном препарате и предложить контекст соответствующих изменений.</w:t>
            </w:r>
          </w:p>
          <w:p>
            <w:pPr>
              <w:spacing w:after="20"/>
              <w:ind w:left="20"/>
              <w:jc w:val="both"/>
            </w:pPr>
            <w:r>
              <w:rPr>
                <w:rFonts w:ascii="Times New Roman"/>
                <w:b w:val="false"/>
                <w:i w:val="false"/>
                <w:color w:val="000000"/>
                <w:sz w:val="20"/>
              </w:rPr>
              <w:t>
   Заключение включает предварительные предложения по оптимизации или дальнейшей оценки соотношения польза-риск с целью их последующего обсуждения с уполномоченным органом. Данные предложения включают меры минимизации риска.</w:t>
            </w:r>
          </w:p>
          <w:p>
            <w:pPr>
              <w:spacing w:after="20"/>
              <w:ind w:left="20"/>
              <w:jc w:val="both"/>
            </w:pPr>
            <w:r>
              <w:rPr>
                <w:rFonts w:ascii="Times New Roman"/>
                <w:b w:val="false"/>
                <w:i w:val="false"/>
                <w:color w:val="000000"/>
                <w:sz w:val="20"/>
              </w:rPr>
              <w:t>
   Для лекарственных препаратов, имеющих план по фармаконадзору и минимизации риска предложения включаются в план по фармаконадзору и план минимизации риска.</w:t>
            </w:r>
          </w:p>
          <w:p>
            <w:pPr>
              <w:spacing w:after="20"/>
              <w:ind w:left="20"/>
              <w:jc w:val="both"/>
            </w:pPr>
            <w:r>
              <w:rPr>
                <w:rFonts w:ascii="Times New Roman"/>
                <w:b w:val="false"/>
                <w:i w:val="false"/>
                <w:color w:val="000000"/>
                <w:sz w:val="20"/>
              </w:rPr>
              <w:t>
   8.5.20. Раздел ПОБ "Приложения к ПОБ"</w:t>
            </w:r>
          </w:p>
          <w:p>
            <w:pPr>
              <w:spacing w:after="20"/>
              <w:ind w:left="20"/>
              <w:jc w:val="both"/>
            </w:pPr>
            <w:r>
              <w:rPr>
                <w:rFonts w:ascii="Times New Roman"/>
                <w:b w:val="false"/>
                <w:i w:val="false"/>
                <w:color w:val="000000"/>
                <w:sz w:val="20"/>
              </w:rPr>
              <w:t>
   ПОБ включает следующие приложения:</w:t>
            </w:r>
          </w:p>
          <w:p>
            <w:pPr>
              <w:spacing w:after="20"/>
              <w:ind w:left="20"/>
              <w:jc w:val="both"/>
            </w:pPr>
            <w:r>
              <w:rPr>
                <w:rFonts w:ascii="Times New Roman"/>
                <w:b w:val="false"/>
                <w:i w:val="false"/>
                <w:color w:val="000000"/>
                <w:sz w:val="20"/>
              </w:rPr>
              <w:t>
   1. справочная информация;</w:t>
            </w:r>
          </w:p>
          <w:p>
            <w:pPr>
              <w:spacing w:after="20"/>
              <w:ind w:left="20"/>
              <w:jc w:val="both"/>
            </w:pPr>
            <w:r>
              <w:rPr>
                <w:rFonts w:ascii="Times New Roman"/>
                <w:b w:val="false"/>
                <w:i w:val="false"/>
                <w:color w:val="000000"/>
                <w:sz w:val="20"/>
              </w:rPr>
              <w:t>
   2. кумулятивные обобщающие табличные данные по серьезным нежелательным явлениям, выявленным в ходе клинических исследований (испытаний);</w:t>
            </w:r>
          </w:p>
          <w:p>
            <w:pPr>
              <w:spacing w:after="20"/>
              <w:ind w:left="20"/>
              <w:jc w:val="both"/>
            </w:pPr>
            <w:r>
              <w:rPr>
                <w:rFonts w:ascii="Times New Roman"/>
                <w:b w:val="false"/>
                <w:i w:val="false"/>
                <w:color w:val="000000"/>
                <w:sz w:val="20"/>
              </w:rPr>
              <w:t>
   3. кумулятивные и интервальные обобщающие табличные данные по серьезным и несерьезным нежелательным реакциям по данным пострегистрационного применения;</w:t>
            </w:r>
          </w:p>
          <w:p>
            <w:pPr>
              <w:spacing w:after="20"/>
              <w:ind w:left="20"/>
              <w:jc w:val="both"/>
            </w:pPr>
            <w:r>
              <w:rPr>
                <w:rFonts w:ascii="Times New Roman"/>
                <w:b w:val="false"/>
                <w:i w:val="false"/>
                <w:color w:val="000000"/>
                <w:sz w:val="20"/>
              </w:rPr>
              <w:t>
   4. табличные данные по сигналам;</w:t>
            </w:r>
          </w:p>
          <w:p>
            <w:pPr>
              <w:spacing w:after="20"/>
              <w:ind w:left="20"/>
              <w:jc w:val="both"/>
            </w:pPr>
            <w:r>
              <w:rPr>
                <w:rFonts w:ascii="Times New Roman"/>
                <w:b w:val="false"/>
                <w:i w:val="false"/>
                <w:color w:val="000000"/>
                <w:sz w:val="20"/>
              </w:rPr>
              <w:t>
   5. оценка сигналов, если применимо;</w:t>
            </w:r>
          </w:p>
          <w:p>
            <w:pPr>
              <w:spacing w:after="20"/>
              <w:ind w:left="20"/>
              <w:jc w:val="both"/>
            </w:pPr>
            <w:r>
              <w:rPr>
                <w:rFonts w:ascii="Times New Roman"/>
                <w:b w:val="false"/>
                <w:i w:val="false"/>
                <w:color w:val="000000"/>
                <w:sz w:val="20"/>
              </w:rPr>
              <w:t>
   6. перечень всех пострегистрационных исследований по безопасности.</w:t>
            </w:r>
          </w:p>
          <w:p>
            <w:pPr>
              <w:spacing w:after="20"/>
              <w:ind w:left="20"/>
              <w:jc w:val="both"/>
            </w:pPr>
            <w:r>
              <w:rPr>
                <w:rFonts w:ascii="Times New Roman"/>
                <w:b w:val="false"/>
                <w:i w:val="false"/>
                <w:color w:val="000000"/>
                <w:sz w:val="20"/>
              </w:rPr>
              <w:t>
   </w:t>
            </w:r>
            <w:r>
              <w:rPr>
                <w:rFonts w:ascii="Times New Roman"/>
                <w:b/>
                <w:i w:val="false"/>
                <w:color w:val="000000"/>
                <w:sz w:val="20"/>
              </w:rPr>
              <w:t>8.6 Система качества ПОБ на уровне держателя регистрационного удостоверения</w:t>
            </w:r>
          </w:p>
          <w:p>
            <w:pPr>
              <w:spacing w:after="20"/>
              <w:ind w:left="20"/>
              <w:jc w:val="both"/>
            </w:pPr>
            <w:r>
              <w:rPr>
                <w:rFonts w:ascii="Times New Roman"/>
                <w:b w:val="false"/>
                <w:i w:val="false"/>
                <w:color w:val="000000"/>
                <w:sz w:val="20"/>
              </w:rPr>
              <w:t xml:space="preserve">
   Держатель регистрационного удостоверения имеет сформированные структуры и процессы для подготовки, контроля качества, обзора и представления ПОБ, включая контроль исполнения в процессе и после их оценки. Данные структуры и процессы описываются в письменных процедурах системы качества держателя регистрационного удостоверения.  </w:t>
            </w:r>
          </w:p>
          <w:p>
            <w:pPr>
              <w:spacing w:after="20"/>
              <w:ind w:left="20"/>
              <w:jc w:val="both"/>
            </w:pPr>
            <w:r>
              <w:rPr>
                <w:rFonts w:ascii="Times New Roman"/>
                <w:b w:val="false"/>
                <w:i w:val="false"/>
                <w:color w:val="000000"/>
                <w:sz w:val="20"/>
              </w:rPr>
              <w:t>
   Процессы фармаконадзора включают ряд направлений, оказывающих непосредственное влияние на качество ПОБ (обработка сообщений о нежелательных реакциях, полученных в рамках спонтанного репортирования или клинических исследований; обзор литературы; выявление, валидация и оценка сигнала; дополнительные меры по фармаконадзору и пострегистрационной исследовательской деятельности; процедуры обработки и объединения данных при оценке пользы и риска и иные). Система качества описывает взаимосвязь между процессами, каналы информирования и обязанности по процедурам сбора всей информации для включения в ПОБ. Разрабатываются и внедряются документированные процедуры по контролю качества процессов с целью обеспечения полноты и точности данных, представляемых в ПОБ. Важность интегрированной оценки соотношения польза-риск определяет необходимость обеспечения вклада различных департаментов (отделов) при подготовке ПОБ.</w:t>
            </w:r>
          </w:p>
          <w:p>
            <w:pPr>
              <w:spacing w:after="20"/>
              <w:ind w:left="20"/>
              <w:jc w:val="both"/>
            </w:pPr>
            <w:r>
              <w:rPr>
                <w:rFonts w:ascii="Times New Roman"/>
                <w:b w:val="false"/>
                <w:i w:val="false"/>
                <w:color w:val="000000"/>
                <w:sz w:val="20"/>
              </w:rPr>
              <w:t>
   ПОБ содержит оценку специальных запросов по аспектам профиля безопасности со стороны уполномоченного органа. Держатель регистрационного удостоверения имеет механизм, обеспечивающий надлежащую обработку и ответы на запросы уполномоченного органа.</w:t>
            </w:r>
          </w:p>
          <w:p>
            <w:pPr>
              <w:spacing w:after="20"/>
              <w:ind w:left="20"/>
              <w:jc w:val="both"/>
            </w:pPr>
            <w:r>
              <w:rPr>
                <w:rFonts w:ascii="Times New Roman"/>
                <w:b w:val="false"/>
                <w:i w:val="false"/>
                <w:color w:val="000000"/>
                <w:sz w:val="20"/>
              </w:rPr>
              <w:t>
   Представление обобщающих табличных данных подвергается процедуре верификации баз данных держателя регистрационного удостоверения с целью обеспечения точности и полноты представляемых данных в отношении нежелательных реакций (явлений). Процессы размещения запросов в базе данных, используемые параметры для извлечения данных и контроль качества документируются надлежащим образом.</w:t>
            </w:r>
          </w:p>
          <w:p>
            <w:pPr>
              <w:spacing w:after="20"/>
              <w:ind w:left="20"/>
              <w:jc w:val="both"/>
            </w:pPr>
            <w:r>
              <w:rPr>
                <w:rFonts w:ascii="Times New Roman"/>
                <w:b w:val="false"/>
                <w:i w:val="false"/>
                <w:color w:val="000000"/>
                <w:sz w:val="20"/>
              </w:rPr>
              <w:t>
   Надлежащая система качества держателя регистрационного удостоверения исключает риск невыполнения держателем регистрационного удостоверения требований законодательства, таких как:</w:t>
            </w:r>
          </w:p>
          <w:p>
            <w:pPr>
              <w:spacing w:after="20"/>
              <w:ind w:left="20"/>
              <w:jc w:val="both"/>
            </w:pPr>
            <w:r>
              <w:rPr>
                <w:rFonts w:ascii="Times New Roman"/>
                <w:b w:val="false"/>
                <w:i w:val="false"/>
                <w:color w:val="000000"/>
                <w:sz w:val="20"/>
              </w:rPr>
              <w:t>
   1) непредставление отчета: полное непредставление ПОБ, нарушение графика или сроков подачи ПОБ (без предварительного согласования с уполномоченным органом);</w:t>
            </w:r>
          </w:p>
          <w:p>
            <w:pPr>
              <w:spacing w:after="20"/>
              <w:ind w:left="20"/>
              <w:jc w:val="both"/>
            </w:pPr>
            <w:r>
              <w:rPr>
                <w:rFonts w:ascii="Times New Roman"/>
                <w:b w:val="false"/>
                <w:i w:val="false"/>
                <w:color w:val="000000"/>
                <w:sz w:val="20"/>
              </w:rPr>
              <w:t>
   2) необоснованное непредставление запрошенной информации;</w:t>
            </w:r>
          </w:p>
          <w:p>
            <w:pPr>
              <w:spacing w:after="20"/>
              <w:ind w:left="20"/>
              <w:jc w:val="both"/>
            </w:pPr>
            <w:r>
              <w:rPr>
                <w:rFonts w:ascii="Times New Roman"/>
                <w:b w:val="false"/>
                <w:i w:val="false"/>
                <w:color w:val="000000"/>
                <w:sz w:val="20"/>
              </w:rPr>
              <w:t>
   3) низкое качество отчетов (плохое документирование либо недостаточная информация или оценка представлена по новой информации по безопасности, сигналы по безопасности, оценка риска, оценка пользы и интегрированный анализ соотношения польза-риск, отсутствие указание о неправильном применении, отсутствие стандартной терминологии, необоснованное исключение случаев, непредставление информации по факторам риска);</w:t>
            </w:r>
          </w:p>
          <w:p>
            <w:pPr>
              <w:spacing w:after="20"/>
              <w:ind w:left="20"/>
              <w:jc w:val="both"/>
            </w:pPr>
            <w:r>
              <w:rPr>
                <w:rFonts w:ascii="Times New Roman"/>
                <w:b w:val="false"/>
                <w:i w:val="false"/>
                <w:color w:val="000000"/>
                <w:sz w:val="20"/>
              </w:rPr>
              <w:t>
   4) представление ПОБ без отражения ранее полученных запросов от уполномоченной организации.</w:t>
            </w:r>
          </w:p>
          <w:p>
            <w:pPr>
              <w:spacing w:after="20"/>
              <w:ind w:left="20"/>
              <w:jc w:val="both"/>
            </w:pPr>
            <w:r>
              <w:rPr>
                <w:rFonts w:ascii="Times New Roman"/>
                <w:b w:val="false"/>
                <w:i w:val="false"/>
                <w:color w:val="000000"/>
                <w:sz w:val="20"/>
              </w:rPr>
              <w:t>
Все значимые отклонения от процедуры подготовки и представления ПОБ документируются и принимаются соответствующие корректирующие и предупреждающие мероприятия. Данная документация доступна в любое время.</w:t>
            </w:r>
          </w:p>
          <w:p>
            <w:pPr>
              <w:spacing w:after="20"/>
              <w:ind w:left="20"/>
              <w:jc w:val="both"/>
            </w:pPr>
            <w:r>
              <w:rPr>
                <w:rFonts w:ascii="Times New Roman"/>
                <w:b w:val="false"/>
                <w:i w:val="false"/>
                <w:color w:val="000000"/>
                <w:sz w:val="20"/>
              </w:rPr>
              <w:t>
   В случае делегирования обязанностей по подготовке ПОБ третьим сторонам, держатель регистрационного удостоверения обеспечивает наличие у третьей стороны надлежащей системы качества, соответствующей требованиям законодательства.</w:t>
            </w:r>
          </w:p>
          <w:p>
            <w:pPr>
              <w:spacing w:after="20"/>
              <w:ind w:left="20"/>
              <w:jc w:val="both"/>
            </w:pPr>
            <w:r>
              <w:rPr>
                <w:rFonts w:ascii="Times New Roman"/>
                <w:b w:val="false"/>
                <w:i w:val="false"/>
                <w:color w:val="000000"/>
                <w:sz w:val="20"/>
              </w:rPr>
              <w:t>
   </w:t>
            </w:r>
            <w:r>
              <w:rPr>
                <w:rFonts w:ascii="Times New Roman"/>
                <w:b/>
                <w:i w:val="false"/>
                <w:color w:val="000000"/>
                <w:sz w:val="20"/>
              </w:rPr>
              <w:t>8.7. Обучение персонала процедурам по ПОБ</w:t>
            </w:r>
          </w:p>
          <w:p>
            <w:pPr>
              <w:spacing w:after="20"/>
              <w:ind w:left="20"/>
              <w:jc w:val="both"/>
            </w:pPr>
            <w:r>
              <w:rPr>
                <w:rFonts w:ascii="Times New Roman"/>
                <w:b w:val="false"/>
                <w:i w:val="false"/>
                <w:color w:val="000000"/>
                <w:sz w:val="20"/>
              </w:rPr>
              <w:t>
   Ответственностью лица уполномоченного по фармаконадзору, является обеспечение надлежащей квалификации, опыта и обучения персонала по фармаконадзору, оценке медицинской информации и контроля качества, задействованных в процедурах подготовки, обзора, контроля качества, оценки и представления ПОБ. При необходимости выполняется необходимое обучение по различным составляющим процессам, аспектам знаний и навыкам. Обучения включают аспекты законодательства, руководств, научную оценку данных, письменные процедуры по аспектам подготовки ПОБ. Документирование процесса обучения подтверждать его прохождение обучения до начала выполнения соответствующих функций по ПОБ.</w:t>
            </w:r>
          </w:p>
          <w:p>
            <w:pPr>
              <w:spacing w:after="20"/>
              <w:ind w:left="20"/>
              <w:jc w:val="both"/>
            </w:pPr>
            <w:r>
              <w:rPr>
                <w:rFonts w:ascii="Times New Roman"/>
                <w:b w:val="false"/>
                <w:i w:val="false"/>
                <w:color w:val="000000"/>
                <w:sz w:val="20"/>
              </w:rPr>
              <w:t>
   </w:t>
            </w:r>
            <w:r>
              <w:rPr>
                <w:rFonts w:ascii="Times New Roman"/>
                <w:b/>
                <w:i w:val="false"/>
                <w:color w:val="000000"/>
                <w:sz w:val="20"/>
              </w:rPr>
              <w:t>8.8. Порядок представления ПОБ</w:t>
            </w:r>
          </w:p>
          <w:p>
            <w:pPr>
              <w:spacing w:after="20"/>
              <w:ind w:left="20"/>
              <w:jc w:val="both"/>
            </w:pPr>
            <w:r>
              <w:rPr>
                <w:rFonts w:ascii="Times New Roman"/>
                <w:b w:val="false"/>
                <w:i w:val="false"/>
                <w:color w:val="000000"/>
                <w:sz w:val="20"/>
              </w:rPr>
              <w:t>
   8.8.1. Стандартный порядок представления ПОБ</w:t>
            </w:r>
          </w:p>
          <w:p>
            <w:pPr>
              <w:spacing w:after="20"/>
              <w:ind w:left="20"/>
              <w:jc w:val="both"/>
            </w:pPr>
            <w:r>
              <w:rPr>
                <w:rFonts w:ascii="Times New Roman"/>
                <w:b w:val="false"/>
                <w:i w:val="false"/>
                <w:color w:val="000000"/>
                <w:sz w:val="20"/>
              </w:rPr>
              <w:t xml:space="preserve">
   Периодичность и сроки представления периодических отчетов по безопасности лекарственных препаратов определяется согласно перечню, утверждаемому уполномоченным органом. </w:t>
            </w:r>
          </w:p>
          <w:p>
            <w:pPr>
              <w:spacing w:after="20"/>
              <w:ind w:left="20"/>
              <w:jc w:val="both"/>
            </w:pPr>
            <w:r>
              <w:rPr>
                <w:rFonts w:ascii="Times New Roman"/>
                <w:b w:val="false"/>
                <w:i w:val="false"/>
                <w:color w:val="000000"/>
                <w:sz w:val="20"/>
              </w:rPr>
              <w:t>
   Для лекарственных препаратов, международное непатентованное наименование или группировочное наименование которых не включены в указанный перечень, периодичность представления ПОБ составляет:</w:t>
            </w:r>
          </w:p>
          <w:p>
            <w:pPr>
              <w:spacing w:after="20"/>
              <w:ind w:left="20"/>
              <w:jc w:val="both"/>
            </w:pPr>
            <w:r>
              <w:rPr>
                <w:rFonts w:ascii="Times New Roman"/>
                <w:b w:val="false"/>
                <w:i w:val="false"/>
                <w:color w:val="000000"/>
                <w:sz w:val="20"/>
              </w:rPr>
              <w:t>
   1) каждые 6 месяцев от международной даты регистрации на протяжении первых 2 лет;</w:t>
            </w:r>
          </w:p>
          <w:p>
            <w:pPr>
              <w:spacing w:after="20"/>
              <w:ind w:left="20"/>
              <w:jc w:val="both"/>
            </w:pPr>
            <w:r>
              <w:rPr>
                <w:rFonts w:ascii="Times New Roman"/>
                <w:b w:val="false"/>
                <w:i w:val="false"/>
                <w:color w:val="000000"/>
                <w:sz w:val="20"/>
              </w:rPr>
              <w:t>
   2) ежегодно на протяжении последующих 2 лет;</w:t>
            </w:r>
          </w:p>
          <w:p>
            <w:pPr>
              <w:spacing w:after="20"/>
              <w:ind w:left="20"/>
              <w:jc w:val="both"/>
            </w:pPr>
            <w:r>
              <w:rPr>
                <w:rFonts w:ascii="Times New Roman"/>
                <w:b w:val="false"/>
                <w:i w:val="false"/>
                <w:color w:val="000000"/>
                <w:sz w:val="20"/>
              </w:rPr>
              <w:t>
   3) далее - каждые 3 года.</w:t>
            </w:r>
          </w:p>
          <w:p>
            <w:pPr>
              <w:spacing w:after="20"/>
              <w:ind w:left="20"/>
              <w:jc w:val="both"/>
            </w:pPr>
            <w:r>
              <w:rPr>
                <w:rFonts w:ascii="Times New Roman"/>
                <w:b w:val="false"/>
                <w:i w:val="false"/>
                <w:color w:val="000000"/>
                <w:sz w:val="20"/>
              </w:rPr>
              <w:t>
   Срок подачи ПОБ от даты окончания сбора данных составляет не более 90 календарных дней.</w:t>
            </w:r>
          </w:p>
          <w:p>
            <w:pPr>
              <w:spacing w:after="20"/>
              <w:ind w:left="20"/>
              <w:jc w:val="both"/>
            </w:pPr>
            <w:r>
              <w:rPr>
                <w:rFonts w:ascii="Times New Roman"/>
                <w:b w:val="false"/>
                <w:i w:val="false"/>
                <w:color w:val="000000"/>
                <w:sz w:val="20"/>
              </w:rPr>
              <w:t>
   8.8.2. Внеочередная подача ПОБ</w:t>
            </w:r>
          </w:p>
          <w:p>
            <w:pPr>
              <w:spacing w:after="20"/>
              <w:ind w:left="20"/>
              <w:jc w:val="both"/>
            </w:pPr>
            <w:r>
              <w:rPr>
                <w:rFonts w:ascii="Times New Roman"/>
                <w:b w:val="false"/>
                <w:i w:val="false"/>
                <w:color w:val="000000"/>
                <w:sz w:val="20"/>
              </w:rPr>
              <w:t xml:space="preserve">
   ПОБ подлежит подаче незамедлительно, в срок до 60 календарных дней, от даты получения письменного запроса от уполномоченной организации. </w:t>
            </w:r>
          </w:p>
          <w:p>
            <w:pPr>
              <w:spacing w:after="20"/>
              <w:ind w:left="20"/>
              <w:jc w:val="both"/>
            </w:pPr>
            <w:r>
              <w:rPr>
                <w:rFonts w:ascii="Times New Roman"/>
                <w:b w:val="false"/>
                <w:i w:val="false"/>
                <w:color w:val="000000"/>
                <w:sz w:val="20"/>
              </w:rPr>
              <w:t>
   8.8.3. Форма подачи ПОБ</w:t>
            </w:r>
          </w:p>
          <w:p>
            <w:pPr>
              <w:spacing w:after="20"/>
              <w:ind w:left="20"/>
              <w:jc w:val="both"/>
            </w:pPr>
            <w:r>
              <w:rPr>
                <w:rFonts w:ascii="Times New Roman"/>
                <w:b w:val="false"/>
                <w:i w:val="false"/>
                <w:color w:val="000000"/>
                <w:sz w:val="20"/>
              </w:rPr>
              <w:t>
   ПОБ подлежат подаче в электронном виде с возможностью текстового поиска на русском языке или английском языке с обязательным переводом на русский язык следующих разделов: краткого изложения основного содержания, интегрированного анализа соотношения польза-риск по одобренным показаниям и заключения. По запросу уполномоченного органа держатель регистрационного удостоверения обязан в течении 30 календарных дней представить перевод на русский язык других разделов ПОБ.</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8.9. Процесс оценки ПОБ </w:t>
            </w:r>
          </w:p>
          <w:p>
            <w:pPr>
              <w:spacing w:after="20"/>
              <w:ind w:left="20"/>
              <w:jc w:val="both"/>
            </w:pPr>
            <w:r>
              <w:rPr>
                <w:rFonts w:ascii="Times New Roman"/>
                <w:b w:val="false"/>
                <w:i w:val="false"/>
                <w:color w:val="000000"/>
                <w:sz w:val="20"/>
              </w:rPr>
              <w:t>
   Уполномоченная организация обеспечивает выполнение оценки периодических отчетов по безопасности с целью определения соответствия требованиям законодательства, а также возможных изменений профиля безопасности лекарственного препарата и влияния данных изменений на оценку соотношения польза-риск лекарственного препарата.</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Управление сигналом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Структуры и процессы</w:t>
            </w:r>
          </w:p>
          <w:p>
            <w:pPr>
              <w:spacing w:after="20"/>
              <w:ind w:left="20"/>
              <w:jc w:val="both"/>
            </w:pPr>
            <w:r>
              <w:rPr>
                <w:rFonts w:ascii="Times New Roman"/>
                <w:b w:val="false"/>
                <w:i w:val="false"/>
                <w:color w:val="000000"/>
                <w:sz w:val="20"/>
              </w:rPr>
              <w:t>
   9.1.1. Источники получения сигналов и их обработка</w:t>
            </w:r>
          </w:p>
          <w:p>
            <w:pPr>
              <w:spacing w:after="20"/>
              <w:ind w:left="20"/>
              <w:jc w:val="both"/>
            </w:pPr>
            <w:r>
              <w:rPr>
                <w:rFonts w:ascii="Times New Roman"/>
                <w:b w:val="false"/>
                <w:i w:val="false"/>
                <w:color w:val="000000"/>
                <w:sz w:val="20"/>
              </w:rPr>
              <w:t>
   9.1.1.1. Источники получения сигналов включают все данные, получаемые при применении лекарственных препаратов, включая доклинические, клинические данные, данные методов фармаконадзора и системы контроля качества. Данные включают сведения, получаемые системой спонтанного репортирования, системами активного мониторинга, в результате проведения неинтервенционных исследований, клинических исследований и из других источников информации.</w:t>
            </w:r>
          </w:p>
          <w:p>
            <w:pPr>
              <w:spacing w:after="20"/>
              <w:ind w:left="20"/>
              <w:jc w:val="both"/>
            </w:pPr>
            <w:r>
              <w:rPr>
                <w:rFonts w:ascii="Times New Roman"/>
                <w:b w:val="false"/>
                <w:i w:val="false"/>
                <w:color w:val="000000"/>
                <w:sz w:val="20"/>
              </w:rPr>
              <w:t>
   9.1.1.2. Сигналы из спонтанных сообщений обнаруживаются в индивидуальных сообщениях о нежелательных реакциях, включенных в базы данных о нежелательных реакциях, статьях из научной литературы, периодических отчетах по безопасности или другой информации, представленной держателями регистрационных удостоверений в рамках нормативных правовых процедур (изменения и дополнения, продление, обязательства по пострегистрационным исследованиям) или постоянно выполняемого мониторинга соотношения польза-риск лекарственных препаратов.</w:t>
            </w:r>
          </w:p>
          <w:p>
            <w:pPr>
              <w:spacing w:after="20"/>
              <w:ind w:left="20"/>
              <w:jc w:val="both"/>
            </w:pPr>
            <w:r>
              <w:rPr>
                <w:rFonts w:ascii="Times New Roman"/>
                <w:b w:val="false"/>
                <w:i w:val="false"/>
                <w:color w:val="000000"/>
                <w:sz w:val="20"/>
              </w:rPr>
              <w:t>
   9.1.1.3. Сигналы выявляются при проведении различных видов исследований (испытаний), включая доклинические, интервенционные и неинтервенционные исследования, систематические обзоры, мета-анализы. Различные виды активного мониторинга помогают в выявлении сигналов, а также стимулируют процесс репортирования специалистами определенных типов нежелательных реакций.</w:t>
            </w:r>
          </w:p>
          <w:p>
            <w:pPr>
              <w:spacing w:after="20"/>
              <w:ind w:left="20"/>
              <w:jc w:val="both"/>
            </w:pPr>
            <w:r>
              <w:rPr>
                <w:rFonts w:ascii="Times New Roman"/>
                <w:b w:val="false"/>
                <w:i w:val="false"/>
                <w:color w:val="000000"/>
                <w:sz w:val="20"/>
              </w:rPr>
              <w:t>
   9.1.1.4. Другие источники информации включают Интернет, цифровые средства (общедоступные веб-сайты, социальные сети, блоги) и другие системы, через которые пациенты и потребители имеют возможность сообщить о развитии нежелательных реакций на лекарственные препараты.</w:t>
            </w:r>
          </w:p>
          <w:p>
            <w:pPr>
              <w:spacing w:after="20"/>
              <w:ind w:left="20"/>
              <w:jc w:val="both"/>
            </w:pPr>
            <w:r>
              <w:rPr>
                <w:rFonts w:ascii="Times New Roman"/>
                <w:b w:val="false"/>
                <w:i w:val="false"/>
                <w:color w:val="000000"/>
                <w:sz w:val="20"/>
              </w:rPr>
              <w:t>
   9.1.2. Методология обработки сигналов</w:t>
            </w:r>
          </w:p>
          <w:p>
            <w:pPr>
              <w:spacing w:after="20"/>
              <w:ind w:left="20"/>
              <w:jc w:val="both"/>
            </w:pPr>
            <w:r>
              <w:rPr>
                <w:rFonts w:ascii="Times New Roman"/>
                <w:b w:val="false"/>
                <w:i w:val="false"/>
                <w:color w:val="000000"/>
                <w:sz w:val="20"/>
              </w:rPr>
              <w:t xml:space="preserve">
   9.1.2.1. Обнаружение сигналов придерживается структурированной и признанной методологии, варьирующей в зависимости от вида лекарственного препарата, по которому выполняется процедура. </w:t>
            </w:r>
          </w:p>
          <w:p>
            <w:pPr>
              <w:spacing w:after="20"/>
              <w:ind w:left="20"/>
              <w:jc w:val="both"/>
            </w:pPr>
            <w:r>
              <w:rPr>
                <w:rFonts w:ascii="Times New Roman"/>
                <w:b w:val="false"/>
                <w:i w:val="false"/>
                <w:color w:val="000000"/>
                <w:sz w:val="20"/>
              </w:rPr>
              <w:t>
   9.1.2.2. С целью оценки доказательной основы, подтверждающей поступивший сигнал, применяется структурированная и признанная методология, в которой принимается во внимание клиническая значимость, степень достоверности взаимосвязи, согласованность данных, взаимосвязь степени воздействия и реакции, причинно-следственная связь, биологическая правдоподобность, экспериментальные результаты, возможные сходные по характеру явления данные.</w:t>
            </w:r>
          </w:p>
          <w:p>
            <w:pPr>
              <w:spacing w:after="20"/>
              <w:ind w:left="20"/>
              <w:jc w:val="both"/>
            </w:pPr>
            <w:r>
              <w:rPr>
                <w:rFonts w:ascii="Times New Roman"/>
                <w:b w:val="false"/>
                <w:i w:val="false"/>
                <w:color w:val="000000"/>
                <w:sz w:val="20"/>
              </w:rPr>
              <w:t>
   9.1.2.3. При определении приоритетности сигналов учитывают различные факторы: новизну выявленной взаимосвязи или лекарственного препарата, факторы, имеющие отношение к значимости взаимосвязи, серьезности соответствующей реакции и факторы, имеющие отношение к документированию сообщения.</w:t>
            </w:r>
          </w:p>
          <w:p>
            <w:pPr>
              <w:spacing w:after="20"/>
              <w:ind w:left="20"/>
              <w:jc w:val="both"/>
            </w:pPr>
            <w:r>
              <w:rPr>
                <w:rFonts w:ascii="Times New Roman"/>
                <w:b w:val="false"/>
                <w:i w:val="false"/>
                <w:color w:val="000000"/>
                <w:sz w:val="20"/>
              </w:rPr>
              <w:t>
   9.1.3. Процесс обработки сигналов</w:t>
            </w:r>
          </w:p>
          <w:p>
            <w:pPr>
              <w:spacing w:after="20"/>
              <w:ind w:left="20"/>
              <w:jc w:val="both"/>
            </w:pPr>
            <w:r>
              <w:rPr>
                <w:rFonts w:ascii="Times New Roman"/>
                <w:b w:val="false"/>
                <w:i w:val="false"/>
                <w:color w:val="000000"/>
                <w:sz w:val="20"/>
              </w:rPr>
              <w:t>
   9.1.3.1. Введение</w:t>
            </w:r>
          </w:p>
          <w:p>
            <w:pPr>
              <w:spacing w:after="20"/>
              <w:ind w:left="20"/>
              <w:jc w:val="both"/>
            </w:pPr>
            <w:r>
              <w:rPr>
                <w:rFonts w:ascii="Times New Roman"/>
                <w:b w:val="false"/>
                <w:i w:val="false"/>
                <w:color w:val="000000"/>
                <w:sz w:val="20"/>
              </w:rPr>
              <w:t>
   9.1.3.1.1. Процесс обработки сигналов включает все стадии от выявления сигнала до выработки рекомендаций. Стандарт выполнения обработки сигналов имеет отношение ко всем заинтересованным сторонам, участвующим в контроле безопасности зарегистрированных лекарственных препаратов.</w:t>
            </w:r>
          </w:p>
          <w:p>
            <w:pPr>
              <w:spacing w:after="20"/>
              <w:ind w:left="20"/>
              <w:jc w:val="both"/>
            </w:pPr>
            <w:r>
              <w:rPr>
                <w:rFonts w:ascii="Times New Roman"/>
                <w:b w:val="false"/>
                <w:i w:val="false"/>
                <w:color w:val="000000"/>
                <w:sz w:val="20"/>
              </w:rPr>
              <w:t>
   9.1.3.1.2. Процесс обработки сигналов включает следующие стадии:</w:t>
            </w:r>
          </w:p>
          <w:p>
            <w:pPr>
              <w:spacing w:after="20"/>
              <w:ind w:left="20"/>
              <w:jc w:val="both"/>
            </w:pPr>
            <w:r>
              <w:rPr>
                <w:rFonts w:ascii="Times New Roman"/>
                <w:b w:val="false"/>
                <w:i w:val="false"/>
                <w:color w:val="000000"/>
                <w:sz w:val="20"/>
              </w:rPr>
              <w:t>
   1) выявление сигнала;</w:t>
            </w:r>
          </w:p>
          <w:p>
            <w:pPr>
              <w:spacing w:after="20"/>
              <w:ind w:left="20"/>
              <w:jc w:val="both"/>
            </w:pPr>
            <w:r>
              <w:rPr>
                <w:rFonts w:ascii="Times New Roman"/>
                <w:b w:val="false"/>
                <w:i w:val="false"/>
                <w:color w:val="000000"/>
                <w:sz w:val="20"/>
              </w:rPr>
              <w:t>
   2) валидация сигнала;</w:t>
            </w:r>
          </w:p>
          <w:p>
            <w:pPr>
              <w:spacing w:after="20"/>
              <w:ind w:left="20"/>
              <w:jc w:val="both"/>
            </w:pPr>
            <w:r>
              <w:rPr>
                <w:rFonts w:ascii="Times New Roman"/>
                <w:b w:val="false"/>
                <w:i w:val="false"/>
                <w:color w:val="000000"/>
                <w:sz w:val="20"/>
              </w:rPr>
              <w:t>
   3) анализ и приоритетность сигнала;</w:t>
            </w:r>
          </w:p>
          <w:p>
            <w:pPr>
              <w:spacing w:after="20"/>
              <w:ind w:left="20"/>
              <w:jc w:val="both"/>
            </w:pPr>
            <w:r>
              <w:rPr>
                <w:rFonts w:ascii="Times New Roman"/>
                <w:b w:val="false"/>
                <w:i w:val="false"/>
                <w:color w:val="000000"/>
                <w:sz w:val="20"/>
              </w:rPr>
              <w:t>
   4) оценка сигнала;</w:t>
            </w:r>
          </w:p>
          <w:p>
            <w:pPr>
              <w:spacing w:after="20"/>
              <w:ind w:left="20"/>
              <w:jc w:val="both"/>
            </w:pPr>
            <w:r>
              <w:rPr>
                <w:rFonts w:ascii="Times New Roman"/>
                <w:b w:val="false"/>
                <w:i w:val="false"/>
                <w:color w:val="000000"/>
                <w:sz w:val="20"/>
              </w:rPr>
              <w:t>
   5) рекомендации по действиям;</w:t>
            </w:r>
          </w:p>
          <w:p>
            <w:pPr>
              <w:spacing w:after="20"/>
              <w:ind w:left="20"/>
              <w:jc w:val="both"/>
            </w:pPr>
            <w:r>
              <w:rPr>
                <w:rFonts w:ascii="Times New Roman"/>
                <w:b w:val="false"/>
                <w:i w:val="false"/>
                <w:color w:val="000000"/>
                <w:sz w:val="20"/>
              </w:rPr>
              <w:t>
   6) обмен информацией.</w:t>
            </w:r>
          </w:p>
          <w:p>
            <w:pPr>
              <w:spacing w:after="20"/>
              <w:ind w:left="20"/>
              <w:jc w:val="both"/>
            </w:pPr>
            <w:r>
              <w:rPr>
                <w:rFonts w:ascii="Times New Roman"/>
                <w:b w:val="false"/>
                <w:i w:val="false"/>
                <w:color w:val="000000"/>
                <w:sz w:val="20"/>
              </w:rPr>
              <w:t xml:space="preserve">
   9.1.3.1.3. В связи с широким рядом доступности источников информации, используемых для обнаружения сигналов, обработка сигналов по стадиям нарушается в случаях: </w:t>
            </w:r>
          </w:p>
          <w:p>
            <w:pPr>
              <w:spacing w:after="20"/>
              <w:ind w:left="20"/>
              <w:jc w:val="both"/>
            </w:pPr>
            <w:r>
              <w:rPr>
                <w:rFonts w:ascii="Times New Roman"/>
                <w:b w:val="false"/>
                <w:i w:val="false"/>
                <w:color w:val="000000"/>
                <w:sz w:val="20"/>
              </w:rPr>
              <w:t>
   1) когда обнаружение сигналов в основном базируется на обзоре индивидуальных сообщений о нежелательных реакциях, процедура включает верификацию и предварительную приоритизацию обнаруженного сигнала;</w:t>
            </w:r>
          </w:p>
          <w:p>
            <w:pPr>
              <w:spacing w:after="20"/>
              <w:ind w:left="20"/>
              <w:jc w:val="both"/>
            </w:pPr>
            <w:r>
              <w:rPr>
                <w:rFonts w:ascii="Times New Roman"/>
                <w:b w:val="false"/>
                <w:i w:val="false"/>
                <w:color w:val="000000"/>
                <w:sz w:val="20"/>
              </w:rPr>
              <w:t>
   2) если сигнал выявлен по объединенным результатам исследования и невозможно при этом оценить каждое индивидуальное сообщение, то в результате валидации потребуется сбор дополнительных данных;</w:t>
            </w:r>
          </w:p>
          <w:p>
            <w:pPr>
              <w:spacing w:after="20"/>
              <w:ind w:left="20"/>
              <w:jc w:val="both"/>
            </w:pPr>
            <w:r>
              <w:rPr>
                <w:rFonts w:ascii="Times New Roman"/>
                <w:b w:val="false"/>
                <w:i w:val="false"/>
                <w:color w:val="000000"/>
                <w:sz w:val="20"/>
              </w:rPr>
              <w:t>
   3) если рекомендации по действиям и обмен информацией являются компонентами, которые учитываются на каждой стадии процесса.</w:t>
            </w:r>
          </w:p>
          <w:p>
            <w:pPr>
              <w:spacing w:after="20"/>
              <w:ind w:left="20"/>
              <w:jc w:val="both"/>
            </w:pPr>
            <w:r>
              <w:rPr>
                <w:rFonts w:ascii="Times New Roman"/>
                <w:b w:val="false"/>
                <w:i w:val="false"/>
                <w:color w:val="000000"/>
                <w:sz w:val="20"/>
              </w:rPr>
              <w:t>
   9.1.3.2. Выявление сигнала</w:t>
            </w:r>
          </w:p>
          <w:p>
            <w:pPr>
              <w:spacing w:after="20"/>
              <w:ind w:left="20"/>
              <w:jc w:val="both"/>
            </w:pPr>
            <w:r>
              <w:rPr>
                <w:rFonts w:ascii="Times New Roman"/>
                <w:b w:val="false"/>
                <w:i w:val="false"/>
                <w:color w:val="000000"/>
                <w:sz w:val="20"/>
              </w:rPr>
              <w:t>
   9.1.3.2.1. Ко всем методам выявления сигнала применяются следующие требования:</w:t>
            </w:r>
          </w:p>
          <w:p>
            <w:pPr>
              <w:spacing w:after="20"/>
              <w:ind w:left="20"/>
              <w:jc w:val="both"/>
            </w:pPr>
            <w:r>
              <w:rPr>
                <w:rFonts w:ascii="Times New Roman"/>
                <w:b w:val="false"/>
                <w:i w:val="false"/>
                <w:color w:val="000000"/>
                <w:sz w:val="20"/>
              </w:rPr>
              <w:t>
   1) используемый метод соответствует объему данных (использование сложных статистических методов может не подходить для небольшого объема данных);</w:t>
            </w:r>
          </w:p>
          <w:p>
            <w:pPr>
              <w:spacing w:after="20"/>
              <w:ind w:left="20"/>
              <w:jc w:val="both"/>
            </w:pPr>
            <w:r>
              <w:rPr>
                <w:rFonts w:ascii="Times New Roman"/>
                <w:b w:val="false"/>
                <w:i w:val="false"/>
                <w:color w:val="000000"/>
                <w:sz w:val="20"/>
              </w:rPr>
              <w:t>
   2) необходимо учитывать данные изо всех соответствующих источников;</w:t>
            </w:r>
          </w:p>
          <w:p>
            <w:pPr>
              <w:spacing w:after="20"/>
              <w:ind w:left="20"/>
              <w:jc w:val="both"/>
            </w:pPr>
            <w:r>
              <w:rPr>
                <w:rFonts w:ascii="Times New Roman"/>
                <w:b w:val="false"/>
                <w:i w:val="false"/>
                <w:color w:val="000000"/>
                <w:sz w:val="20"/>
              </w:rPr>
              <w:t>
   3) в наличии имеются системы, гарантирующие качество выполняемой деятельности по обнаружению данных;</w:t>
            </w:r>
          </w:p>
          <w:p>
            <w:pPr>
              <w:spacing w:after="20"/>
              <w:ind w:left="20"/>
              <w:jc w:val="both"/>
            </w:pPr>
            <w:r>
              <w:rPr>
                <w:rFonts w:ascii="Times New Roman"/>
                <w:b w:val="false"/>
                <w:i w:val="false"/>
                <w:color w:val="000000"/>
                <w:sz w:val="20"/>
              </w:rPr>
              <w:t>
   4) результаты обзора кумулятивных данных своевременно и надлежащим образом оцениваются квалифицированным лицом;</w:t>
            </w:r>
          </w:p>
          <w:p>
            <w:pPr>
              <w:spacing w:after="20"/>
              <w:ind w:left="20"/>
              <w:jc w:val="both"/>
            </w:pPr>
            <w:r>
              <w:rPr>
                <w:rFonts w:ascii="Times New Roman"/>
                <w:b w:val="false"/>
                <w:i w:val="false"/>
                <w:color w:val="000000"/>
                <w:sz w:val="20"/>
              </w:rPr>
              <w:t>
   5) при обнаружении угрозы общественному здоровью предпринимаются незамедлительные и эффективные действия;</w:t>
            </w:r>
          </w:p>
          <w:p>
            <w:pPr>
              <w:spacing w:after="20"/>
              <w:ind w:left="20"/>
              <w:jc w:val="both"/>
            </w:pPr>
            <w:r>
              <w:rPr>
                <w:rFonts w:ascii="Times New Roman"/>
                <w:b w:val="false"/>
                <w:i w:val="false"/>
                <w:color w:val="000000"/>
                <w:sz w:val="20"/>
              </w:rPr>
              <w:t>
   6) процесс выявления сигналов документируется надлежащим образом, включая обоснование метода и периодичности выполнения действий по обнаружению сигналов.</w:t>
            </w:r>
          </w:p>
          <w:p>
            <w:pPr>
              <w:spacing w:after="20"/>
              <w:ind w:left="20"/>
              <w:jc w:val="both"/>
            </w:pPr>
            <w:r>
              <w:rPr>
                <w:rFonts w:ascii="Times New Roman"/>
                <w:b w:val="false"/>
                <w:i w:val="false"/>
                <w:color w:val="000000"/>
                <w:sz w:val="20"/>
              </w:rPr>
              <w:t>
   9.1.3.2.2. Обнаружение сигналов по безопасности осуществляется на основании обзора баз данных индивидуальных сообщений о нежелательных реакциях, статистического анализа больших баз данных или на основании комбинированного подхода, основанного на сочетании этих двух методов.</w:t>
            </w:r>
          </w:p>
          <w:p>
            <w:pPr>
              <w:spacing w:after="20"/>
              <w:ind w:left="20"/>
              <w:jc w:val="both"/>
            </w:pPr>
            <w:r>
              <w:rPr>
                <w:rFonts w:ascii="Times New Roman"/>
                <w:b w:val="false"/>
                <w:i w:val="false"/>
                <w:color w:val="000000"/>
                <w:sz w:val="20"/>
              </w:rPr>
              <w:t>
   9.1.3.2.1</w:t>
            </w:r>
            <w:r>
              <w:rPr>
                <w:rFonts w:ascii="Times New Roman"/>
                <w:b/>
                <w:i w:val="false"/>
                <w:color w:val="000000"/>
                <w:sz w:val="20"/>
              </w:rPr>
              <w:t xml:space="preserve">. </w:t>
            </w:r>
            <w:r>
              <w:rPr>
                <w:rFonts w:ascii="Times New Roman"/>
                <w:b w:val="false"/>
                <w:i w:val="false"/>
                <w:color w:val="000000"/>
                <w:sz w:val="20"/>
              </w:rPr>
              <w:t>Обзор индивидуальных отчетов о безопасности</w:t>
            </w:r>
          </w:p>
          <w:p>
            <w:pPr>
              <w:spacing w:after="20"/>
              <w:ind w:left="20"/>
              <w:jc w:val="both"/>
            </w:pPr>
            <w:r>
              <w:rPr>
                <w:rFonts w:ascii="Times New Roman"/>
                <w:b w:val="false"/>
                <w:i w:val="false"/>
                <w:color w:val="000000"/>
                <w:sz w:val="20"/>
              </w:rPr>
              <w:t xml:space="preserve">
   Индивидуальные сообщения о нежелательных реакциях получают из спонтанной системы репортирования, активных форм мониторинга, клинических исследований или опубликованные в медицинской литературе. Одного сообщения о серьезной или тяжелой нежелательной реакции (одно сообщение об анафилактическом шоке) достаточно для того, чтобы обратить на это сообщение внимание и предпринять дальнейшие действия. Информация, подлежащая оценке, включает количество сообщений (после исключения повторяющихся сообщений и сообщений, оформленных ненадлежащим образом), демографические данные пациента (возраст и пол), подозреваемый лекарственный препарат (введенная доза) и нежелательную реакцию (признаки и симптомы), временную взаимосвязь, клинический исход в связи с продолжением или прекращением приема лекарственного препарата, наличие потенциальных альтернативных причин развития нежелательного явления, оценку отправителем сообщения причинно-следственной связи и достоверность биологической и фармакологической связи. </w:t>
            </w:r>
          </w:p>
          <w:p>
            <w:pPr>
              <w:spacing w:after="20"/>
              <w:ind w:left="20"/>
              <w:jc w:val="both"/>
            </w:pPr>
            <w:r>
              <w:rPr>
                <w:rFonts w:ascii="Times New Roman"/>
                <w:b w:val="false"/>
                <w:i w:val="false"/>
                <w:color w:val="000000"/>
                <w:sz w:val="20"/>
              </w:rPr>
              <w:t>
   9.1.3.2.2. Статистические анализы в больших базах данных</w:t>
            </w:r>
          </w:p>
          <w:p>
            <w:pPr>
              <w:spacing w:after="20"/>
              <w:ind w:left="20"/>
              <w:jc w:val="both"/>
            </w:pPr>
            <w:r>
              <w:rPr>
                <w:rFonts w:ascii="Times New Roman"/>
                <w:b w:val="false"/>
                <w:i w:val="false"/>
                <w:color w:val="000000"/>
                <w:sz w:val="20"/>
              </w:rPr>
              <w:t>
   Существуют различные статистические методы автоматического выявления сигналов исходя из непропорциональности количества отчетов, то есть более высокий уровень репортирования о предполагаемой подозреваемой нежелательной реакции на соответствующее действующее вещество (лекарственный препарат) по сравнению с другими действующими веществами (лекарственными препаратами) в базе данных. При использовании статистических методов и выборе критериев идентификации сигналов учитываеться объем данных, полнота доступной информации и серьезность нежелательной реакции.</w:t>
            </w:r>
          </w:p>
          <w:p>
            <w:pPr>
              <w:spacing w:after="20"/>
              <w:ind w:left="20"/>
              <w:jc w:val="both"/>
            </w:pPr>
            <w:r>
              <w:rPr>
                <w:rFonts w:ascii="Times New Roman"/>
                <w:b w:val="false"/>
                <w:i w:val="false"/>
                <w:color w:val="000000"/>
                <w:sz w:val="20"/>
              </w:rPr>
              <w:t>
   Периодичность выполнения статистического анализа базы данных и генерирования статистического отчета зависит от характеристики действующего вещества (лекарственного препарата), показаний к применению и потенциальных или идентифицированных рисков.</w:t>
            </w:r>
          </w:p>
          <w:p>
            <w:pPr>
              <w:spacing w:after="20"/>
              <w:ind w:left="20"/>
              <w:jc w:val="both"/>
            </w:pPr>
            <w:r>
              <w:rPr>
                <w:rFonts w:ascii="Times New Roman"/>
                <w:b w:val="false"/>
                <w:i w:val="false"/>
                <w:color w:val="000000"/>
                <w:sz w:val="20"/>
              </w:rPr>
              <w:t>
   9.1.3.2.3. Комбинация статистических методов и обзора индивидуальных отчетов о безопасности</w:t>
            </w:r>
          </w:p>
          <w:p>
            <w:pPr>
              <w:spacing w:after="20"/>
              <w:ind w:left="20"/>
              <w:jc w:val="both"/>
            </w:pPr>
            <w:r>
              <w:rPr>
                <w:rFonts w:ascii="Times New Roman"/>
                <w:b w:val="false"/>
                <w:i w:val="false"/>
                <w:color w:val="000000"/>
                <w:sz w:val="20"/>
              </w:rPr>
              <w:t>
   Статистические отчеты предназначены для выявления подозреваемых нежелательных реакций, соответствующих предварительно определенным критериям частоты, степени тяжести, клинической значимости, новизны или статистической взаимосвязи. Фильтрующие методы упрощают отбор наиболее важных индивидуальных сообщений о нежелательных реакциях, рассматриваемых на первой стадии процедуры. Предельное значение показателя, используемое в фильтрующем процессе (не менее трех сообщений), может варьироваться в зависимости от клинической значимости подозреваемой нежелательной реакции и сигнала, влияния на общественное здоровье и степени распространенности использования лекарственных препаратов.</w:t>
            </w:r>
          </w:p>
          <w:p>
            <w:pPr>
              <w:spacing w:after="20"/>
              <w:ind w:left="20"/>
              <w:jc w:val="both"/>
            </w:pPr>
            <w:r>
              <w:rPr>
                <w:rFonts w:ascii="Times New Roman"/>
                <w:b w:val="false"/>
                <w:i w:val="false"/>
                <w:color w:val="000000"/>
                <w:sz w:val="20"/>
              </w:rPr>
              <w:t>
   При использовании автоматического скрининга в процессе обнаружения сигналов соответствующие индивидуальные сообщения о нежелательных реакциях изучтся по отдельности.</w:t>
            </w:r>
          </w:p>
          <w:p>
            <w:pPr>
              <w:spacing w:after="20"/>
              <w:ind w:left="20"/>
              <w:jc w:val="both"/>
            </w:pPr>
            <w:r>
              <w:rPr>
                <w:rFonts w:ascii="Times New Roman"/>
                <w:b w:val="false"/>
                <w:i w:val="false"/>
                <w:color w:val="000000"/>
                <w:sz w:val="20"/>
              </w:rPr>
              <w:t>
   Независимо от используемого статистического метода, процедура обнаружения сигналов всегда включает клиническую оценку. Статистический метод является дополнительным методом процесса выявления и валидации сигнала.</w:t>
            </w:r>
          </w:p>
          <w:p>
            <w:pPr>
              <w:spacing w:after="20"/>
              <w:ind w:left="20"/>
              <w:jc w:val="both"/>
            </w:pPr>
            <w:r>
              <w:rPr>
                <w:rFonts w:ascii="Times New Roman"/>
                <w:b w:val="false"/>
                <w:i w:val="false"/>
                <w:color w:val="000000"/>
                <w:sz w:val="20"/>
              </w:rPr>
              <w:t>
   9.1.3.3. Валидация сигнала</w:t>
            </w:r>
          </w:p>
          <w:p>
            <w:pPr>
              <w:spacing w:after="20"/>
              <w:ind w:left="20"/>
              <w:jc w:val="both"/>
            </w:pPr>
            <w:r>
              <w:rPr>
                <w:rFonts w:ascii="Times New Roman"/>
                <w:b w:val="false"/>
                <w:i w:val="false"/>
                <w:color w:val="000000"/>
                <w:sz w:val="20"/>
              </w:rPr>
              <w:t>
   9.1.3.3.1. При выявлении сигнала выполняется оценка данных с целью верификации и подтверждения того факта, что доступная информация содержит достаточные доказательства выявления новой потенциальной причинно-следственной связи или новом аспекте ранее установленной взаимосвязи. Результаты валидации определяют необходимость дальнейшей оценки сигнала.</w:t>
            </w:r>
          </w:p>
          <w:p>
            <w:pPr>
              <w:spacing w:after="20"/>
              <w:ind w:left="20"/>
              <w:jc w:val="both"/>
            </w:pPr>
            <w:r>
              <w:rPr>
                <w:rFonts w:ascii="Times New Roman"/>
                <w:b w:val="false"/>
                <w:i w:val="false"/>
                <w:color w:val="000000"/>
                <w:sz w:val="20"/>
              </w:rPr>
              <w:t>
   При выполнении процедуры валидации сигнала, независимо от источника его получения, учитывается следующее:</w:t>
            </w:r>
          </w:p>
          <w:p>
            <w:pPr>
              <w:spacing w:after="20"/>
              <w:ind w:left="20"/>
              <w:jc w:val="both"/>
            </w:pPr>
            <w:r>
              <w:rPr>
                <w:rFonts w:ascii="Times New Roman"/>
                <w:b w:val="false"/>
                <w:i w:val="false"/>
                <w:color w:val="000000"/>
                <w:sz w:val="20"/>
              </w:rPr>
              <w:t>
   1) клиническая значимость:</w:t>
            </w:r>
          </w:p>
          <w:p>
            <w:pPr>
              <w:spacing w:after="20"/>
              <w:ind w:left="20"/>
              <w:jc w:val="both"/>
            </w:pPr>
            <w:r>
              <w:rPr>
                <w:rFonts w:ascii="Times New Roman"/>
                <w:b w:val="false"/>
                <w:i w:val="false"/>
                <w:color w:val="000000"/>
                <w:sz w:val="20"/>
              </w:rPr>
              <w:t>
   1.1 уровень доказательности в отношении причины явления (количество сообщений с учетом воздействия, временной взаимосвязи, правдоподобности (вероятности) механизма развития нежелательной реакции, результатов отмены и повторного назначения лекарственного препарата, альтернативного объяснения или иных причинных факторов);</w:t>
            </w:r>
          </w:p>
          <w:p>
            <w:pPr>
              <w:spacing w:after="20"/>
              <w:ind w:left="20"/>
              <w:jc w:val="both"/>
            </w:pPr>
            <w:r>
              <w:rPr>
                <w:rFonts w:ascii="Times New Roman"/>
                <w:b w:val="false"/>
                <w:i w:val="false"/>
                <w:color w:val="000000"/>
                <w:sz w:val="20"/>
              </w:rPr>
              <w:t>
   1.2 серьезность нежелательной реакции и ее исход;</w:t>
            </w:r>
          </w:p>
          <w:p>
            <w:pPr>
              <w:spacing w:after="20"/>
              <w:ind w:left="20"/>
              <w:jc w:val="both"/>
            </w:pPr>
            <w:r>
              <w:rPr>
                <w:rFonts w:ascii="Times New Roman"/>
                <w:b w:val="false"/>
                <w:i w:val="false"/>
                <w:color w:val="000000"/>
                <w:sz w:val="20"/>
              </w:rPr>
              <w:t>
   1.3 новизна реакции (новые и серьезные нежелательные реакции);</w:t>
            </w:r>
          </w:p>
          <w:p>
            <w:pPr>
              <w:spacing w:after="20"/>
              <w:ind w:left="20"/>
              <w:jc w:val="both"/>
            </w:pPr>
            <w:r>
              <w:rPr>
                <w:rFonts w:ascii="Times New Roman"/>
                <w:b w:val="false"/>
                <w:i w:val="false"/>
                <w:color w:val="000000"/>
                <w:sz w:val="20"/>
              </w:rPr>
              <w:t>
   1.4 клинический контекст (подозрение на клинический синдром,</w:t>
            </w:r>
          </w:p>
          <w:p>
            <w:pPr>
              <w:spacing w:after="20"/>
              <w:ind w:left="20"/>
              <w:jc w:val="both"/>
            </w:pPr>
            <w:r>
              <w:rPr>
                <w:rFonts w:ascii="Times New Roman"/>
                <w:b w:val="false"/>
                <w:i w:val="false"/>
                <w:color w:val="000000"/>
                <w:sz w:val="20"/>
              </w:rPr>
              <w:t>
   включая другие реакции);</w:t>
            </w:r>
          </w:p>
          <w:p>
            <w:pPr>
              <w:spacing w:after="20"/>
              <w:ind w:left="20"/>
              <w:jc w:val="both"/>
            </w:pPr>
            <w:r>
              <w:rPr>
                <w:rFonts w:ascii="Times New Roman"/>
                <w:b w:val="false"/>
                <w:i w:val="false"/>
                <w:color w:val="000000"/>
                <w:sz w:val="20"/>
              </w:rPr>
              <w:t>
   1.5 возможные лекарственные взаимодействия и реакции у особых групп пациентов.</w:t>
            </w:r>
          </w:p>
          <w:p>
            <w:pPr>
              <w:spacing w:after="20"/>
              <w:ind w:left="20"/>
              <w:jc w:val="both"/>
            </w:pPr>
            <w:r>
              <w:rPr>
                <w:rFonts w:ascii="Times New Roman"/>
                <w:b w:val="false"/>
                <w:i w:val="false"/>
                <w:color w:val="000000"/>
                <w:sz w:val="20"/>
              </w:rPr>
              <w:t>
   2) предшествующая информация:</w:t>
            </w:r>
          </w:p>
          <w:p>
            <w:pPr>
              <w:spacing w:after="20"/>
              <w:ind w:left="20"/>
              <w:jc w:val="both"/>
            </w:pPr>
            <w:r>
              <w:rPr>
                <w:rFonts w:ascii="Times New Roman"/>
                <w:b w:val="false"/>
                <w:i w:val="false"/>
                <w:color w:val="000000"/>
                <w:sz w:val="20"/>
              </w:rPr>
              <w:t>
   2.1 информация уже включена в краткую характеристику лекарственного препарата или листок-вкладыш;</w:t>
            </w:r>
          </w:p>
          <w:p>
            <w:pPr>
              <w:spacing w:after="20"/>
              <w:ind w:left="20"/>
              <w:jc w:val="both"/>
            </w:pPr>
            <w:r>
              <w:rPr>
                <w:rFonts w:ascii="Times New Roman"/>
                <w:b w:val="false"/>
                <w:i w:val="false"/>
                <w:color w:val="000000"/>
                <w:sz w:val="20"/>
              </w:rPr>
              <w:t>
   2.2 сигнал уже оценен уполномоченным органом в ПОБ или плане управления рисками (ПУР), либо обсужден на уровне научного экспертного комитета, либо являлся основанием для уполномоченной процедуры.</w:t>
            </w:r>
          </w:p>
          <w:p>
            <w:pPr>
              <w:spacing w:after="20"/>
              <w:ind w:left="20"/>
              <w:jc w:val="both"/>
            </w:pPr>
            <w:r>
              <w:rPr>
                <w:rFonts w:ascii="Times New Roman"/>
                <w:b w:val="false"/>
                <w:i w:val="false"/>
                <w:color w:val="000000"/>
                <w:sz w:val="20"/>
              </w:rPr>
              <w:t>
   Валидации подлежат сигналы, не относящиеся к вышеуказанным. В тоже время по уже известным сигналам может потребоваться проведение валидации в случае подозреваемого выявления отличий по частоте развития, длительности персистирования, степени тяжести или исхода (выявленный во взаимосвязи летальный исход) по сравнению с данными или характеристикой, включенными в инструкцию по медицинскому применению или ранее рассматриваемыми уполномоченным органом.</w:t>
            </w:r>
          </w:p>
          <w:p>
            <w:pPr>
              <w:spacing w:after="20"/>
              <w:ind w:left="20"/>
              <w:jc w:val="both"/>
            </w:pPr>
            <w:r>
              <w:rPr>
                <w:rFonts w:ascii="Times New Roman"/>
                <w:b w:val="false"/>
                <w:i w:val="false"/>
                <w:color w:val="000000"/>
                <w:sz w:val="20"/>
              </w:rPr>
              <w:t>
   3) Наличие других соответствующих источников информации с бульшим объемом данных по определенной нежелательной реакции:</w:t>
            </w:r>
          </w:p>
          <w:p>
            <w:pPr>
              <w:spacing w:after="20"/>
              <w:ind w:left="20"/>
              <w:jc w:val="both"/>
            </w:pPr>
            <w:r>
              <w:rPr>
                <w:rFonts w:ascii="Times New Roman"/>
                <w:b w:val="false"/>
                <w:i w:val="false"/>
                <w:color w:val="000000"/>
                <w:sz w:val="20"/>
              </w:rPr>
              <w:t>
   3.1 литературные данные о подобных сообщениях;</w:t>
            </w:r>
          </w:p>
          <w:p>
            <w:pPr>
              <w:spacing w:after="20"/>
              <w:ind w:left="20"/>
              <w:jc w:val="both"/>
            </w:pPr>
            <w:r>
              <w:rPr>
                <w:rFonts w:ascii="Times New Roman"/>
                <w:b w:val="false"/>
                <w:i w:val="false"/>
                <w:color w:val="000000"/>
                <w:sz w:val="20"/>
              </w:rPr>
              <w:t>
   3.2 экспериментальные результаты или биологические механизмы;</w:t>
            </w:r>
          </w:p>
          <w:p>
            <w:pPr>
              <w:spacing w:after="20"/>
              <w:ind w:left="20"/>
              <w:jc w:val="both"/>
            </w:pPr>
            <w:r>
              <w:rPr>
                <w:rFonts w:ascii="Times New Roman"/>
                <w:b w:val="false"/>
                <w:i w:val="false"/>
                <w:color w:val="000000"/>
                <w:sz w:val="20"/>
              </w:rPr>
              <w:t>
   3.3 обзор более крупных баз данных (объединенные базы данных уполномоченных органов).</w:t>
            </w:r>
          </w:p>
          <w:p>
            <w:pPr>
              <w:spacing w:after="20"/>
              <w:ind w:left="20"/>
              <w:jc w:val="both"/>
            </w:pPr>
            <w:r>
              <w:rPr>
                <w:rFonts w:ascii="Times New Roman"/>
                <w:b w:val="false"/>
                <w:i w:val="false"/>
                <w:color w:val="000000"/>
                <w:sz w:val="20"/>
              </w:rPr>
              <w:t>
   9.1.3.3.3. Сигнал приобретает статус валидированного, если процесс верификации всей имеющей отношение документации свидетельствует о предположительно новой причинно-следственной связи или новом аспекте известной взаимосвязи, и, следовательно, является обоснованием дальнейшей оценки.</w:t>
            </w:r>
          </w:p>
          <w:p>
            <w:pPr>
              <w:spacing w:after="20"/>
              <w:ind w:left="20"/>
              <w:jc w:val="both"/>
            </w:pPr>
            <w:r>
              <w:rPr>
                <w:rFonts w:ascii="Times New Roman"/>
                <w:b w:val="false"/>
                <w:i w:val="false"/>
                <w:color w:val="000000"/>
                <w:sz w:val="20"/>
              </w:rPr>
              <w:t>
   9.1.3.3.4. Сигнал, для которого в процессе валидации не была подтверждена предположительно новая причинно-следственная связь или новый аспект известной взаимосвязи, может потребовать выполнения дальнейшего анализа в случаях недостаточности количества документации по соответствующему случаю нежелательной реакции. В подобных случаях новые сообщения о нежелательных реакциях или результаты последующего наблюдения по ранее полученным случаям из периода пострегистрационного наблюдения пересматриваются через соответствующие периоды времени с целью обеспечения учета и рассмотрения всех соответствующих сообщений.</w:t>
            </w:r>
          </w:p>
          <w:p>
            <w:pPr>
              <w:spacing w:after="20"/>
              <w:ind w:left="20"/>
              <w:jc w:val="both"/>
            </w:pPr>
            <w:r>
              <w:rPr>
                <w:rFonts w:ascii="Times New Roman"/>
                <w:b w:val="false"/>
                <w:i w:val="false"/>
                <w:color w:val="000000"/>
                <w:sz w:val="20"/>
              </w:rPr>
              <w:t>
   9.1.3.3.5. Держатели регистрационных удостоверений и уполномоченная организация организоввывают системы отслеживания с целью учета результатов валидации сигналов, включая изучение и отслеживание причин, по которым сигналы не были приняты как свидетельствующие о предположительно новой причинно-следственной связи или новом аспекте известной взаимосвязи, а также информации, которая помогла бы в поиске подобных случаев и оценке сигналов.</w:t>
            </w:r>
          </w:p>
          <w:p>
            <w:pPr>
              <w:spacing w:after="20"/>
              <w:ind w:left="20"/>
              <w:jc w:val="both"/>
            </w:pPr>
            <w:r>
              <w:rPr>
                <w:rFonts w:ascii="Times New Roman"/>
                <w:b w:val="false"/>
                <w:i w:val="false"/>
                <w:color w:val="000000"/>
                <w:sz w:val="20"/>
              </w:rPr>
              <w:t>
   9.1.3.4. Анализ и приоритизация сигналов</w:t>
            </w:r>
          </w:p>
          <w:p>
            <w:pPr>
              <w:spacing w:after="20"/>
              <w:ind w:left="20"/>
              <w:jc w:val="both"/>
            </w:pPr>
            <w:r>
              <w:rPr>
                <w:rFonts w:ascii="Times New Roman"/>
                <w:b w:val="false"/>
                <w:i w:val="false"/>
                <w:color w:val="000000"/>
                <w:sz w:val="20"/>
              </w:rPr>
              <w:t>
   9.1.3.4.1. Ключевым элементом процесса управления сигналами является незамедлительное определение их влияния на общественное здоровье или соотношение польза-риск лекарственного препарата у пациентов, подвергающихся воздействию. Процесс приоритизации включает:</w:t>
            </w:r>
          </w:p>
          <w:p>
            <w:pPr>
              <w:spacing w:after="20"/>
              <w:ind w:left="20"/>
              <w:jc w:val="both"/>
            </w:pPr>
            <w:r>
              <w:rPr>
                <w:rFonts w:ascii="Times New Roman"/>
                <w:b w:val="false"/>
                <w:i w:val="false"/>
                <w:color w:val="000000"/>
                <w:sz w:val="20"/>
              </w:rPr>
              <w:t>
   1) доказательность и согласованность информации (биологическая достоверность, большое количество достоверных случаев, сообщенных в течение непродолжительного периода времени, высокие значения показателя о диспропорциональности, быстрое увеличение этого показателя с течением времени, идентификация сигнала в разных условиях применения в амбулаторной и клинической практик), источники или страны, из которых получены данные;</w:t>
            </w:r>
          </w:p>
          <w:p>
            <w:pPr>
              <w:spacing w:after="20"/>
              <w:ind w:left="20"/>
              <w:jc w:val="both"/>
            </w:pPr>
            <w:r>
              <w:rPr>
                <w:rFonts w:ascii="Times New Roman"/>
                <w:b w:val="false"/>
                <w:i w:val="false"/>
                <w:color w:val="000000"/>
                <w:sz w:val="20"/>
              </w:rPr>
              <w:t>
   2) влияние на пациентов, в зависимости от степени тяжести, обратимости, потенциала предотвращения и клинического исхода нежелательной реакции, результаты прекращения лечения применительно к течению заболевания и другие терапевтические показатели;</w:t>
            </w:r>
          </w:p>
          <w:p>
            <w:pPr>
              <w:spacing w:after="20"/>
              <w:ind w:left="20"/>
              <w:jc w:val="both"/>
            </w:pPr>
            <w:r>
              <w:rPr>
                <w:rFonts w:ascii="Times New Roman"/>
                <w:b w:val="false"/>
                <w:i w:val="false"/>
                <w:color w:val="000000"/>
                <w:sz w:val="20"/>
              </w:rPr>
              <w:t>
   3) влияние на общественное здоровье, в зависимости от степени использования лекарственного препарата в общей группе пациентов и в популяционных группах риска (лекарственные препараты, используемые беременными женщинами, детьми или пожилыми людьми) и способа использования лекарственного препарата (неправильное использование или использование не по заявленным показаниям); влияние на общественное здоровье включает оценку количества пациентов, у которых может развиться серьезная нежелательная реакция, это количество обязательно изучается по отношению к общей выборке пациентов в общей группе, группе пациентов с целевым заболеванием и группе пациентов, подвергшихся воздействию;</w:t>
            </w:r>
          </w:p>
          <w:p>
            <w:pPr>
              <w:spacing w:after="20"/>
              <w:ind w:left="20"/>
              <w:jc w:val="both"/>
            </w:pPr>
            <w:r>
              <w:rPr>
                <w:rFonts w:ascii="Times New Roman"/>
                <w:b w:val="false"/>
                <w:i w:val="false"/>
                <w:color w:val="000000"/>
                <w:sz w:val="20"/>
              </w:rPr>
              <w:t>
   4) повышенная частота или степень тяжесть известного нежелательного действия;</w:t>
            </w:r>
          </w:p>
          <w:p>
            <w:pPr>
              <w:spacing w:after="20"/>
              <w:ind w:left="20"/>
              <w:jc w:val="both"/>
            </w:pPr>
            <w:r>
              <w:rPr>
                <w:rFonts w:ascii="Times New Roman"/>
                <w:b w:val="false"/>
                <w:i w:val="false"/>
                <w:color w:val="000000"/>
                <w:sz w:val="20"/>
              </w:rPr>
              <w:t>
   5) новизна подозреваемой нежелательной реакции, когда неизвестная подозреваемая нежелательная реакция развивается вскоре после поступления нового лекарственного продукта в медицинскую практику;</w:t>
            </w:r>
          </w:p>
          <w:p>
            <w:pPr>
              <w:spacing w:after="20"/>
              <w:ind w:left="20"/>
              <w:jc w:val="both"/>
            </w:pPr>
            <w:r>
              <w:rPr>
                <w:rFonts w:ascii="Times New Roman"/>
                <w:b w:val="false"/>
                <w:i w:val="false"/>
                <w:color w:val="000000"/>
                <w:sz w:val="20"/>
              </w:rPr>
              <w:t>
   6) если заявление на получение регистрационного удостоверения нового действующего вещества еще находится на рассмотрении уполномоченным органом и сигнал о безопасности получен из третьей страны, в которой этот лекарственный препарат уже зарегистрирован, или в иной базе данных по нежелательным реакциям обнаружена тяжелая нежелательная реакция из третьей страны, этому сигналу также уделяется внимание.</w:t>
            </w:r>
          </w:p>
          <w:p>
            <w:pPr>
              <w:spacing w:after="20"/>
              <w:ind w:left="20"/>
              <w:jc w:val="both"/>
            </w:pPr>
            <w:r>
              <w:rPr>
                <w:rFonts w:ascii="Times New Roman"/>
                <w:b w:val="false"/>
                <w:i w:val="false"/>
                <w:color w:val="000000"/>
                <w:sz w:val="20"/>
              </w:rPr>
              <w:t>
   9.1.3.4.2. В некоторых случаях приоритетное значение оценки отдается сигналам, полученным в отношении лекарственных препаратов или явлений с потенциальным высоким вниманием со стороны средств массовой информации и заинтересованных сторон фармаконадзора с целью незамедлительного донесения до общественности и медицинских работников результатов такой оценки.</w:t>
            </w:r>
          </w:p>
          <w:p>
            <w:pPr>
              <w:spacing w:after="20"/>
              <w:ind w:left="20"/>
              <w:jc w:val="both"/>
            </w:pPr>
            <w:r>
              <w:rPr>
                <w:rFonts w:ascii="Times New Roman"/>
                <w:b w:val="false"/>
                <w:i w:val="false"/>
                <w:color w:val="000000"/>
                <w:sz w:val="20"/>
              </w:rPr>
              <w:t>
   9.1.3.4.3. Результат процедуры приоритизации сигнала включает рекомендацию по временным рамкам оценки сигнала.</w:t>
            </w:r>
          </w:p>
          <w:p>
            <w:pPr>
              <w:spacing w:after="20"/>
              <w:ind w:left="20"/>
              <w:jc w:val="both"/>
            </w:pPr>
            <w:r>
              <w:rPr>
                <w:rFonts w:ascii="Times New Roman"/>
                <w:b w:val="false"/>
                <w:i w:val="false"/>
                <w:color w:val="000000"/>
                <w:sz w:val="20"/>
              </w:rPr>
              <w:t>
   9.1.3.4.4. Результат процедуры приоритизации сигнала заносится в систему отслеживания с обоснованием присвоенного уровня приоритизации сигнала.</w:t>
            </w:r>
          </w:p>
          <w:p>
            <w:pPr>
              <w:spacing w:after="20"/>
              <w:ind w:left="20"/>
              <w:jc w:val="both"/>
            </w:pPr>
            <w:r>
              <w:rPr>
                <w:rFonts w:ascii="Times New Roman"/>
                <w:b w:val="false"/>
                <w:i w:val="false"/>
                <w:color w:val="000000"/>
                <w:sz w:val="20"/>
              </w:rPr>
              <w:t>
   9.1.3.5. Оценка сигналов</w:t>
            </w:r>
          </w:p>
          <w:p>
            <w:pPr>
              <w:spacing w:after="20"/>
              <w:ind w:left="20"/>
              <w:jc w:val="both"/>
            </w:pPr>
            <w:r>
              <w:rPr>
                <w:rFonts w:ascii="Times New Roman"/>
                <w:b w:val="false"/>
                <w:i w:val="false"/>
                <w:color w:val="000000"/>
                <w:sz w:val="20"/>
              </w:rPr>
              <w:t>
   9.1.3.5.1. Целью оценки сигналов является изучение доказательств причинно-следственной связи нежелательной реакции и подозреваемого лекарственного средства с целью количественной оценки взаимосвязи (предпочтительно в абсолютных величинах) и определения необходимости сбора дополнительных данных или принятия уполномоченных мер. Оценка состоит из фармакологического, медицинского и эпидемиологического изучения всей имеющейся информации по соответствующему сигналу. Обзор включает доступные фармакологические, доклинические и клинические данные и является максимально полным применительно к источникам получения информации, включая данные досье лекарственного препарата при подаче заявления на регистрацию и последующие изменения, литературные статьи, спонтанные сообщения и неопубликованную информацию от держателей регистрационных удостоверений и уполномоченных органов третьих стран. Также учитываются рекомендации внешних экспертов. Если информация получена из нескольких источников, необходимо учитывать уровень их доказательности и ограничения с целью оценки их вклада в оценку вопроса по безопасности. Совокупная информация из разных источников также требует выбора международной признанной терминологии медицинских явлений. В случае отсутствия такого терминологического определения, необходимо операционное определение.</w:t>
            </w:r>
          </w:p>
          <w:p>
            <w:pPr>
              <w:spacing w:after="20"/>
              <w:ind w:left="20"/>
              <w:jc w:val="both"/>
            </w:pPr>
            <w:r>
              <w:rPr>
                <w:rFonts w:ascii="Times New Roman"/>
                <w:b w:val="false"/>
                <w:i w:val="false"/>
                <w:color w:val="000000"/>
                <w:sz w:val="20"/>
              </w:rPr>
              <w:t>
   9.1.3.5.2. В некоторых случаях сигналы оцениваются согласно терапевтическому уровню или классу системы органов, или на уровне стандартизированного запроса в словаре медицинской терминологии MedDRA. Поиск информации иногда требует включения других лекарственных препаратов одного класса и других нежелательных реакций с использованием других терминов, имеющих отношение к сложному заболеванию (неврит зрительного нерва как возможный первый признак множественного склероза), ранней стадии реакции (удлинение интервала QT) или клиническим осложнениям соответствующей нежелательной реакции (обезвоживание или острая почечная недостаточность).</w:t>
            </w:r>
          </w:p>
          <w:p>
            <w:pPr>
              <w:spacing w:after="20"/>
              <w:ind w:left="20"/>
              <w:jc w:val="both"/>
            </w:pPr>
            <w:r>
              <w:rPr>
                <w:rFonts w:ascii="Times New Roman"/>
                <w:b w:val="false"/>
                <w:i w:val="false"/>
                <w:color w:val="000000"/>
                <w:sz w:val="20"/>
              </w:rPr>
              <w:t>
   9.1.3.5.3. Сбор информации из разных источников занимает время. В целях оптимизации процесса используется пошаговый метод оценки сигнала. К новому сигналу о тяжелой неблагоприятной реакции, принимаются временные меры, если в результате первой стадии оценки на основании доступной информации сделан вывод о потенциальном риске, который необходимо предотвратить.</w:t>
            </w:r>
          </w:p>
          <w:p>
            <w:pPr>
              <w:spacing w:after="20"/>
              <w:ind w:left="20"/>
              <w:jc w:val="both"/>
            </w:pPr>
            <w:r>
              <w:rPr>
                <w:rFonts w:ascii="Times New Roman"/>
                <w:b w:val="false"/>
                <w:i w:val="false"/>
                <w:color w:val="000000"/>
                <w:sz w:val="20"/>
              </w:rPr>
              <w:t>
   9.1.3.6. Рекомендации по действиям уполномоченной организации</w:t>
            </w:r>
          </w:p>
          <w:p>
            <w:pPr>
              <w:spacing w:after="20"/>
              <w:ind w:left="20"/>
              <w:jc w:val="both"/>
            </w:pPr>
            <w:r>
              <w:rPr>
                <w:rFonts w:ascii="Times New Roman"/>
                <w:b w:val="false"/>
                <w:i w:val="false"/>
                <w:color w:val="000000"/>
                <w:sz w:val="20"/>
              </w:rPr>
              <w:t xml:space="preserve">
   9.1.3.6.1. Рекомендации по результатам оценки варьируются согласно действующему законодательству и выводу по результатам оценки сигнала. </w:t>
            </w:r>
          </w:p>
          <w:p>
            <w:pPr>
              <w:spacing w:after="20"/>
              <w:ind w:left="20"/>
              <w:jc w:val="both"/>
            </w:pPr>
            <w:r>
              <w:rPr>
                <w:rFonts w:ascii="Times New Roman"/>
                <w:b w:val="false"/>
                <w:i w:val="false"/>
                <w:color w:val="000000"/>
                <w:sz w:val="20"/>
              </w:rPr>
              <w:t xml:space="preserve">
   Рекомендации делаются после оценки сигнала, на основании совокупной информации, необходимость действий оценивают в ходе всего процесса управления сигналом, определяя обоснованность и целесообразность более ранних действий по минимизации риска. </w:t>
            </w:r>
          </w:p>
          <w:p>
            <w:pPr>
              <w:spacing w:after="20"/>
              <w:ind w:left="20"/>
              <w:jc w:val="both"/>
            </w:pPr>
            <w:r>
              <w:rPr>
                <w:rFonts w:ascii="Times New Roman"/>
                <w:b w:val="false"/>
                <w:i w:val="false"/>
                <w:color w:val="000000"/>
                <w:sz w:val="20"/>
              </w:rPr>
              <w:t>
   9.1.3.6.2. Действия по результатам оценки сигнала включают дополнительное изучение или меры минимизации рисков, если механизмы развития подозреваемой неблагоприятной реакции указывают на возможность предупреждения или снижение степени тяжести нежелательной реакции. Если вывод основан на ограниченной информации, может потребоваться проведение пострегистрационного исследования безопасности с целью изучения потенциального вопроса (проблемы) по безопасности.</w:t>
            </w:r>
          </w:p>
          <w:p>
            <w:pPr>
              <w:spacing w:after="20"/>
              <w:ind w:left="20"/>
              <w:jc w:val="both"/>
            </w:pPr>
            <w:r>
              <w:rPr>
                <w:rFonts w:ascii="Times New Roman"/>
                <w:b w:val="false"/>
                <w:i w:val="false"/>
                <w:color w:val="000000"/>
                <w:sz w:val="20"/>
              </w:rPr>
              <w:t>
   9.1.3.6.3. Если уполномоченная организация запрашивает у держателя регистрационного удостоверения проведение дополнительных действий, в таком запросе указывается срок, к которому данные действия выполняются, включая отчеты о достигнутых целях и промежуточных результатах, пропорционально степени тяжести и влиянию проблемы по безопасности на общественное здоровье. Держатель регистрационного удостоверения, уполномоченная организация учитывают возможность проведения исследования в установленные временные сроки, с учетом параметров исследуемого вопроса безопасности (частоты развития и потребности в проспективном дизайне исследования). Учитываются временные меры по обеспечению безопасного и эффективного применения лекарственного препарата или устранение риска, включая возможность временного приостановления действия регистрационного удостоверения лекарственного препарата.</w:t>
            </w:r>
          </w:p>
          <w:p>
            <w:pPr>
              <w:spacing w:after="20"/>
              <w:ind w:left="20"/>
              <w:jc w:val="both"/>
            </w:pPr>
            <w:r>
              <w:rPr>
                <w:rFonts w:ascii="Times New Roman"/>
                <w:b w:val="false"/>
                <w:i w:val="false"/>
                <w:color w:val="000000"/>
                <w:sz w:val="20"/>
              </w:rPr>
              <w:t>
   9.1.3.6.4. В случае отсутствия риска для пациентов, уполномоченная организация принимает решение об отсутствии необходимости дальнейшей оценки или дальнейших действий.</w:t>
            </w:r>
          </w:p>
          <w:p>
            <w:pPr>
              <w:spacing w:after="20"/>
              <w:ind w:left="20"/>
              <w:jc w:val="both"/>
            </w:pPr>
            <w:r>
              <w:rPr>
                <w:rFonts w:ascii="Times New Roman"/>
                <w:b w:val="false"/>
                <w:i w:val="false"/>
                <w:color w:val="000000"/>
                <w:sz w:val="20"/>
              </w:rPr>
              <w:t>
   9.1.3.7. Обмен информацией</w:t>
            </w:r>
          </w:p>
          <w:p>
            <w:pPr>
              <w:spacing w:after="20"/>
              <w:ind w:left="20"/>
              <w:jc w:val="both"/>
            </w:pPr>
            <w:r>
              <w:rPr>
                <w:rFonts w:ascii="Times New Roman"/>
                <w:b w:val="false"/>
                <w:i w:val="false"/>
                <w:color w:val="000000"/>
                <w:sz w:val="20"/>
              </w:rPr>
              <w:t>
   9.1.3.7.1. Следует обеспечить возможность выполнения обмена информацией между уполномоченной организацией, держателями регистрационного удостоверения и другими сторонами с целью распространения информации о сигналах, сбора дополнительных данных, дальнейшей оценки вопроса безопасности и принятия решения о защите здоровья пациентов. Временные требования по обмену информацией варьируются в зависимости от проблемы по безопасности, но информация о сигналах распространяется сразу же после выполнения процедуры их валидации и признания сигнал валидированным.</w:t>
            </w:r>
          </w:p>
          <w:p>
            <w:pPr>
              <w:spacing w:after="20"/>
              <w:ind w:left="20"/>
              <w:jc w:val="both"/>
            </w:pPr>
            <w:r>
              <w:rPr>
                <w:rFonts w:ascii="Times New Roman"/>
                <w:b w:val="false"/>
                <w:i w:val="false"/>
                <w:color w:val="000000"/>
                <w:sz w:val="20"/>
              </w:rPr>
              <w:t>
   9.1.3.7.2. Держатели регистрационных удостоверений передают всю соответствующую информацию о сигналах в уполномоченную организацию (как часть обязательств по фармаконадзору и мониторингу соотношения польза-риск лекарственного препарата). Валидированные сигналы, которые оказывают влияние на общественное здоровье и соотношение польза-риск лекарственного препарата, незамедлительно передаются в уполномоченный орган, а также в соответствующих случаях представляются предложения по возможным действиям.</w:t>
            </w:r>
          </w:p>
          <w:p>
            <w:pPr>
              <w:spacing w:after="20"/>
              <w:ind w:left="20"/>
              <w:jc w:val="both"/>
            </w:pPr>
            <w:r>
              <w:rPr>
                <w:rFonts w:ascii="Times New Roman"/>
                <w:b w:val="false"/>
                <w:i w:val="false"/>
                <w:color w:val="000000"/>
                <w:sz w:val="20"/>
              </w:rPr>
              <w:t>
   9.1.3.7.3. Уполномоченная организация передает результаты оценки сигналов держателям регистрационного удостоверения.</w:t>
            </w:r>
          </w:p>
          <w:p>
            <w:pPr>
              <w:spacing w:after="20"/>
              <w:ind w:left="20"/>
              <w:jc w:val="both"/>
            </w:pPr>
            <w:r>
              <w:rPr>
                <w:rFonts w:ascii="Times New Roman"/>
                <w:b w:val="false"/>
                <w:i w:val="false"/>
                <w:color w:val="000000"/>
                <w:sz w:val="20"/>
              </w:rPr>
              <w:t>
   9.1.4. Требования к качеству</w:t>
            </w:r>
          </w:p>
          <w:p>
            <w:pPr>
              <w:spacing w:after="20"/>
              <w:ind w:left="20"/>
              <w:jc w:val="both"/>
            </w:pPr>
            <w:r>
              <w:rPr>
                <w:rFonts w:ascii="Times New Roman"/>
                <w:b w:val="false"/>
                <w:i w:val="false"/>
                <w:color w:val="000000"/>
                <w:sz w:val="20"/>
              </w:rPr>
              <w:t>
   9.1.4.1. Прослеживаемость</w:t>
            </w:r>
          </w:p>
          <w:p>
            <w:pPr>
              <w:spacing w:after="20"/>
              <w:ind w:left="20"/>
              <w:jc w:val="both"/>
            </w:pPr>
            <w:r>
              <w:rPr>
                <w:rFonts w:ascii="Times New Roman"/>
                <w:b w:val="false"/>
                <w:i w:val="false"/>
                <w:color w:val="000000"/>
                <w:sz w:val="20"/>
              </w:rPr>
              <w:t>
   Валидация, приоритизация, оценка, временные сроки, решения, действия, планы, репортирование, а также прочие ключевые процедуры надлежащим образом документируются и периодически отслеживаются. Системы отслеживания также документируются и включают сигналы, в результате проверки которых был сделан вывод об отсутствии новой потенциальной причинно-следственной связи или нового аспекта известной взаимосвязи, так как они могут привлечь особое внимание в случае последующего анализа. Все записи подлежат архивированию и хранению в соответствии с действующими процедурами.</w:t>
            </w:r>
          </w:p>
          <w:p>
            <w:pPr>
              <w:spacing w:after="20"/>
              <w:ind w:left="20"/>
              <w:jc w:val="both"/>
            </w:pPr>
            <w:r>
              <w:rPr>
                <w:rFonts w:ascii="Times New Roman"/>
                <w:b w:val="false"/>
                <w:i w:val="false"/>
                <w:color w:val="000000"/>
                <w:sz w:val="20"/>
              </w:rPr>
              <w:t>
   9.1.4.2. Системы качества и документация</w:t>
            </w:r>
          </w:p>
          <w:p>
            <w:pPr>
              <w:spacing w:after="20"/>
              <w:ind w:left="20"/>
              <w:jc w:val="both"/>
            </w:pPr>
            <w:r>
              <w:rPr>
                <w:rFonts w:ascii="Times New Roman"/>
                <w:b w:val="false"/>
                <w:i w:val="false"/>
                <w:color w:val="000000"/>
                <w:sz w:val="20"/>
              </w:rPr>
              <w:t>
   9.1.4.2.1. Важной особенностью системы обработки сигналов является четкое документирование с целью обеспечения надлежащего и эффективного функционирования системы, стандартизации обязанностей и требуемых действий, выполнения этих действий лицами с соответствующей квалификацией и их понимания всеми вовлеченными сторонами, осуществления надлежащего контроля и усовершенствования системы. В соответствии с данными требованиями разрабатывается система обеспечения и контроля качества согласно стандартам системы качества, которая применяться ко всем процессам управления сигналами. Разрабатываются, документально оформляются и внедряются подробные процедуры системы качества. Распределяются обязанности внутри компании относительно действий и ведения документации, контроля и изучения вопросов качества, а также принятия корректирующих и предупреждающих мер. Сюда относятся обязанности по аудиту обеспечения качества в системе управления сигналами, включая аудит субподрядчиков контрактных сторон, выполняющих какие-либо работы по данному направлению. Гарантируется конфиденциальность данных и документации, безопасность и достоверность данных (включая целостность при передаче).</w:t>
            </w:r>
          </w:p>
          <w:p>
            <w:pPr>
              <w:spacing w:after="20"/>
              <w:ind w:left="20"/>
              <w:jc w:val="both"/>
            </w:pPr>
            <w:r>
              <w:rPr>
                <w:rFonts w:ascii="Times New Roman"/>
                <w:b w:val="false"/>
                <w:i w:val="false"/>
                <w:color w:val="000000"/>
                <w:sz w:val="20"/>
              </w:rPr>
              <w:t>
   9.1.4.2.2. Система отслеживания обеспечивает получение всеми вовлеченными сторонами данных по результатам аудитов с указанием действий по обработке сигналов, соответствующих запросов и их результатов. Полученная информация, поиск, результаты поиска, оценки и решения (положительные и отрицательные) по потенциальным сигналам, а также результаты проверки сигнала, подлежат архивированию. Данные включают результаты валидации сигнала.</w:t>
            </w:r>
          </w:p>
          <w:p>
            <w:pPr>
              <w:spacing w:after="20"/>
              <w:ind w:left="20"/>
              <w:jc w:val="both"/>
            </w:pPr>
            <w:r>
              <w:rPr>
                <w:rFonts w:ascii="Times New Roman"/>
                <w:b w:val="false"/>
                <w:i w:val="false"/>
                <w:color w:val="000000"/>
                <w:sz w:val="20"/>
              </w:rPr>
              <w:t>
   9.1.4.2.3. В целях выполнения оценки выполняемой деятельности или инспектирования требуется изучение документации держателя регистрационного удостоверения о соблюдении данных положений до и после процедуры регистрации.</w:t>
            </w:r>
          </w:p>
          <w:p>
            <w:pPr>
              <w:spacing w:after="20"/>
              <w:ind w:left="20"/>
              <w:jc w:val="both"/>
            </w:pPr>
            <w:r>
              <w:rPr>
                <w:rFonts w:ascii="Times New Roman"/>
                <w:b w:val="false"/>
                <w:i w:val="false"/>
                <w:color w:val="000000"/>
                <w:sz w:val="20"/>
              </w:rPr>
              <w:t>
   9.1.4.3. Обучение</w:t>
            </w:r>
          </w:p>
          <w:p>
            <w:pPr>
              <w:spacing w:after="20"/>
              <w:ind w:left="20"/>
              <w:jc w:val="both"/>
            </w:pPr>
            <w:r>
              <w:rPr>
                <w:rFonts w:ascii="Times New Roman"/>
                <w:b w:val="false"/>
                <w:i w:val="false"/>
                <w:color w:val="000000"/>
                <w:sz w:val="20"/>
              </w:rPr>
              <w:t xml:space="preserve">
   Обучение персонала осуществляется по выполнению действий по обработке сигналов согласно распределенным функциям и обязанностям. Процесс включает не только персонал отдела по фармаконадзору, но также персонал, которому может стать известно о потенциальных сигналах или который участвует в процессе обработки сигналов (персоналу доклинических, медицинских, фармакоэпидемиологических и маркетинговых исследований). Процедуры системы обучения и размещение данных по обучению документируются, резюме специалистов и описание выполняемых функций архивируются. </w:t>
            </w:r>
          </w:p>
          <w:p>
            <w:pPr>
              <w:spacing w:after="20"/>
              <w:ind w:left="20"/>
              <w:jc w:val="both"/>
            </w:pPr>
            <w:r>
              <w:rPr>
                <w:rFonts w:ascii="Times New Roman"/>
                <w:b w:val="false"/>
                <w:i w:val="false"/>
                <w:color w:val="000000"/>
                <w:sz w:val="20"/>
              </w:rPr>
              <w:t>
   </w:t>
            </w:r>
            <w:r>
              <w:rPr>
                <w:rFonts w:ascii="Times New Roman"/>
                <w:b/>
                <w:i w:val="false"/>
                <w:color w:val="000000"/>
                <w:sz w:val="20"/>
              </w:rPr>
              <w:t>9.2. Роли и обязанности</w:t>
            </w:r>
          </w:p>
          <w:p>
            <w:pPr>
              <w:spacing w:after="20"/>
              <w:ind w:left="20"/>
              <w:jc w:val="both"/>
            </w:pPr>
            <w:r>
              <w:rPr>
                <w:rFonts w:ascii="Times New Roman"/>
                <w:b w:val="false"/>
                <w:i w:val="false"/>
                <w:color w:val="000000"/>
                <w:sz w:val="20"/>
              </w:rPr>
              <w:t>
   9.2.1. Роли и обязанности уполномоченной организации</w:t>
            </w:r>
          </w:p>
          <w:p>
            <w:pPr>
              <w:spacing w:after="20"/>
              <w:ind w:left="20"/>
              <w:jc w:val="both"/>
            </w:pPr>
            <w:r>
              <w:rPr>
                <w:rFonts w:ascii="Times New Roman"/>
                <w:b w:val="false"/>
                <w:i w:val="false"/>
                <w:color w:val="000000"/>
                <w:sz w:val="20"/>
              </w:rPr>
              <w:t>
   Уполномоченная организация:</w:t>
            </w:r>
          </w:p>
          <w:p>
            <w:pPr>
              <w:spacing w:after="20"/>
              <w:ind w:left="20"/>
              <w:jc w:val="both"/>
            </w:pPr>
            <w:r>
              <w:rPr>
                <w:rFonts w:ascii="Times New Roman"/>
                <w:b w:val="false"/>
                <w:i w:val="false"/>
                <w:color w:val="000000"/>
                <w:sz w:val="20"/>
              </w:rPr>
              <w:t>
   1) мониторирует данные, полученные из источников, указанных в подразделе 1.1;</w:t>
            </w:r>
          </w:p>
          <w:p>
            <w:pPr>
              <w:spacing w:after="20"/>
              <w:ind w:left="20"/>
              <w:jc w:val="both"/>
            </w:pPr>
            <w:r>
              <w:rPr>
                <w:rFonts w:ascii="Times New Roman"/>
                <w:b w:val="false"/>
                <w:i w:val="false"/>
                <w:color w:val="000000"/>
                <w:sz w:val="20"/>
              </w:rPr>
              <w:t>
   2) выполняет валидацию и иные этапы процедуры обработки сигналов, полученных из доступных источников;</w:t>
            </w:r>
          </w:p>
          <w:p>
            <w:pPr>
              <w:spacing w:after="20"/>
              <w:ind w:left="20"/>
              <w:jc w:val="both"/>
            </w:pPr>
            <w:r>
              <w:rPr>
                <w:rFonts w:ascii="Times New Roman"/>
                <w:b w:val="false"/>
                <w:i w:val="false"/>
                <w:color w:val="000000"/>
                <w:sz w:val="20"/>
              </w:rPr>
              <w:t>
   3) передает сигналы, прошедшие через процедуры валидации и оценки, в соответствующие заинтересованные организации с целью определения целесообразности последующих действий по дальнейшему изучению или минимизации риска;</w:t>
            </w:r>
          </w:p>
          <w:p>
            <w:pPr>
              <w:spacing w:after="20"/>
              <w:ind w:left="20"/>
              <w:jc w:val="both"/>
            </w:pPr>
            <w:r>
              <w:rPr>
                <w:rFonts w:ascii="Times New Roman"/>
                <w:b w:val="false"/>
                <w:i w:val="false"/>
                <w:color w:val="000000"/>
                <w:sz w:val="20"/>
              </w:rPr>
              <w:t>
   4) выполняет информирование уполномоченного органа о выявленных сигналах, прошедших валидацию, и разработанных мерах.</w:t>
            </w:r>
          </w:p>
          <w:p>
            <w:pPr>
              <w:spacing w:after="20"/>
              <w:ind w:left="20"/>
              <w:jc w:val="both"/>
            </w:pPr>
            <w:r>
              <w:rPr>
                <w:rFonts w:ascii="Times New Roman"/>
                <w:b w:val="false"/>
                <w:i w:val="false"/>
                <w:color w:val="000000"/>
                <w:sz w:val="20"/>
              </w:rPr>
              <w:t>
   9.2.2. Роли и обязанности держателя регистрационного удостоверения</w:t>
            </w:r>
          </w:p>
          <w:p>
            <w:pPr>
              <w:spacing w:after="20"/>
              <w:ind w:left="20"/>
              <w:jc w:val="both"/>
            </w:pPr>
            <w:r>
              <w:rPr>
                <w:rFonts w:ascii="Times New Roman"/>
                <w:b w:val="false"/>
                <w:i w:val="false"/>
                <w:color w:val="000000"/>
                <w:sz w:val="20"/>
              </w:rPr>
              <w:t>
   Держатель регистрационного удостоверения:</w:t>
            </w:r>
          </w:p>
          <w:p>
            <w:pPr>
              <w:spacing w:after="20"/>
              <w:ind w:left="20"/>
              <w:jc w:val="both"/>
            </w:pPr>
            <w:r>
              <w:rPr>
                <w:rFonts w:ascii="Times New Roman"/>
                <w:b w:val="false"/>
                <w:i w:val="false"/>
                <w:color w:val="000000"/>
                <w:sz w:val="20"/>
              </w:rPr>
              <w:t>
   1) контролирует все имеющиеся данные и информацию по сигналам;</w:t>
            </w:r>
          </w:p>
          <w:p>
            <w:pPr>
              <w:spacing w:after="20"/>
              <w:ind w:left="20"/>
              <w:jc w:val="both"/>
            </w:pPr>
            <w:r>
              <w:rPr>
                <w:rFonts w:ascii="Times New Roman"/>
                <w:b w:val="false"/>
                <w:i w:val="false"/>
                <w:color w:val="000000"/>
                <w:sz w:val="20"/>
              </w:rPr>
              <w:t>
   2) контролирует все появляющиеся данные в базах данных и выполняет международное обнаружение сигналов, обнаружение сигналов включает их валидацию с учетом компонентов представляемой информации, изложенной в разделе 1.3.3;</w:t>
            </w:r>
          </w:p>
          <w:p>
            <w:pPr>
              <w:spacing w:after="20"/>
              <w:ind w:left="20"/>
              <w:jc w:val="both"/>
            </w:pPr>
            <w:r>
              <w:rPr>
                <w:rFonts w:ascii="Times New Roman"/>
                <w:b w:val="false"/>
                <w:i w:val="false"/>
                <w:color w:val="000000"/>
                <w:sz w:val="20"/>
              </w:rPr>
              <w:t>
   3) выполняет валидацию всех обнаруженных сигналов и сообщает о них в уполномоченную организацию;</w:t>
            </w:r>
          </w:p>
          <w:p>
            <w:pPr>
              <w:spacing w:after="20"/>
              <w:ind w:left="20"/>
              <w:jc w:val="both"/>
            </w:pPr>
            <w:r>
              <w:rPr>
                <w:rFonts w:ascii="Times New Roman"/>
                <w:b w:val="false"/>
                <w:i w:val="false"/>
                <w:color w:val="000000"/>
                <w:sz w:val="20"/>
              </w:rPr>
              <w:t>
   4) уведомляет уполномоченную организацию в случае выявления экстренной проблемы по безопасности в результате осуществления деятельности по обнаружению сигналов;</w:t>
            </w:r>
          </w:p>
          <w:p>
            <w:pPr>
              <w:spacing w:after="20"/>
              <w:ind w:left="20"/>
              <w:jc w:val="both"/>
            </w:pPr>
            <w:r>
              <w:rPr>
                <w:rFonts w:ascii="Times New Roman"/>
                <w:b w:val="false"/>
                <w:i w:val="false"/>
                <w:color w:val="000000"/>
                <w:sz w:val="20"/>
              </w:rPr>
              <w:t>
   5) сотрудничает с уполномоченной организацией в выполнении процедур оценки сигналов путем представления по запросу дополнительной информации;</w:t>
            </w:r>
          </w:p>
          <w:p>
            <w:pPr>
              <w:spacing w:after="20"/>
              <w:ind w:left="20"/>
              <w:jc w:val="both"/>
            </w:pPr>
            <w:r>
              <w:rPr>
                <w:rFonts w:ascii="Times New Roman"/>
                <w:b w:val="false"/>
                <w:i w:val="false"/>
                <w:color w:val="000000"/>
                <w:sz w:val="20"/>
              </w:rPr>
              <w:t>
   6) обеспечивает наличие аудиторского следа по всем процедурам выявления сигнала.</w:t>
            </w:r>
          </w:p>
          <w:p>
            <w:pPr>
              <w:spacing w:after="20"/>
              <w:ind w:left="20"/>
              <w:jc w:val="both"/>
            </w:pPr>
            <w:r>
              <w:rPr>
                <w:rFonts w:ascii="Times New Roman"/>
                <w:b w:val="false"/>
                <w:i w:val="false"/>
                <w:color w:val="000000"/>
                <w:sz w:val="20"/>
              </w:rPr>
              <w:t xml:space="preserve">
   9.2.3. Процессы последующего регулирования </w:t>
            </w:r>
          </w:p>
          <w:p>
            <w:pPr>
              <w:spacing w:after="20"/>
              <w:ind w:left="20"/>
              <w:jc w:val="both"/>
            </w:pPr>
            <w:r>
              <w:rPr>
                <w:rFonts w:ascii="Times New Roman"/>
                <w:b w:val="false"/>
                <w:i w:val="false"/>
                <w:color w:val="000000"/>
                <w:sz w:val="20"/>
              </w:rPr>
              <w:t>
   В случае принятия уполномоченным органом решения о необходимости дополнительных действий, сигнал оценивают и согласовывают последующие действия в отношении регистрационного удостоверения в пределах временных сроков, соразмерных степени и серьезности проблемы по безопасности. По результатам процедур принимаются следующие решения:</w:t>
            </w:r>
          </w:p>
          <w:p>
            <w:pPr>
              <w:spacing w:after="20"/>
              <w:ind w:left="20"/>
              <w:jc w:val="both"/>
            </w:pPr>
            <w:r>
              <w:rPr>
                <w:rFonts w:ascii="Times New Roman"/>
                <w:b w:val="false"/>
                <w:i w:val="false"/>
                <w:color w:val="000000"/>
                <w:sz w:val="20"/>
              </w:rPr>
              <w:t>
   1) дополнительная оценка или действия не требуются;</w:t>
            </w:r>
          </w:p>
          <w:p>
            <w:pPr>
              <w:spacing w:after="20"/>
              <w:ind w:left="20"/>
              <w:jc w:val="both"/>
            </w:pPr>
            <w:r>
              <w:rPr>
                <w:rFonts w:ascii="Times New Roman"/>
                <w:b w:val="false"/>
                <w:i w:val="false"/>
                <w:color w:val="000000"/>
                <w:sz w:val="20"/>
              </w:rPr>
              <w:t>
   2) держатель регистрационного удостоверения проводит дополнительную оценку данных и представляет результаты такой оценки согласно установленным временным срокам;</w:t>
            </w:r>
          </w:p>
          <w:p>
            <w:pPr>
              <w:spacing w:after="20"/>
              <w:ind w:left="20"/>
              <w:jc w:val="both"/>
            </w:pPr>
            <w:r>
              <w:rPr>
                <w:rFonts w:ascii="Times New Roman"/>
                <w:b w:val="false"/>
                <w:i w:val="false"/>
                <w:color w:val="000000"/>
                <w:sz w:val="20"/>
              </w:rPr>
              <w:t>
   3) держатель регистрационного удостоверения предоставляет ПОБ с учетом выявленного нового аспекта профиля безопасности;</w:t>
            </w:r>
          </w:p>
          <w:p>
            <w:pPr>
              <w:spacing w:after="20"/>
              <w:ind w:left="20"/>
              <w:jc w:val="both"/>
            </w:pPr>
            <w:r>
              <w:rPr>
                <w:rFonts w:ascii="Times New Roman"/>
                <w:b w:val="false"/>
                <w:i w:val="false"/>
                <w:color w:val="000000"/>
                <w:sz w:val="20"/>
              </w:rPr>
              <w:t>
   4) держатель регистрационного удостоверения финансирует пострегистрационное исследование в соответствии с согласованным протоколом и предоставляет заключительные результаты такого исследования;</w:t>
            </w:r>
          </w:p>
          <w:p>
            <w:pPr>
              <w:spacing w:after="20"/>
              <w:ind w:left="20"/>
              <w:jc w:val="both"/>
            </w:pPr>
            <w:r>
              <w:rPr>
                <w:rFonts w:ascii="Times New Roman"/>
                <w:b w:val="false"/>
                <w:i w:val="false"/>
                <w:color w:val="000000"/>
                <w:sz w:val="20"/>
              </w:rPr>
              <w:t>
   5) держатель регистрационного удостоверения предоставляет ПУР или его обновленный вариант;</w:t>
            </w:r>
          </w:p>
          <w:p>
            <w:pPr>
              <w:spacing w:after="20"/>
              <w:ind w:left="20"/>
              <w:jc w:val="both"/>
            </w:pPr>
            <w:r>
              <w:rPr>
                <w:rFonts w:ascii="Times New Roman"/>
                <w:b w:val="false"/>
                <w:i w:val="false"/>
                <w:color w:val="000000"/>
                <w:sz w:val="20"/>
              </w:rPr>
              <w:t>
   6) держатель регистрационного удостоверения принимает меры, требуемые для обеспечения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7) регистрационный статус подлежит изменению, действие регистрационного удостоверения приостанавливается, отзывается или не продлевается;</w:t>
            </w:r>
          </w:p>
          <w:p>
            <w:pPr>
              <w:spacing w:after="20"/>
              <w:ind w:left="20"/>
              <w:jc w:val="both"/>
            </w:pPr>
            <w:r>
              <w:rPr>
                <w:rFonts w:ascii="Times New Roman"/>
                <w:b w:val="false"/>
                <w:i w:val="false"/>
                <w:color w:val="000000"/>
                <w:sz w:val="20"/>
              </w:rPr>
              <w:t>
   8) введятся срочные ограничения по безопасности;</w:t>
            </w:r>
          </w:p>
          <w:p>
            <w:pPr>
              <w:spacing w:after="20"/>
              <w:ind w:left="20"/>
              <w:jc w:val="both"/>
            </w:pPr>
            <w:r>
              <w:rPr>
                <w:rFonts w:ascii="Times New Roman"/>
                <w:b w:val="false"/>
                <w:i w:val="false"/>
                <w:color w:val="000000"/>
                <w:sz w:val="20"/>
              </w:rPr>
              <w:t>
   9) проводится внеплановое инспектирование системы фармаконадзора с целью подтверждения того, что держатель регистрационного удостоверения соблюдает законодательные требования к системе фармаконадзора;</w:t>
            </w:r>
          </w:p>
          <w:p>
            <w:pPr>
              <w:spacing w:after="20"/>
              <w:ind w:left="20"/>
              <w:jc w:val="both"/>
            </w:pPr>
            <w:r>
              <w:rPr>
                <w:rFonts w:ascii="Times New Roman"/>
                <w:b w:val="false"/>
                <w:i w:val="false"/>
                <w:color w:val="000000"/>
                <w:sz w:val="20"/>
              </w:rPr>
              <w:t>
   10) подозреваемый лекарственный препарат подлежит дополнительному мониторингу.</w:t>
            </w:r>
          </w:p>
          <w:p>
            <w:pPr>
              <w:spacing w:after="20"/>
              <w:ind w:left="20"/>
              <w:jc w:val="both"/>
            </w:pPr>
            <w:r>
              <w:rPr>
                <w:rFonts w:ascii="Times New Roman"/>
                <w:b w:val="false"/>
                <w:i w:val="false"/>
                <w:color w:val="000000"/>
                <w:sz w:val="20"/>
              </w:rPr>
              <w:t>
   9.2.5. Открытость</w:t>
            </w:r>
          </w:p>
          <w:p>
            <w:pPr>
              <w:spacing w:after="20"/>
              <w:ind w:left="20"/>
              <w:jc w:val="both"/>
            </w:pPr>
            <w:r>
              <w:rPr>
                <w:rFonts w:ascii="Times New Roman"/>
                <w:b w:val="false"/>
                <w:i w:val="false"/>
                <w:color w:val="000000"/>
                <w:sz w:val="20"/>
              </w:rPr>
              <w:t>
   Уполномоченный орган осуществляет контроль своевременности доведения до общественности важной информации о проблемах по безопасности, выявленных системой фармаконадзора, путем публикации на веб-портале и при помощи других доступных средств доведения информации.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Пострегистрационные исследования безопасности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Введение</w:t>
            </w:r>
          </w:p>
          <w:p>
            <w:pPr>
              <w:spacing w:after="20"/>
              <w:ind w:left="20"/>
              <w:jc w:val="both"/>
            </w:pPr>
            <w:r>
              <w:rPr>
                <w:rFonts w:ascii="Times New Roman"/>
                <w:b w:val="false"/>
                <w:i w:val="false"/>
                <w:color w:val="000000"/>
                <w:sz w:val="20"/>
              </w:rPr>
              <w:t xml:space="preserve">
   ПРИБ лекарственного препарата инициируется, контролируется или финансируется держателем регистрационного удостоверения добровольно или в соответствии с обязательством, налагаемым на него уполномоченным органом как условие выдачи регистрационного удостоверения или после выдачи регистрационного удостоверения, если существует предположение о наличии рисков, связанных с зарегистрированным лекарственным препаратом, требующих дополнительного изучения путем проведения исследования. </w:t>
            </w:r>
          </w:p>
          <w:p>
            <w:pPr>
              <w:spacing w:after="20"/>
              <w:ind w:left="20"/>
              <w:jc w:val="both"/>
            </w:pPr>
            <w:r>
              <w:rPr>
                <w:rFonts w:ascii="Times New Roman"/>
                <w:b w:val="false"/>
                <w:i w:val="false"/>
                <w:color w:val="000000"/>
                <w:sz w:val="20"/>
              </w:rPr>
              <w:t>
   ПРИБ представляет собой клиническое исследование (испытание) или неинтервенционное исследование (испытание).</w:t>
            </w:r>
          </w:p>
          <w:p>
            <w:pPr>
              <w:spacing w:after="20"/>
              <w:ind w:left="20"/>
              <w:jc w:val="both"/>
            </w:pPr>
            <w:r>
              <w:rPr>
                <w:rFonts w:ascii="Times New Roman"/>
                <w:b w:val="false"/>
                <w:i w:val="false"/>
                <w:color w:val="000000"/>
                <w:sz w:val="20"/>
              </w:rPr>
              <w:t>
   </w:t>
            </w:r>
            <w:r>
              <w:rPr>
                <w:rFonts w:ascii="Times New Roman"/>
                <w:b/>
                <w:i w:val="false"/>
                <w:color w:val="000000"/>
                <w:sz w:val="20"/>
              </w:rPr>
              <w:t>10.2. Структуры и процессы</w:t>
            </w:r>
          </w:p>
          <w:p>
            <w:pPr>
              <w:spacing w:after="20"/>
              <w:ind w:left="20"/>
              <w:jc w:val="both"/>
            </w:pPr>
            <w:r>
              <w:rPr>
                <w:rFonts w:ascii="Times New Roman"/>
                <w:b w:val="false"/>
                <w:i w:val="false"/>
                <w:color w:val="000000"/>
                <w:sz w:val="20"/>
              </w:rPr>
              <w:t>
   10.2.1 Область применения</w:t>
            </w:r>
          </w:p>
          <w:p>
            <w:pPr>
              <w:spacing w:after="20"/>
              <w:ind w:left="20"/>
              <w:jc w:val="both"/>
            </w:pPr>
            <w:r>
              <w:rPr>
                <w:rFonts w:ascii="Times New Roman"/>
                <w:b w:val="false"/>
                <w:i w:val="false"/>
                <w:color w:val="000000"/>
                <w:sz w:val="20"/>
              </w:rPr>
              <w:t>
   Требования данного раздела применимы к неинтервенционным ПРИБ, инициированным, контролируемым или финансируемым держателем регистрационного удостоверения на территории Республики Казахстан добровольно или в соответствии с обязательствами, налагаемыми на него уполномоченным органом. ПРИБ включают исследования, в процессе которых собираются данные от пациентов и работников системы здравоохранения, а также исследования, которые повторно используют данные, полученные ранее для другой цели и хранящиеся в медицинских картах пациентов или других (в том числе электронных) формах хранения данных.</w:t>
            </w:r>
          </w:p>
          <w:p>
            <w:pPr>
              <w:spacing w:after="20"/>
              <w:ind w:left="20"/>
              <w:jc w:val="both"/>
            </w:pPr>
            <w:r>
              <w:rPr>
                <w:rFonts w:ascii="Times New Roman"/>
                <w:b w:val="false"/>
                <w:i w:val="false"/>
                <w:color w:val="000000"/>
                <w:sz w:val="20"/>
              </w:rPr>
              <w:t>
   Если ПРИБ представляет собой клиническое испытание, при его проведении выполняются соответствующие требования действующего законодательства к организации и проведению клинических исследований (испытаний).</w:t>
            </w:r>
          </w:p>
          <w:p>
            <w:pPr>
              <w:spacing w:after="20"/>
              <w:ind w:left="20"/>
              <w:jc w:val="both"/>
            </w:pPr>
            <w:r>
              <w:rPr>
                <w:rFonts w:ascii="Times New Roman"/>
                <w:b w:val="false"/>
                <w:i w:val="false"/>
                <w:color w:val="000000"/>
                <w:sz w:val="20"/>
              </w:rPr>
              <w:t>
   </w:t>
            </w:r>
            <w:r>
              <w:rPr>
                <w:rFonts w:ascii="Times New Roman"/>
                <w:b/>
                <w:i w:val="false"/>
                <w:color w:val="000000"/>
                <w:sz w:val="20"/>
              </w:rPr>
              <w:t>10.3. Терминология</w:t>
            </w:r>
          </w:p>
          <w:p>
            <w:pPr>
              <w:spacing w:after="20"/>
              <w:ind w:left="20"/>
              <w:jc w:val="both"/>
            </w:pPr>
            <w:r>
              <w:rPr>
                <w:rFonts w:ascii="Times New Roman"/>
                <w:b w:val="false"/>
                <w:i w:val="false"/>
                <w:color w:val="000000"/>
                <w:sz w:val="20"/>
              </w:rPr>
              <w:t>
   дата начала исследования - дата начала сбора данных;</w:t>
            </w:r>
          </w:p>
          <w:p>
            <w:pPr>
              <w:spacing w:after="20"/>
              <w:ind w:left="20"/>
              <w:jc w:val="both"/>
            </w:pPr>
            <w:r>
              <w:rPr>
                <w:rFonts w:ascii="Times New Roman"/>
                <w:b w:val="false"/>
                <w:i w:val="false"/>
                <w:color w:val="000000"/>
                <w:sz w:val="20"/>
              </w:rPr>
              <w:t xml:space="preserve">
   начало сбора данных - дата регистрации данных по первому пациенту, включенному в исследование (испытание), в форме (базе) сбора данных исследования (испытания), в случае повторного использования данных - дата начала извлечения данных; </w:t>
            </w:r>
          </w:p>
          <w:p>
            <w:pPr>
              <w:spacing w:after="20"/>
              <w:ind w:left="20"/>
              <w:jc w:val="both"/>
            </w:pPr>
            <w:r>
              <w:rPr>
                <w:rFonts w:ascii="Times New Roman"/>
                <w:b w:val="false"/>
                <w:i w:val="false"/>
                <w:color w:val="000000"/>
                <w:sz w:val="20"/>
              </w:rPr>
              <w:t>
   конец сбора данных - дата, когда впервые полностью доступна аналитическая база данных.</w:t>
            </w:r>
          </w:p>
          <w:p>
            <w:pPr>
              <w:spacing w:after="20"/>
              <w:ind w:left="20"/>
              <w:jc w:val="both"/>
            </w:pPr>
            <w:r>
              <w:rPr>
                <w:rFonts w:ascii="Times New Roman"/>
                <w:b w:val="false"/>
                <w:i w:val="false"/>
                <w:color w:val="000000"/>
                <w:sz w:val="20"/>
              </w:rPr>
              <w:t>
   </w:t>
            </w:r>
            <w:r>
              <w:rPr>
                <w:rFonts w:ascii="Times New Roman"/>
                <w:b/>
                <w:i w:val="false"/>
                <w:color w:val="000000"/>
                <w:sz w:val="20"/>
              </w:rPr>
              <w:t>10.4. Общие принципы</w:t>
            </w:r>
          </w:p>
          <w:p>
            <w:pPr>
              <w:spacing w:after="20"/>
              <w:ind w:left="20"/>
              <w:jc w:val="both"/>
            </w:pPr>
            <w:r>
              <w:rPr>
                <w:rFonts w:ascii="Times New Roman"/>
                <w:b w:val="false"/>
                <w:i w:val="false"/>
                <w:color w:val="000000"/>
                <w:sz w:val="20"/>
              </w:rPr>
              <w:t>
   Главной целью неинтервенционного ПРИБ является получение научных данных, имеющих потенциальную клиническую значимость или важность для здоровья населения. Такие исследования не проводятся, если их проведение способствует продвижению лекарственного препарата на рынке.</w:t>
            </w:r>
          </w:p>
          <w:p>
            <w:pPr>
              <w:spacing w:after="20"/>
              <w:ind w:left="20"/>
              <w:jc w:val="both"/>
            </w:pPr>
            <w:r>
              <w:rPr>
                <w:rFonts w:ascii="Times New Roman"/>
                <w:b w:val="false"/>
                <w:i w:val="false"/>
                <w:color w:val="000000"/>
                <w:sz w:val="20"/>
              </w:rPr>
              <w:t>
   Задачи ПРИБ включают:</w:t>
            </w:r>
          </w:p>
          <w:p>
            <w:pPr>
              <w:spacing w:after="20"/>
              <w:ind w:left="20"/>
              <w:jc w:val="both"/>
            </w:pPr>
            <w:r>
              <w:rPr>
                <w:rFonts w:ascii="Times New Roman"/>
                <w:b w:val="false"/>
                <w:i w:val="false"/>
                <w:color w:val="000000"/>
                <w:sz w:val="20"/>
              </w:rPr>
              <w:t>
   1) количественная оценка потенциальных или идентифицированных рисков (оценка частоты возникновения, относительных рисков по сравнению с популяцией, не применявшей данный лекарственный препарат или популяцией, применявшей другой лекарственный препарат или класс лекарственных препаратов), а также изучение факторов риска и факторов, модифицирующих действие лекарственного препарата;</w:t>
            </w:r>
          </w:p>
          <w:p>
            <w:pPr>
              <w:spacing w:after="20"/>
              <w:ind w:left="20"/>
              <w:jc w:val="both"/>
            </w:pPr>
            <w:r>
              <w:rPr>
                <w:rFonts w:ascii="Times New Roman"/>
                <w:b w:val="false"/>
                <w:i w:val="false"/>
                <w:color w:val="000000"/>
                <w:sz w:val="20"/>
              </w:rPr>
              <w:t>
   2) оценка рисков лекарственного препарата, применяемого по одобренным показаниям у групп пациентов, которые не изучались или были недостаточно изучены на дорегистрационном этапе (беременные женщины, особые возрастные группы, пациенты с почечной или печеночной недостаточностью);</w:t>
            </w:r>
          </w:p>
          <w:p>
            <w:pPr>
              <w:spacing w:after="20"/>
              <w:ind w:left="20"/>
              <w:jc w:val="both"/>
            </w:pPr>
            <w:r>
              <w:rPr>
                <w:rFonts w:ascii="Times New Roman"/>
                <w:b w:val="false"/>
                <w:i w:val="false"/>
                <w:color w:val="000000"/>
                <w:sz w:val="20"/>
              </w:rPr>
              <w:t>
   3) оценка риска, связанного с длительным применением лекарственного препарата;</w:t>
            </w:r>
          </w:p>
          <w:p>
            <w:pPr>
              <w:spacing w:after="20"/>
              <w:ind w:left="20"/>
              <w:jc w:val="both"/>
            </w:pPr>
            <w:r>
              <w:rPr>
                <w:rFonts w:ascii="Times New Roman"/>
                <w:b w:val="false"/>
                <w:i w:val="false"/>
                <w:color w:val="000000"/>
                <w:sz w:val="20"/>
              </w:rPr>
              <w:t>
   4) подтверждение отсутствия рисков лекарственных препаратов;</w:t>
            </w:r>
          </w:p>
          <w:p>
            <w:pPr>
              <w:spacing w:after="20"/>
              <w:ind w:left="20"/>
              <w:jc w:val="both"/>
            </w:pPr>
            <w:r>
              <w:rPr>
                <w:rFonts w:ascii="Times New Roman"/>
                <w:b w:val="false"/>
                <w:i w:val="false"/>
                <w:color w:val="000000"/>
                <w:sz w:val="20"/>
              </w:rPr>
              <w:t>
   5) оценка стандартной клинической практики назначения лекарственных препаратов с получением дополнительных сведений о безопасности медицинской продукции (показания к применению, дозировки, сопутствующая терапия, медицинские ошибки);</w:t>
            </w:r>
          </w:p>
          <w:p>
            <w:pPr>
              <w:spacing w:after="20"/>
              <w:ind w:left="20"/>
              <w:jc w:val="both"/>
            </w:pPr>
            <w:r>
              <w:rPr>
                <w:rFonts w:ascii="Times New Roman"/>
                <w:b w:val="false"/>
                <w:i w:val="false"/>
                <w:color w:val="000000"/>
                <w:sz w:val="20"/>
              </w:rPr>
              <w:t>
   6) оценка эффективности мер по минимизации риска (изучение аспектов использования лекарственного препарата, опрос пациентов или медицинских работников).</w:t>
            </w:r>
          </w:p>
          <w:p>
            <w:pPr>
              <w:spacing w:after="20"/>
              <w:ind w:left="20"/>
              <w:jc w:val="both"/>
            </w:pPr>
            <w:r>
              <w:rPr>
                <w:rFonts w:ascii="Times New Roman"/>
                <w:b w:val="false"/>
                <w:i w:val="false"/>
                <w:color w:val="000000"/>
                <w:sz w:val="20"/>
              </w:rPr>
              <w:t xml:space="preserve">
   При разработке протоколов исследований, проведении исследований и составления отчетов об исследованиях держателями регистрационных удостоверений учитываются соответствующие научные руководства. Уполномоченной организацией для оценки протоколов исследований и отчетов об исследованиях используются действующие научные руководства, методические руководства по фармакоэпидемиологии. </w:t>
            </w:r>
          </w:p>
          <w:p>
            <w:pPr>
              <w:spacing w:after="20"/>
              <w:ind w:left="20"/>
              <w:jc w:val="both"/>
            </w:pPr>
            <w:r>
              <w:rPr>
                <w:rFonts w:ascii="Times New Roman"/>
                <w:b w:val="false"/>
                <w:i w:val="false"/>
                <w:color w:val="000000"/>
                <w:sz w:val="20"/>
              </w:rPr>
              <w:t xml:space="preserve">
   Для ПРИБ, спонсируемых держателем регистрационного удостоверения, и разрабатываемых, проводимых и анализируемых полностью или частично исследователями, не являющимися наемными работниками держателя регистрационного удостоверения, держатель регистрационного удостоверения гарантирует, что исследователи обладают необходимой квалификацией в области образования, подготовки и опыта для выполнения своих обязанностей. </w:t>
            </w:r>
          </w:p>
          <w:p>
            <w:pPr>
              <w:spacing w:after="20"/>
              <w:ind w:left="20"/>
              <w:jc w:val="both"/>
            </w:pPr>
            <w:r>
              <w:rPr>
                <w:rFonts w:ascii="Times New Roman"/>
                <w:b w:val="false"/>
                <w:i w:val="false"/>
                <w:color w:val="000000"/>
                <w:sz w:val="20"/>
              </w:rPr>
              <w:t>
   </w:t>
            </w:r>
            <w:r>
              <w:rPr>
                <w:rFonts w:ascii="Times New Roman"/>
                <w:b/>
                <w:i w:val="false"/>
                <w:color w:val="000000"/>
                <w:sz w:val="20"/>
              </w:rPr>
              <w:t>10.5. Протокол исследования</w:t>
            </w:r>
          </w:p>
          <w:p>
            <w:pPr>
              <w:spacing w:after="20"/>
              <w:ind w:left="20"/>
              <w:jc w:val="both"/>
            </w:pPr>
            <w:r>
              <w:rPr>
                <w:rFonts w:ascii="Times New Roman"/>
                <w:b w:val="false"/>
                <w:i w:val="false"/>
                <w:color w:val="000000"/>
                <w:sz w:val="20"/>
              </w:rPr>
              <w:t xml:space="preserve">
   Все ПРИБ выполняются согласно научно обоснованному протоколу исследования, разработанному лицами с соответствующей научной подготовкой и опытом. </w:t>
            </w:r>
          </w:p>
          <w:p>
            <w:pPr>
              <w:spacing w:after="20"/>
              <w:ind w:left="20"/>
              <w:jc w:val="both"/>
            </w:pPr>
            <w:r>
              <w:rPr>
                <w:rFonts w:ascii="Times New Roman"/>
                <w:b w:val="false"/>
                <w:i w:val="false"/>
                <w:color w:val="000000"/>
                <w:sz w:val="20"/>
              </w:rPr>
              <w:t xml:space="preserve">
   Для добровольно инициированных ПРИБ держатель регистрационного удостоверения передает протокол исследования до начала сбора данных в уполномоченную организацию. </w:t>
            </w:r>
          </w:p>
          <w:p>
            <w:pPr>
              <w:spacing w:after="20"/>
              <w:ind w:left="20"/>
              <w:jc w:val="both"/>
            </w:pPr>
            <w:r>
              <w:rPr>
                <w:rFonts w:ascii="Times New Roman"/>
                <w:b w:val="false"/>
                <w:i w:val="false"/>
                <w:color w:val="000000"/>
                <w:sz w:val="20"/>
              </w:rPr>
              <w:t>
   Для ПРИБ, инициированных держателем регистрационного удостоверения в соответствии с обязательством, наложенным уполномоченным органом, держатель регистрационного удостоверения обеспечивает представление информации об исследовании, включая протокол исследования, в уполномоченный орган. В случае проведения ПРИБ на территории других стран, обеспечивается информирование уполномоченного органа с представлением краткого описания протокола исследования.</w:t>
            </w:r>
          </w:p>
          <w:p>
            <w:pPr>
              <w:spacing w:after="20"/>
              <w:ind w:left="20"/>
              <w:jc w:val="both"/>
            </w:pPr>
            <w:r>
              <w:rPr>
                <w:rFonts w:ascii="Times New Roman"/>
                <w:b w:val="false"/>
                <w:i w:val="false"/>
                <w:color w:val="000000"/>
                <w:sz w:val="20"/>
              </w:rPr>
              <w:t>
   В целях выполнения держателем регистрационного удостоверения своих обязательств по осуществлению деятельности по фармаконадзору, уполномоченное лицо по фармаконадзору вовлекается в процедуру рассмотрения и утверждения протоколов исследований. Контактное лицо по осуществлению фармаконадзора на территории Республики Казахстан информируется о любом ПРИБ, проводимом на территории Республики Казахстан, а также обеспечивается копией протокола исследования.</w:t>
            </w:r>
          </w:p>
          <w:p>
            <w:pPr>
              <w:spacing w:after="20"/>
              <w:ind w:left="20"/>
              <w:jc w:val="both"/>
            </w:pPr>
            <w:r>
              <w:rPr>
                <w:rFonts w:ascii="Times New Roman"/>
                <w:b w:val="false"/>
                <w:i w:val="false"/>
                <w:color w:val="000000"/>
                <w:sz w:val="20"/>
              </w:rPr>
              <w:t>
   10.5.1. Формат и содержание протокола испытаний</w:t>
            </w:r>
          </w:p>
          <w:p>
            <w:pPr>
              <w:spacing w:after="20"/>
              <w:ind w:left="20"/>
              <w:jc w:val="both"/>
            </w:pPr>
            <w:r>
              <w:rPr>
                <w:rFonts w:ascii="Times New Roman"/>
                <w:b w:val="false"/>
                <w:i w:val="false"/>
                <w:color w:val="000000"/>
                <w:sz w:val="20"/>
              </w:rPr>
              <w:t>
   Протокол исследования соответствует следующему формату:</w:t>
            </w:r>
          </w:p>
          <w:p>
            <w:pPr>
              <w:spacing w:after="20"/>
              <w:ind w:left="20"/>
              <w:jc w:val="both"/>
            </w:pPr>
            <w:r>
              <w:rPr>
                <w:rFonts w:ascii="Times New Roman"/>
                <w:b w:val="false"/>
                <w:i w:val="false"/>
                <w:color w:val="000000"/>
                <w:sz w:val="20"/>
              </w:rPr>
              <w:t>
   10.5.1.1. название ПРИБ: информативное название, включающее общеупотребительную терминологию, определяющее дизайн исследования и исследуемый лекарственный препарат или группу исследуемого лекарственного препарата, а также подзаголовок с указанием редакции и даты последней редакции;</w:t>
            </w:r>
          </w:p>
          <w:p>
            <w:pPr>
              <w:spacing w:after="20"/>
              <w:ind w:left="20"/>
              <w:jc w:val="both"/>
            </w:pPr>
            <w:r>
              <w:rPr>
                <w:rFonts w:ascii="Times New Roman"/>
                <w:b w:val="false"/>
                <w:i w:val="false"/>
                <w:color w:val="000000"/>
                <w:sz w:val="20"/>
              </w:rPr>
              <w:t>
   10.5.1.2. держатель регистрационного удостоверения: наименование и адрес держателя регистрационного удостоверения;</w:t>
            </w:r>
          </w:p>
          <w:p>
            <w:pPr>
              <w:spacing w:after="20"/>
              <w:ind w:left="20"/>
              <w:jc w:val="both"/>
            </w:pPr>
            <w:r>
              <w:rPr>
                <w:rFonts w:ascii="Times New Roman"/>
                <w:b w:val="false"/>
                <w:i w:val="false"/>
                <w:color w:val="000000"/>
                <w:sz w:val="20"/>
              </w:rPr>
              <w:t>
   10.5.1.3. ответственные стороны: имена, должности, квалификация, адреса и сведения по всем ответственным сторонам, включая первого автора протокола, главных исследователей, исследователей – координаторов каждой страны и исследовательских центров, в которых проводится исследование. По запросу уполномоченной организации предоставляется перечень всех вовлеченных в исследование учреждений и исследователей;</w:t>
            </w:r>
          </w:p>
          <w:p>
            <w:pPr>
              <w:spacing w:after="20"/>
              <w:ind w:left="20"/>
              <w:jc w:val="both"/>
            </w:pPr>
            <w:r>
              <w:rPr>
                <w:rFonts w:ascii="Times New Roman"/>
                <w:b w:val="false"/>
                <w:i w:val="false"/>
                <w:color w:val="000000"/>
                <w:sz w:val="20"/>
              </w:rPr>
              <w:t>
   10.5.1.4. краткое описание: отдельное резюме протокола исследования, включающее следующие подразделы:</w:t>
            </w:r>
          </w:p>
          <w:p>
            <w:pPr>
              <w:spacing w:after="20"/>
              <w:ind w:left="20"/>
              <w:jc w:val="both"/>
            </w:pPr>
            <w:r>
              <w:rPr>
                <w:rFonts w:ascii="Times New Roman"/>
                <w:b w:val="false"/>
                <w:i w:val="false"/>
                <w:color w:val="000000"/>
                <w:sz w:val="20"/>
              </w:rPr>
              <w:t>
   1) название исследования с подзаголовками, включая версию редакции и дату протокола, а также имя и сведения об основном месте работы первого автора протокола;</w:t>
            </w:r>
          </w:p>
          <w:p>
            <w:pPr>
              <w:spacing w:after="20"/>
              <w:ind w:left="20"/>
              <w:jc w:val="both"/>
            </w:pPr>
            <w:r>
              <w:rPr>
                <w:rFonts w:ascii="Times New Roman"/>
                <w:b w:val="false"/>
                <w:i w:val="false"/>
                <w:color w:val="000000"/>
                <w:sz w:val="20"/>
              </w:rPr>
              <w:t>
   2) обоснование и предпосылки проведения;</w:t>
            </w:r>
          </w:p>
          <w:p>
            <w:pPr>
              <w:spacing w:after="20"/>
              <w:ind w:left="20"/>
              <w:jc w:val="both"/>
            </w:pPr>
            <w:r>
              <w:rPr>
                <w:rFonts w:ascii="Times New Roman"/>
                <w:b w:val="false"/>
                <w:i w:val="false"/>
                <w:color w:val="000000"/>
                <w:sz w:val="20"/>
              </w:rPr>
              <w:t>
   3) цель и задачи исследования;</w:t>
            </w:r>
          </w:p>
          <w:p>
            <w:pPr>
              <w:spacing w:after="20"/>
              <w:ind w:left="20"/>
              <w:jc w:val="both"/>
            </w:pPr>
            <w:r>
              <w:rPr>
                <w:rFonts w:ascii="Times New Roman"/>
                <w:b w:val="false"/>
                <w:i w:val="false"/>
                <w:color w:val="000000"/>
                <w:sz w:val="20"/>
              </w:rPr>
              <w:t>
   4) дизайн исследования;</w:t>
            </w:r>
          </w:p>
          <w:p>
            <w:pPr>
              <w:spacing w:after="20"/>
              <w:ind w:left="20"/>
              <w:jc w:val="both"/>
            </w:pPr>
            <w:r>
              <w:rPr>
                <w:rFonts w:ascii="Times New Roman"/>
                <w:b w:val="false"/>
                <w:i w:val="false"/>
                <w:color w:val="000000"/>
                <w:sz w:val="20"/>
              </w:rPr>
              <w:t>
   5) исследуемая популяция;</w:t>
            </w:r>
          </w:p>
          <w:p>
            <w:pPr>
              <w:spacing w:after="20"/>
              <w:ind w:left="20"/>
              <w:jc w:val="both"/>
            </w:pPr>
            <w:r>
              <w:rPr>
                <w:rFonts w:ascii="Times New Roman"/>
                <w:b w:val="false"/>
                <w:i w:val="false"/>
                <w:color w:val="000000"/>
                <w:sz w:val="20"/>
              </w:rPr>
              <w:t>
   6) мониторируемые показатели;</w:t>
            </w:r>
          </w:p>
          <w:p>
            <w:pPr>
              <w:spacing w:after="20"/>
              <w:ind w:left="20"/>
              <w:jc w:val="both"/>
            </w:pPr>
            <w:r>
              <w:rPr>
                <w:rFonts w:ascii="Times New Roman"/>
                <w:b w:val="false"/>
                <w:i w:val="false"/>
                <w:color w:val="000000"/>
                <w:sz w:val="20"/>
              </w:rPr>
              <w:t>
   7) источники данных;</w:t>
            </w:r>
          </w:p>
          <w:p>
            <w:pPr>
              <w:spacing w:after="20"/>
              <w:ind w:left="20"/>
              <w:jc w:val="both"/>
            </w:pPr>
            <w:r>
              <w:rPr>
                <w:rFonts w:ascii="Times New Roman"/>
                <w:b w:val="false"/>
                <w:i w:val="false"/>
                <w:color w:val="000000"/>
                <w:sz w:val="20"/>
              </w:rPr>
              <w:t>
   8) размер исследования (объем выборки);</w:t>
            </w:r>
          </w:p>
          <w:p>
            <w:pPr>
              <w:spacing w:after="20"/>
              <w:ind w:left="20"/>
              <w:jc w:val="both"/>
            </w:pPr>
            <w:r>
              <w:rPr>
                <w:rFonts w:ascii="Times New Roman"/>
                <w:b w:val="false"/>
                <w:i w:val="false"/>
                <w:color w:val="000000"/>
                <w:sz w:val="20"/>
              </w:rPr>
              <w:t>
   9) анализ данных;</w:t>
            </w:r>
          </w:p>
          <w:p>
            <w:pPr>
              <w:spacing w:after="20"/>
              <w:ind w:left="20"/>
              <w:jc w:val="both"/>
            </w:pPr>
            <w:r>
              <w:rPr>
                <w:rFonts w:ascii="Times New Roman"/>
                <w:b w:val="false"/>
                <w:i w:val="false"/>
                <w:color w:val="000000"/>
                <w:sz w:val="20"/>
              </w:rPr>
              <w:t>
   10) основные этапы.</w:t>
            </w:r>
          </w:p>
          <w:p>
            <w:pPr>
              <w:spacing w:after="20"/>
              <w:ind w:left="20"/>
              <w:jc w:val="both"/>
            </w:pPr>
            <w:r>
              <w:rPr>
                <w:rFonts w:ascii="Times New Roman"/>
                <w:b w:val="false"/>
                <w:i w:val="false"/>
                <w:color w:val="000000"/>
                <w:sz w:val="20"/>
              </w:rPr>
              <w:t>
   10.5.1.5. изменения и обновления: внесение любого существенного изменения и обновления в протокол испытаний после начала сбора данных, включая обоснование каждого изменения или обновления, даты каждого изменения и ссылку на раздел протокола, в который внесено изменение;</w:t>
            </w:r>
          </w:p>
          <w:p>
            <w:pPr>
              <w:spacing w:after="20"/>
              <w:ind w:left="20"/>
              <w:jc w:val="both"/>
            </w:pPr>
            <w:r>
              <w:rPr>
                <w:rFonts w:ascii="Times New Roman"/>
                <w:b w:val="false"/>
                <w:i w:val="false"/>
                <w:color w:val="000000"/>
                <w:sz w:val="20"/>
              </w:rPr>
              <w:t>
   10.5.1.6. основные этапы: данные в табличной форме с запланированными датами по выполнению следующих основных этапов исследования:</w:t>
            </w:r>
          </w:p>
          <w:p>
            <w:pPr>
              <w:spacing w:after="20"/>
              <w:ind w:left="20"/>
              <w:jc w:val="both"/>
            </w:pPr>
            <w:r>
              <w:rPr>
                <w:rFonts w:ascii="Times New Roman"/>
                <w:b w:val="false"/>
                <w:i w:val="false"/>
                <w:color w:val="000000"/>
                <w:sz w:val="20"/>
              </w:rPr>
              <w:t>
   1) начало сбора данных;</w:t>
            </w:r>
          </w:p>
          <w:p>
            <w:pPr>
              <w:spacing w:after="20"/>
              <w:ind w:left="20"/>
              <w:jc w:val="both"/>
            </w:pPr>
            <w:r>
              <w:rPr>
                <w:rFonts w:ascii="Times New Roman"/>
                <w:b w:val="false"/>
                <w:i w:val="false"/>
                <w:color w:val="000000"/>
                <w:sz w:val="20"/>
              </w:rPr>
              <w:t>
   2) окончание сбора данных;</w:t>
            </w:r>
          </w:p>
          <w:p>
            <w:pPr>
              <w:spacing w:after="20"/>
              <w:ind w:left="20"/>
              <w:jc w:val="both"/>
            </w:pPr>
            <w:r>
              <w:rPr>
                <w:rFonts w:ascii="Times New Roman"/>
                <w:b w:val="false"/>
                <w:i w:val="false"/>
                <w:color w:val="000000"/>
                <w:sz w:val="20"/>
              </w:rPr>
              <w:t>
   3) отчет о ходе выполнения исследования;</w:t>
            </w:r>
          </w:p>
          <w:p>
            <w:pPr>
              <w:spacing w:after="20"/>
              <w:ind w:left="20"/>
              <w:jc w:val="both"/>
            </w:pPr>
            <w:r>
              <w:rPr>
                <w:rFonts w:ascii="Times New Roman"/>
                <w:b w:val="false"/>
                <w:i w:val="false"/>
                <w:color w:val="000000"/>
                <w:sz w:val="20"/>
              </w:rPr>
              <w:t>
   4) промежуточный отчет о результатах исследования, если это применимо;</w:t>
            </w:r>
          </w:p>
          <w:p>
            <w:pPr>
              <w:spacing w:after="20"/>
              <w:ind w:left="20"/>
              <w:jc w:val="both"/>
            </w:pPr>
            <w:r>
              <w:rPr>
                <w:rFonts w:ascii="Times New Roman"/>
                <w:b w:val="false"/>
                <w:i w:val="false"/>
                <w:color w:val="000000"/>
                <w:sz w:val="20"/>
              </w:rPr>
              <w:t>
   5) итоговый отчет о результатах исследования.</w:t>
            </w:r>
          </w:p>
          <w:p>
            <w:pPr>
              <w:spacing w:after="20"/>
              <w:ind w:left="20"/>
              <w:jc w:val="both"/>
            </w:pPr>
            <w:r>
              <w:rPr>
                <w:rFonts w:ascii="Times New Roman"/>
                <w:b w:val="false"/>
                <w:i w:val="false"/>
                <w:color w:val="000000"/>
                <w:sz w:val="20"/>
              </w:rPr>
              <w:t>
   Представляются данные по любым другим этапам проведения исследования.</w:t>
            </w:r>
          </w:p>
          <w:p>
            <w:pPr>
              <w:spacing w:after="20"/>
              <w:ind w:left="20"/>
              <w:jc w:val="both"/>
            </w:pPr>
            <w:r>
              <w:rPr>
                <w:rFonts w:ascii="Times New Roman"/>
                <w:b w:val="false"/>
                <w:i w:val="false"/>
                <w:color w:val="000000"/>
                <w:sz w:val="20"/>
              </w:rPr>
              <w:t>
   10.5.1.7. обоснование и предпосылки проведения: описание проблемы по безопасности, профиля безопасности или мер по управлению рисками, которые привели к инициации исследования, а также критический анализ всех доступных опубликованных и неопубликованных данных, содержащих оценку соответствующей информации по безопасности или указание недостающих знаний по безопасности, на получение которых направлено исследование. Обзор включает в себя результаты соответствующих экспериментов на животных, клинических исследований, статистические популяционные данные и данные предыдущих эпидемиологических исследований. Обзор содержит ссылки на результаты схожих исследований и ожидаемый вклад данного исследования;</w:t>
            </w:r>
          </w:p>
          <w:p>
            <w:pPr>
              <w:spacing w:after="20"/>
              <w:ind w:left="20"/>
              <w:jc w:val="both"/>
            </w:pPr>
            <w:r>
              <w:rPr>
                <w:rFonts w:ascii="Times New Roman"/>
                <w:b w:val="false"/>
                <w:i w:val="false"/>
                <w:color w:val="000000"/>
                <w:sz w:val="20"/>
              </w:rPr>
              <w:t>
   10.5.1.8. задача и цели исследования: задача исследования, объясняющая, каким образом исследование будет способствовать решению вопроса, который привел к его инициации, а также цели исследования, включая любые предварительные гипотезы и основные тезисы, описывающие сведения или информацию, которые получены в результате проведения исследования;</w:t>
            </w:r>
          </w:p>
          <w:p>
            <w:pPr>
              <w:spacing w:after="20"/>
              <w:ind w:left="20"/>
              <w:jc w:val="both"/>
            </w:pPr>
            <w:r>
              <w:rPr>
                <w:rFonts w:ascii="Times New Roman"/>
                <w:b w:val="false"/>
                <w:i w:val="false"/>
                <w:color w:val="000000"/>
                <w:sz w:val="20"/>
              </w:rPr>
              <w:t>
   10.5.1.9. методы исследования: описание методов исследования, включая:</w:t>
            </w:r>
          </w:p>
          <w:p>
            <w:pPr>
              <w:spacing w:after="20"/>
              <w:ind w:left="20"/>
              <w:jc w:val="both"/>
            </w:pPr>
            <w:r>
              <w:rPr>
                <w:rFonts w:ascii="Times New Roman"/>
                <w:b w:val="false"/>
                <w:i w:val="false"/>
                <w:color w:val="000000"/>
                <w:sz w:val="20"/>
              </w:rPr>
              <w:t>
   10.5.1.9.1. дизайн исследования: описание дизайна исследования и обоснование его выбора;</w:t>
            </w:r>
          </w:p>
          <w:p>
            <w:pPr>
              <w:spacing w:after="20"/>
              <w:ind w:left="20"/>
              <w:jc w:val="both"/>
            </w:pPr>
            <w:r>
              <w:rPr>
                <w:rFonts w:ascii="Times New Roman"/>
                <w:b w:val="false"/>
                <w:i w:val="false"/>
                <w:color w:val="000000"/>
                <w:sz w:val="20"/>
              </w:rPr>
              <w:t>
   10.5.1.9.2. условия: популяция исследования, определяемая в категориях лиц, места, периода времени и критериев выборки. Необходимо наличие объективного обоснования всех критериев включения и не включения и описания их влияния на количество субъектов исследования, доступных для последующего анализа. Если проводится любая выборка из целевой популяции, необходимо наличие описания целевой популяции и подробности методов выборки. Если дизайн исследования представляет собой систематический обзор или мета-анализ, осуществляется объяснение критериев выбора и пригодности исследований;</w:t>
            </w:r>
          </w:p>
          <w:p>
            <w:pPr>
              <w:spacing w:after="20"/>
              <w:ind w:left="20"/>
              <w:jc w:val="both"/>
            </w:pPr>
            <w:r>
              <w:rPr>
                <w:rFonts w:ascii="Times New Roman"/>
                <w:b w:val="false"/>
                <w:i w:val="false"/>
                <w:color w:val="000000"/>
                <w:sz w:val="20"/>
              </w:rPr>
              <w:t>
   10.5.1.9.3. переменные: исходы, воздействия и другие переменные, в том числе измеряемые факторы риска, потенциальные факторы, искажающие результаты, и факторы, модифицирующие эффект, включая операционные определения;</w:t>
            </w:r>
          </w:p>
          <w:p>
            <w:pPr>
              <w:spacing w:after="20"/>
              <w:ind w:left="20"/>
              <w:jc w:val="both"/>
            </w:pPr>
            <w:r>
              <w:rPr>
                <w:rFonts w:ascii="Times New Roman"/>
                <w:b w:val="false"/>
                <w:i w:val="false"/>
                <w:color w:val="000000"/>
                <w:sz w:val="20"/>
              </w:rPr>
              <w:t>
   10.5.1.9.4. источники данных: стратегия и источники данных для определения воздействий, исходов и всех других переменных, значимых для целей исследования, таких как потенциальные факторы, искажающие результаты, и факторы, модифицирующие эффект. Если используются валидированные источники данных, инструменты и измерения, необходимо описание метода валидации. Если методы получения данных или инструментов испытывают в пилотном исследовании, то необходимо представление планов проведения пилотного исследования. Представляется описание всех задействованных организаций и процедур оценки, которые будут использованы для валидации диагнозов. В случае использования в исследовании существующего источника данных, такого как электронные медицинские карты, указывается любая информация в отношении валидности записей и кодирования данных. В случае систематического обзора или мета-анализа необходимо наличие описания стратегии и процессов поиска, а также любых методов для подтверждения данных исследователей;</w:t>
            </w:r>
          </w:p>
          <w:p>
            <w:pPr>
              <w:spacing w:after="20"/>
              <w:ind w:left="20"/>
              <w:jc w:val="both"/>
            </w:pPr>
            <w:r>
              <w:rPr>
                <w:rFonts w:ascii="Times New Roman"/>
                <w:b w:val="false"/>
                <w:i w:val="false"/>
                <w:color w:val="000000"/>
                <w:sz w:val="20"/>
              </w:rPr>
              <w:t>
   10.5.1.9.5. объем выборки: планируемый объем выборки, планируемая точность результатов исследования и расчет объема выборки, которые минимально определяют предварительно заданный риск с предварительно заданной мощностью;</w:t>
            </w:r>
          </w:p>
          <w:p>
            <w:pPr>
              <w:spacing w:after="20"/>
              <w:ind w:left="20"/>
              <w:jc w:val="both"/>
            </w:pPr>
            <w:r>
              <w:rPr>
                <w:rFonts w:ascii="Times New Roman"/>
                <w:b w:val="false"/>
                <w:i w:val="false"/>
                <w:color w:val="000000"/>
                <w:sz w:val="20"/>
              </w:rPr>
              <w:t>
   10.5.1.9.6. управление данными: управление данными и статистическое программное и аппаратное обеспечение, которое используется в ходе исследования. Процедуры сбора, восстановления и подготовки данных;</w:t>
            </w:r>
          </w:p>
          <w:p>
            <w:pPr>
              <w:spacing w:after="20"/>
              <w:ind w:left="20"/>
              <w:jc w:val="both"/>
            </w:pPr>
            <w:r>
              <w:rPr>
                <w:rFonts w:ascii="Times New Roman"/>
                <w:b w:val="false"/>
                <w:i w:val="false"/>
                <w:color w:val="000000"/>
                <w:sz w:val="20"/>
              </w:rPr>
              <w:t>
   10.5.1.9.7. анализ данных: все важные этапы от необработанных данных до получения итогового результата, включая методы, используемые для корректировки несоответствий или ошибок, недостоверных значений, модификации необработанных данных, категоризации, анализа и представления результатов, а также процедуры для контроля источников погрешностей и их влияния на результаты; любые статистические процедуры, применимые к данным для получения точечной оценки и доверительных интервалов измерений частоты возникновения или взаимосвязи и любого анализа чувствительности;</w:t>
            </w:r>
          </w:p>
          <w:p>
            <w:pPr>
              <w:spacing w:after="20"/>
              <w:ind w:left="20"/>
              <w:jc w:val="both"/>
            </w:pPr>
            <w:r>
              <w:rPr>
                <w:rFonts w:ascii="Times New Roman"/>
                <w:b w:val="false"/>
                <w:i w:val="false"/>
                <w:color w:val="000000"/>
                <w:sz w:val="20"/>
              </w:rPr>
              <w:t>
   10.5.1.9.8. контроль качества: описание механизмов и процедур для обеспечения качества и целостности данных, включая точность и читаемость полученных данных и первичной документации, хранение записей и архивирование статистических программ; описание доступных данных по валидации процедур верификации записей и валидации конечных точек. Включаются данные по сертификации и (или) квалификации любой вспомогательной лаборатории или исследовательских групп, если это применимо;</w:t>
            </w:r>
          </w:p>
          <w:p>
            <w:pPr>
              <w:spacing w:after="20"/>
              <w:ind w:left="20"/>
              <w:jc w:val="both"/>
            </w:pPr>
            <w:r>
              <w:rPr>
                <w:rFonts w:ascii="Times New Roman"/>
                <w:b w:val="false"/>
                <w:i w:val="false"/>
                <w:color w:val="000000"/>
                <w:sz w:val="20"/>
              </w:rPr>
              <w:t>
   10.5.1.9.9. ограничения методов исследования: любые потенциальные ограничения дизайна исследования, источников данных и аналитических методов, включая проблемы искажения результатов, ошибок, генерализации и случайной погрешности. Осуществляется обсуждение вероятности успеха мер, направленных на уменьшение количества ошибок;</w:t>
            </w:r>
          </w:p>
          <w:p>
            <w:pPr>
              <w:spacing w:after="20"/>
              <w:ind w:left="20"/>
              <w:jc w:val="both"/>
            </w:pPr>
            <w:r>
              <w:rPr>
                <w:rFonts w:ascii="Times New Roman"/>
                <w:b w:val="false"/>
                <w:i w:val="false"/>
                <w:color w:val="000000"/>
                <w:sz w:val="20"/>
              </w:rPr>
              <w:t>
   10.5.1.10. защита субъектов исследования: меры безопасности с целью обеспечения прав участников неинтервенционных пострегистрационных исследований безопасности;</w:t>
            </w:r>
          </w:p>
          <w:p>
            <w:pPr>
              <w:spacing w:after="20"/>
              <w:ind w:left="20"/>
              <w:jc w:val="both"/>
            </w:pPr>
            <w:r>
              <w:rPr>
                <w:rFonts w:ascii="Times New Roman"/>
                <w:b w:val="false"/>
                <w:i w:val="false"/>
                <w:color w:val="000000"/>
                <w:sz w:val="20"/>
              </w:rPr>
              <w:t xml:space="preserve">
   10.5.1.11. управление данными и представление информации о нежелательных явлениях (нежелательных реакциях): процедуры сбора, управления и представления сообщений об отдельных случаях нежелательных реакций и любой новой информации, которая оказывает влияние на оценку соотношения польза-риск лекарственного препарата при проведении исследования; </w:t>
            </w:r>
          </w:p>
          <w:p>
            <w:pPr>
              <w:spacing w:after="20"/>
              <w:ind w:left="20"/>
              <w:jc w:val="both"/>
            </w:pPr>
            <w:r>
              <w:rPr>
                <w:rFonts w:ascii="Times New Roman"/>
                <w:b w:val="false"/>
                <w:i w:val="false"/>
                <w:color w:val="000000"/>
                <w:sz w:val="20"/>
              </w:rPr>
              <w:t>
   10.5.1.12. планы по распространению полученных данных и сообщению результатов исследования, включая планы подачи текущих отчетов, итоговых отчетов и публикации;</w:t>
            </w:r>
          </w:p>
          <w:p>
            <w:pPr>
              <w:spacing w:after="20"/>
              <w:ind w:left="20"/>
              <w:jc w:val="both"/>
            </w:pPr>
            <w:r>
              <w:rPr>
                <w:rFonts w:ascii="Times New Roman"/>
                <w:b w:val="false"/>
                <w:i w:val="false"/>
                <w:color w:val="000000"/>
                <w:sz w:val="20"/>
              </w:rPr>
              <w:t>
   10.5.1.13. ссылки;</w:t>
            </w:r>
          </w:p>
          <w:p>
            <w:pPr>
              <w:spacing w:after="20"/>
              <w:ind w:left="20"/>
              <w:jc w:val="both"/>
            </w:pPr>
            <w:r>
              <w:rPr>
                <w:rFonts w:ascii="Times New Roman"/>
                <w:b w:val="false"/>
                <w:i w:val="false"/>
                <w:color w:val="000000"/>
                <w:sz w:val="20"/>
              </w:rPr>
              <w:t>
   Раздел включает любую дополнительную или вспомогательную информацию о специфических аспектах, которые ранее не рассматривались (анкеты, формы репортирования).</w:t>
            </w:r>
          </w:p>
          <w:p>
            <w:pPr>
              <w:spacing w:after="20"/>
              <w:ind w:left="20"/>
              <w:jc w:val="both"/>
            </w:pPr>
            <w:r>
              <w:rPr>
                <w:rFonts w:ascii="Times New Roman"/>
                <w:b w:val="false"/>
                <w:i w:val="false"/>
                <w:color w:val="000000"/>
                <w:sz w:val="20"/>
              </w:rPr>
              <w:t>
   Исследования по оценке выполнимости, проведенные для подтверждения разработки протокола, тестирование анкет или опросников, или простые подсчеты медицинских явлений или назначений по базе данных с целью определения статистической точности исследования, размещаются в соответствующем разделе протокола исследования с кратким описанием методов и результатов. Исследования по оценке выполнимости, являющиеся частью исследовательского процесса, полностью описываются в протоколе (пилотная оценка используемого опросника для пациентов).</w:t>
            </w:r>
          </w:p>
          <w:p>
            <w:pPr>
              <w:spacing w:after="20"/>
              <w:ind w:left="20"/>
              <w:jc w:val="both"/>
            </w:pPr>
            <w:r>
              <w:rPr>
                <w:rFonts w:ascii="Times New Roman"/>
                <w:b w:val="false"/>
                <w:i w:val="false"/>
                <w:color w:val="000000"/>
                <w:sz w:val="20"/>
              </w:rPr>
              <w:t>
   10.5.2. Контроль за внесением изменений в протокол исследования</w:t>
            </w:r>
          </w:p>
          <w:p>
            <w:pPr>
              <w:spacing w:after="20"/>
              <w:ind w:left="20"/>
              <w:jc w:val="both"/>
            </w:pPr>
            <w:r>
              <w:rPr>
                <w:rFonts w:ascii="Times New Roman"/>
                <w:b w:val="false"/>
                <w:i w:val="false"/>
                <w:color w:val="000000"/>
                <w:sz w:val="20"/>
              </w:rPr>
              <w:t>
   Внесение изменений и обновлений в протокол исследования осуществляется по мере необходимости в ходе исследования. Внесение любых существенных изменений в протокол после начала исследования фиксируется в протоколе таким образом, чтобы его можно было отследить и проверить, включая даты внесения изменений. Если внесения изменений в протокол привели к тому, что исследование было признано интервенционным клиническим исследованием (испытанием), в дальнейшем исследование проводится в соответствии с требованиями действующего законодательства к организации и проведению клинических исследований (испытаний).</w:t>
            </w:r>
          </w:p>
          <w:p>
            <w:pPr>
              <w:spacing w:after="20"/>
              <w:ind w:left="20"/>
              <w:jc w:val="both"/>
            </w:pPr>
            <w:r>
              <w:rPr>
                <w:rFonts w:ascii="Times New Roman"/>
                <w:b w:val="false"/>
                <w:i w:val="false"/>
                <w:color w:val="000000"/>
                <w:sz w:val="20"/>
              </w:rPr>
              <w:t xml:space="preserve">
   Для добровольно инициированных ПРИБ, держателю регистрационного удостоверения рекомендуется передать протокол исследования с изменениями или обновлениями в уполномоченный орган. </w:t>
            </w:r>
          </w:p>
          <w:p>
            <w:pPr>
              <w:spacing w:after="20"/>
              <w:ind w:left="20"/>
              <w:jc w:val="both"/>
            </w:pPr>
            <w:r>
              <w:rPr>
                <w:rFonts w:ascii="Times New Roman"/>
                <w:b w:val="false"/>
                <w:i w:val="false"/>
                <w:color w:val="000000"/>
                <w:sz w:val="20"/>
              </w:rPr>
              <w:t xml:space="preserve">
   Для ПРИБ, инициированных держателем регистрационного удостоверения в соответствии с обязательством, наложенным уполномоченным органом, держатель регистрационного удостоверения обеспечивает представление информации о внесении любых существенных изменении в протокол исследования в уполномоченный орган, которым были наложены обязательства по проведению ПРИБ, до момента их введения. </w:t>
            </w:r>
          </w:p>
          <w:p>
            <w:pPr>
              <w:spacing w:after="20"/>
              <w:ind w:left="20"/>
              <w:jc w:val="both"/>
            </w:pPr>
            <w:r>
              <w:rPr>
                <w:rFonts w:ascii="Times New Roman"/>
                <w:b w:val="false"/>
                <w:i w:val="false"/>
                <w:color w:val="000000"/>
                <w:sz w:val="20"/>
              </w:rPr>
              <w:t>
   </w:t>
            </w:r>
            <w:r>
              <w:rPr>
                <w:rFonts w:ascii="Times New Roman"/>
                <w:b/>
                <w:i w:val="false"/>
                <w:color w:val="000000"/>
                <w:sz w:val="20"/>
              </w:rPr>
              <w:t>10.6 Представление данных по фармаконадзору в уполномоченную организацию</w:t>
            </w:r>
          </w:p>
          <w:p>
            <w:pPr>
              <w:spacing w:after="20"/>
              <w:ind w:left="20"/>
              <w:jc w:val="both"/>
            </w:pPr>
            <w:r>
              <w:rPr>
                <w:rFonts w:ascii="Times New Roman"/>
                <w:b w:val="false"/>
                <w:i w:val="false"/>
                <w:color w:val="000000"/>
                <w:sz w:val="20"/>
              </w:rPr>
              <w:t>
   10.6.1. Данные значимые для оценки соотношения польза-риск лекарственного препарата</w:t>
            </w:r>
          </w:p>
          <w:p>
            <w:pPr>
              <w:spacing w:after="20"/>
              <w:ind w:left="20"/>
              <w:jc w:val="both"/>
            </w:pPr>
            <w:r>
              <w:rPr>
                <w:rFonts w:ascii="Times New Roman"/>
                <w:b w:val="false"/>
                <w:i w:val="false"/>
                <w:color w:val="000000"/>
                <w:sz w:val="20"/>
              </w:rPr>
              <w:t>
   Держатель регистрационного удостоверения выполняет контроль данных, получаемых при проведении исследования, и оценивает их влияние на соотношение польза-риск соответствующего лекарственного препарата. Любая новая информация, которая влияет на оценку соотношения польза-риск лекарственного препарата, незамедлительно сообщается в уполномоченную организацию. Данные, оказывающие влияние на оценку соотношения польза-риск лекарственного препарата, включают данные, получаемые в результате анализа информации о подозреваемых нежелательных реакциях или результаты промежуточного анализа обобщенных данных по безопасности.</w:t>
            </w:r>
          </w:p>
          <w:p>
            <w:pPr>
              <w:spacing w:after="20"/>
              <w:ind w:left="20"/>
              <w:jc w:val="both"/>
            </w:pPr>
            <w:r>
              <w:rPr>
                <w:rFonts w:ascii="Times New Roman"/>
                <w:b w:val="false"/>
                <w:i w:val="false"/>
                <w:color w:val="000000"/>
                <w:sz w:val="20"/>
              </w:rPr>
              <w:t>
   Данное информирование не должно влиять на информацию о результатах исследований, которая представляется в рамках ПОБ и в обновлениях плана управления рисками, если это применимо.</w:t>
            </w:r>
          </w:p>
          <w:p>
            <w:pPr>
              <w:spacing w:after="20"/>
              <w:ind w:left="20"/>
              <w:jc w:val="both"/>
            </w:pPr>
            <w:r>
              <w:rPr>
                <w:rFonts w:ascii="Times New Roman"/>
                <w:b w:val="false"/>
                <w:i w:val="false"/>
                <w:color w:val="000000"/>
                <w:sz w:val="20"/>
              </w:rPr>
              <w:t xml:space="preserve">
   10.6.2. Подозреваемые нежелательные реакции и иная информация по безопасности, подлежащая срочному представлению </w:t>
            </w:r>
          </w:p>
          <w:p>
            <w:pPr>
              <w:spacing w:after="20"/>
              <w:ind w:left="20"/>
              <w:jc w:val="both"/>
            </w:pPr>
            <w:r>
              <w:rPr>
                <w:rFonts w:ascii="Times New Roman"/>
                <w:b w:val="false"/>
                <w:i w:val="false"/>
                <w:color w:val="000000"/>
                <w:sz w:val="20"/>
              </w:rPr>
              <w:t>
   Информация по серьезным непредвиденным нежелательным реакциям и иная информация по безопасности представляется в срочном порядке в уполномоченный орган в соответствии с требованиями настоящего Стандарта. Процедуры сбора информации по нежелательным реакциям, управления данными (включая обзор и оценку, выполняемую держателем регистрационного удостоверения, если это применимо) и представления сообщений о подозреваемых нежелательных реакциях выполняются в центрах проведения клинических исследований и в краткой форме излагаются в протоколе исследования.</w:t>
            </w:r>
          </w:p>
          <w:p>
            <w:pPr>
              <w:spacing w:after="20"/>
              <w:ind w:left="20"/>
              <w:jc w:val="both"/>
            </w:pPr>
            <w:r>
              <w:rPr>
                <w:rFonts w:ascii="Times New Roman"/>
                <w:b w:val="false"/>
                <w:i w:val="false"/>
                <w:color w:val="000000"/>
                <w:sz w:val="20"/>
              </w:rPr>
              <w:t>
   10.6.3. Отчеты об исследованиях</w:t>
            </w:r>
          </w:p>
          <w:p>
            <w:pPr>
              <w:spacing w:after="20"/>
              <w:ind w:left="20"/>
              <w:jc w:val="both"/>
            </w:pPr>
            <w:r>
              <w:rPr>
                <w:rFonts w:ascii="Times New Roman"/>
                <w:b w:val="false"/>
                <w:i w:val="false"/>
                <w:color w:val="000000"/>
                <w:sz w:val="20"/>
              </w:rPr>
              <w:t>
   10.6.3.1. Промежуточная отчетность</w:t>
            </w:r>
          </w:p>
          <w:p>
            <w:pPr>
              <w:spacing w:after="20"/>
              <w:ind w:left="20"/>
              <w:jc w:val="both"/>
            </w:pPr>
            <w:r>
              <w:rPr>
                <w:rFonts w:ascii="Times New Roman"/>
                <w:b w:val="false"/>
                <w:i w:val="false"/>
                <w:color w:val="000000"/>
                <w:sz w:val="20"/>
              </w:rPr>
              <w:t>
   Уполномоченная организация запрашивает представление промежуточного отчета по выполняемому ПРИБ на лекарственные препараты, зарегистрированные на территории Республики Казахстан. Запросы на представление промежуточных отчетов делаются до начала исследования или в любое время в ходе проведения исследования. Причиной запроса является информация в отношении профиля эффективности и (или) безопасности, возникающая в ходе исследования, либо необходимость получения информации о ходе выполнения исследования в контексте уполномоченных процедур, а также важная информация по безопасности лекарственного препарата.</w:t>
            </w:r>
          </w:p>
          <w:p>
            <w:pPr>
              <w:spacing w:after="20"/>
              <w:ind w:left="20"/>
              <w:jc w:val="both"/>
            </w:pPr>
            <w:r>
              <w:rPr>
                <w:rFonts w:ascii="Times New Roman"/>
                <w:b w:val="false"/>
                <w:i w:val="false"/>
                <w:color w:val="000000"/>
                <w:sz w:val="20"/>
              </w:rPr>
              <w:t>
   Время представления промежуточных отчетов согласовывается с уполномоченной организацией и указывается в протоколе исследований. Ход выполнения ПРИБ соответствующим образом отражается в периодических отчетах по безопасности и в обновлениях плана управления рисками, если это применимо.</w:t>
            </w:r>
          </w:p>
          <w:p>
            <w:pPr>
              <w:spacing w:after="20"/>
              <w:ind w:left="20"/>
              <w:jc w:val="both"/>
            </w:pPr>
            <w:r>
              <w:rPr>
                <w:rFonts w:ascii="Times New Roman"/>
                <w:b w:val="false"/>
                <w:i w:val="false"/>
                <w:color w:val="000000"/>
                <w:sz w:val="20"/>
              </w:rPr>
              <w:t>
   Содержание промежуточного отчета соответствует логической последовательности и включает все доступные данные, признанные имеющими отношение к ходу выполнения исследования: число включенных исследование пациентов, число пациентов, подвергшихся воздействию лекарственного препарата, или число пациентов, у которых зафиксирован мониторируемый исход, сложности в выполнении исследования и отклонения от ожидаемого плана. После рассмотрения отчета уполномоченным органом запрашивается дополнительная информация.</w:t>
            </w:r>
          </w:p>
          <w:p>
            <w:pPr>
              <w:spacing w:after="20"/>
              <w:ind w:left="20"/>
              <w:jc w:val="both"/>
            </w:pPr>
            <w:r>
              <w:rPr>
                <w:rFonts w:ascii="Times New Roman"/>
                <w:b w:val="false"/>
                <w:i w:val="false"/>
                <w:color w:val="000000"/>
                <w:sz w:val="20"/>
              </w:rPr>
              <w:t>
   10.6.3.2. Итоговый отчет исследования</w:t>
            </w:r>
          </w:p>
          <w:p>
            <w:pPr>
              <w:spacing w:after="20"/>
              <w:ind w:left="20"/>
              <w:jc w:val="both"/>
            </w:pPr>
            <w:r>
              <w:rPr>
                <w:rFonts w:ascii="Times New Roman"/>
                <w:b w:val="false"/>
                <w:i w:val="false"/>
                <w:color w:val="000000"/>
                <w:sz w:val="20"/>
              </w:rPr>
              <w:t>
   Итоговый отчет ПРИБ подается в уполномоченную организацию сразу после его завершения и в течение 12 месяцев от даты окончания сбора данных. Держатель регистрационного удостоверения подает итоговый отчет ПРИБ в уполномоченную организацию.</w:t>
            </w:r>
          </w:p>
          <w:p>
            <w:pPr>
              <w:spacing w:after="20"/>
              <w:ind w:left="20"/>
              <w:jc w:val="both"/>
            </w:pPr>
            <w:r>
              <w:rPr>
                <w:rFonts w:ascii="Times New Roman"/>
                <w:b w:val="false"/>
                <w:i w:val="false"/>
                <w:color w:val="000000"/>
                <w:sz w:val="20"/>
              </w:rPr>
              <w:t>
   Для ПРИБ, добровольно инициированных держателем регистрационного удостоверения итоговый отчет об исследовании передается уполномоченную организацию.</w:t>
            </w:r>
          </w:p>
          <w:p>
            <w:pPr>
              <w:spacing w:after="20"/>
              <w:ind w:left="20"/>
              <w:jc w:val="both"/>
            </w:pPr>
            <w:r>
              <w:rPr>
                <w:rFonts w:ascii="Times New Roman"/>
                <w:b w:val="false"/>
                <w:i w:val="false"/>
                <w:color w:val="000000"/>
                <w:sz w:val="20"/>
              </w:rPr>
              <w:t xml:space="preserve">
   Для ПРИБ, инициированных держателем регистрационного удостоверения в соответствии с обязательством, налагаемым со стороны уполномоченного органа, если не было предоставлено разрешение на отступление от требований, держатель регистрационного удостоверения в течение 12 месяцев по окончании сбора данных предоставляет итоговый отчет об исследовании, включая резюме исследования для публикации. </w:t>
            </w:r>
          </w:p>
          <w:p>
            <w:pPr>
              <w:spacing w:after="20"/>
              <w:ind w:left="20"/>
              <w:jc w:val="both"/>
            </w:pPr>
            <w:r>
              <w:rPr>
                <w:rFonts w:ascii="Times New Roman"/>
                <w:b w:val="false"/>
                <w:i w:val="false"/>
                <w:color w:val="000000"/>
                <w:sz w:val="20"/>
              </w:rPr>
              <w:t>
   В случае остановки исследования подается итоговый отчет и объяснения причины остановки исследования.</w:t>
            </w:r>
          </w:p>
          <w:p>
            <w:pPr>
              <w:spacing w:after="20"/>
              <w:ind w:left="20"/>
              <w:jc w:val="both"/>
            </w:pPr>
            <w:r>
              <w:rPr>
                <w:rFonts w:ascii="Times New Roman"/>
                <w:b w:val="false"/>
                <w:i w:val="false"/>
                <w:color w:val="000000"/>
                <w:sz w:val="20"/>
              </w:rPr>
              <w:t>
   Итоговый отчет ПРИБ включает следующие разделы и информацию:</w:t>
            </w:r>
          </w:p>
          <w:p>
            <w:pPr>
              <w:spacing w:after="20"/>
              <w:ind w:left="20"/>
              <w:jc w:val="both"/>
            </w:pPr>
            <w:r>
              <w:rPr>
                <w:rFonts w:ascii="Times New Roman"/>
                <w:b w:val="false"/>
                <w:i w:val="false"/>
                <w:color w:val="000000"/>
                <w:sz w:val="20"/>
              </w:rPr>
              <w:t>
   10.6.3.2.1. название: название, включающее общеупотребительную терминологию, указывающую дизайн исследования; подзаголовки с датой итогового отчета, именем и сведениями об основном авторе отчета;</w:t>
            </w:r>
          </w:p>
          <w:p>
            <w:pPr>
              <w:spacing w:after="20"/>
              <w:ind w:left="20"/>
              <w:jc w:val="both"/>
            </w:pPr>
            <w:r>
              <w:rPr>
                <w:rFonts w:ascii="Times New Roman"/>
                <w:b w:val="false"/>
                <w:i w:val="false"/>
                <w:color w:val="000000"/>
                <w:sz w:val="20"/>
              </w:rPr>
              <w:t>
   10.6.3.2</w:t>
            </w:r>
            <w:r>
              <w:rPr>
                <w:rFonts w:ascii="Times New Roman"/>
                <w:b/>
                <w:i w:val="false"/>
                <w:color w:val="000000"/>
                <w:sz w:val="20"/>
              </w:rPr>
              <w:t>.</w:t>
            </w:r>
            <w:r>
              <w:rPr>
                <w:rFonts w:ascii="Times New Roman"/>
                <w:b w:val="false"/>
                <w:i w:val="false"/>
                <w:color w:val="000000"/>
                <w:sz w:val="20"/>
              </w:rPr>
              <w:t>2. краткое содержание: отдельное резюме в представленном ниже формате;</w:t>
            </w:r>
          </w:p>
          <w:p>
            <w:pPr>
              <w:spacing w:after="20"/>
              <w:ind w:left="20"/>
              <w:jc w:val="both"/>
            </w:pPr>
            <w:r>
              <w:rPr>
                <w:rFonts w:ascii="Times New Roman"/>
                <w:b w:val="false"/>
                <w:i w:val="false"/>
                <w:color w:val="000000"/>
                <w:sz w:val="20"/>
              </w:rPr>
              <w:t>
   10.6.3.2.3. держатель регистрационного удостоверения: наименование и адрес держателя регистрационного удостоверения;</w:t>
            </w:r>
          </w:p>
          <w:p>
            <w:pPr>
              <w:spacing w:after="20"/>
              <w:ind w:left="20"/>
              <w:jc w:val="both"/>
            </w:pPr>
            <w:r>
              <w:rPr>
                <w:rFonts w:ascii="Times New Roman"/>
                <w:b w:val="false"/>
                <w:i w:val="false"/>
                <w:color w:val="000000"/>
                <w:sz w:val="20"/>
              </w:rPr>
              <w:t>
   10.6.3.2.4. исследователи: имена, титулы, ученые степени, адреса и сведения обо всех исследователях, а также перечень всех вовлеченные в исследование организаций и мест выполнения исследования;</w:t>
            </w:r>
          </w:p>
          <w:p>
            <w:pPr>
              <w:spacing w:after="20"/>
              <w:ind w:left="20"/>
              <w:jc w:val="both"/>
            </w:pPr>
            <w:r>
              <w:rPr>
                <w:rFonts w:ascii="Times New Roman"/>
                <w:b w:val="false"/>
                <w:i w:val="false"/>
                <w:color w:val="000000"/>
                <w:sz w:val="20"/>
              </w:rPr>
              <w:t>
   10.6.3.2.5. контрольные точки: запланированные и фактические даты по следующим контрольным точкам выполнения исследования:</w:t>
            </w:r>
          </w:p>
          <w:p>
            <w:pPr>
              <w:spacing w:after="20"/>
              <w:ind w:left="20"/>
              <w:jc w:val="both"/>
            </w:pPr>
            <w:r>
              <w:rPr>
                <w:rFonts w:ascii="Times New Roman"/>
                <w:b w:val="false"/>
                <w:i w:val="false"/>
                <w:color w:val="000000"/>
                <w:sz w:val="20"/>
              </w:rPr>
              <w:t>
   1) начало сбора данных;</w:t>
            </w:r>
          </w:p>
          <w:p>
            <w:pPr>
              <w:spacing w:after="20"/>
              <w:ind w:left="20"/>
              <w:jc w:val="both"/>
            </w:pPr>
            <w:r>
              <w:rPr>
                <w:rFonts w:ascii="Times New Roman"/>
                <w:b w:val="false"/>
                <w:i w:val="false"/>
                <w:color w:val="000000"/>
                <w:sz w:val="20"/>
              </w:rPr>
              <w:t>
   2) конец сбора данных;</w:t>
            </w:r>
          </w:p>
          <w:p>
            <w:pPr>
              <w:spacing w:after="20"/>
              <w:ind w:left="20"/>
              <w:jc w:val="both"/>
            </w:pPr>
            <w:r>
              <w:rPr>
                <w:rFonts w:ascii="Times New Roman"/>
                <w:b w:val="false"/>
                <w:i w:val="false"/>
                <w:color w:val="000000"/>
                <w:sz w:val="20"/>
              </w:rPr>
              <w:t>
   3) отчетность о ходе исследования, запрошенная уполномоченным органом;</w:t>
            </w:r>
          </w:p>
          <w:p>
            <w:pPr>
              <w:spacing w:after="20"/>
              <w:ind w:left="20"/>
              <w:jc w:val="both"/>
            </w:pPr>
            <w:r>
              <w:rPr>
                <w:rFonts w:ascii="Times New Roman"/>
                <w:b w:val="false"/>
                <w:i w:val="false"/>
                <w:color w:val="000000"/>
                <w:sz w:val="20"/>
              </w:rPr>
              <w:t>
   4) промежуточная отчетность о результатах исследования, если это применимо;</w:t>
            </w:r>
          </w:p>
          <w:p>
            <w:pPr>
              <w:spacing w:after="20"/>
              <w:ind w:left="20"/>
              <w:jc w:val="both"/>
            </w:pPr>
            <w:r>
              <w:rPr>
                <w:rFonts w:ascii="Times New Roman"/>
                <w:b w:val="false"/>
                <w:i w:val="false"/>
                <w:color w:val="000000"/>
                <w:sz w:val="20"/>
              </w:rPr>
              <w:t>
   5) итоговый отчет о результатах исследования;</w:t>
            </w:r>
          </w:p>
          <w:p>
            <w:pPr>
              <w:spacing w:after="20"/>
              <w:ind w:left="20"/>
              <w:jc w:val="both"/>
            </w:pPr>
            <w:r>
              <w:rPr>
                <w:rFonts w:ascii="Times New Roman"/>
                <w:b w:val="false"/>
                <w:i w:val="false"/>
                <w:color w:val="000000"/>
                <w:sz w:val="20"/>
              </w:rPr>
              <w:t>
   6) любые иные важные контрольные точки, применимые к исследованию, включая дату утверждения протокола комитетом по этике, если это применимо, и дату регистрации исследования в электронном реестре исследований.</w:t>
            </w:r>
          </w:p>
          <w:p>
            <w:pPr>
              <w:spacing w:after="20"/>
              <w:ind w:left="20"/>
              <w:jc w:val="both"/>
            </w:pPr>
            <w:r>
              <w:rPr>
                <w:rFonts w:ascii="Times New Roman"/>
                <w:b w:val="false"/>
                <w:i w:val="false"/>
                <w:color w:val="000000"/>
                <w:sz w:val="20"/>
              </w:rPr>
              <w:t xml:space="preserve">
   10.6.3.2.6. обоснование и предпосылки проведения исследования: описание проблемы по безопасности, которая привела к инициации исследования, а также критический анализ всех доступных опубликованных и неопубликованных данных, содержащих оценку соответствующей информации по безопасности или указание недостающих знаний по безопасности, на получение которых было направлено исследование; </w:t>
            </w:r>
          </w:p>
          <w:p>
            <w:pPr>
              <w:spacing w:after="20"/>
              <w:ind w:left="20"/>
              <w:jc w:val="both"/>
            </w:pPr>
            <w:r>
              <w:rPr>
                <w:rFonts w:ascii="Times New Roman"/>
                <w:b w:val="false"/>
                <w:i w:val="false"/>
                <w:color w:val="000000"/>
                <w:sz w:val="20"/>
              </w:rPr>
              <w:t>
   10.6.3.2.7. цель и задачи исследования: цель исследования и задачи исследования, включая любые предварительные гипотезы, как указано в протоколе испытаний;</w:t>
            </w:r>
          </w:p>
          <w:p>
            <w:pPr>
              <w:spacing w:after="20"/>
              <w:ind w:left="20"/>
              <w:jc w:val="both"/>
            </w:pPr>
            <w:r>
              <w:rPr>
                <w:rFonts w:ascii="Times New Roman"/>
                <w:b w:val="false"/>
                <w:i w:val="false"/>
                <w:color w:val="000000"/>
                <w:sz w:val="20"/>
              </w:rPr>
              <w:t>
   10.6.3.2.8. изменения и обновления: перечень любых существенных изменений и обновлений первоначального протокола испытаний после начала сбора данных, включая обоснование каждого изменения или обновления;</w:t>
            </w:r>
          </w:p>
          <w:p>
            <w:pPr>
              <w:spacing w:after="20"/>
              <w:ind w:left="20"/>
              <w:jc w:val="both"/>
            </w:pPr>
            <w:r>
              <w:rPr>
                <w:rFonts w:ascii="Times New Roman"/>
                <w:b w:val="false"/>
                <w:i w:val="false"/>
                <w:color w:val="000000"/>
                <w:sz w:val="20"/>
              </w:rPr>
              <w:t>
   10.6.3.2.9. методы исследования:</w:t>
            </w:r>
          </w:p>
          <w:p>
            <w:pPr>
              <w:spacing w:after="20"/>
              <w:ind w:left="20"/>
              <w:jc w:val="both"/>
            </w:pPr>
            <w:r>
              <w:rPr>
                <w:rFonts w:ascii="Times New Roman"/>
                <w:b w:val="false"/>
                <w:i w:val="false"/>
                <w:color w:val="000000"/>
                <w:sz w:val="20"/>
              </w:rPr>
              <w:t>
   Дизайн исследования: ключевые элементы дизайна исследования и обоснование выбранного дизайна.</w:t>
            </w:r>
          </w:p>
          <w:p>
            <w:pPr>
              <w:spacing w:after="20"/>
              <w:ind w:left="20"/>
              <w:jc w:val="both"/>
            </w:pPr>
            <w:r>
              <w:rPr>
                <w:rFonts w:ascii="Times New Roman"/>
                <w:b w:val="false"/>
                <w:i w:val="false"/>
                <w:color w:val="000000"/>
                <w:sz w:val="20"/>
              </w:rPr>
              <w:t>
   Условия: условия, места и соответствующие даты проведения исследования, включая периоды набора пациентов, последующего наблюдения и сбора данных. В случае систематического обзора или мета-анализа - характеристики исследований, используемые в качестве критериев приемлемости, с их обоснованием.</w:t>
            </w:r>
          </w:p>
          <w:p>
            <w:pPr>
              <w:spacing w:after="20"/>
              <w:ind w:left="20"/>
              <w:jc w:val="both"/>
            </w:pPr>
            <w:r>
              <w:rPr>
                <w:rFonts w:ascii="Times New Roman"/>
                <w:b w:val="false"/>
                <w:i w:val="false"/>
                <w:color w:val="000000"/>
                <w:sz w:val="20"/>
              </w:rPr>
              <w:t>
   Пациенты: любая целевая популяция и критерии включения пациентов в исследование. Указываются источники и методы подбора участников, включая, где это применимо, методы индивидуализации случаев, а также количество и причины исключения из исследования.</w:t>
            </w:r>
          </w:p>
          <w:p>
            <w:pPr>
              <w:spacing w:after="20"/>
              <w:ind w:left="20"/>
              <w:jc w:val="both"/>
            </w:pPr>
            <w:r>
              <w:rPr>
                <w:rFonts w:ascii="Times New Roman"/>
                <w:b w:val="false"/>
                <w:i w:val="false"/>
                <w:color w:val="000000"/>
                <w:sz w:val="20"/>
              </w:rPr>
              <w:t>
   Переменные: все результаты, воздействие, прогностические факторы, потенциальные искажающие факторы и факторы, модифицирующие эффект, включая операционные определения. Если это применимо, представляются диагностические критерии.</w:t>
            </w:r>
          </w:p>
          <w:p>
            <w:pPr>
              <w:spacing w:after="20"/>
              <w:ind w:left="20"/>
              <w:jc w:val="both"/>
            </w:pPr>
            <w:r>
              <w:rPr>
                <w:rFonts w:ascii="Times New Roman"/>
                <w:b w:val="false"/>
                <w:i w:val="false"/>
                <w:color w:val="000000"/>
                <w:sz w:val="20"/>
              </w:rPr>
              <w:t>
   Источники данных и измерение: для каждой рассматриваемой переменной указываются источники данных и подробное описание методов оценки и измерения (если это применимо), а также сопоставимость методов оценки, если их более одного. Если исследование использовало существующий источник данных, такой как электронные медицинские карты, сообщается любая информация о валидности записей и кодировании данных. В случае систематического обзора или мета-анализа описываются все источники информации, стратегия поиска, методы для выбора исследований, методы извлечения данных и любые процессы для получения и подтверждения данных исследователей.</w:t>
            </w:r>
          </w:p>
          <w:p>
            <w:pPr>
              <w:spacing w:after="20"/>
              <w:ind w:left="20"/>
              <w:jc w:val="both"/>
            </w:pPr>
            <w:r>
              <w:rPr>
                <w:rFonts w:ascii="Times New Roman"/>
                <w:b w:val="false"/>
                <w:i w:val="false"/>
                <w:color w:val="000000"/>
                <w:sz w:val="20"/>
              </w:rPr>
              <w:t>
   Ошибки: описание предпринятых действий (мер) по обращению с потенциальными источниками ошибок.</w:t>
            </w:r>
          </w:p>
          <w:p>
            <w:pPr>
              <w:spacing w:after="20"/>
              <w:ind w:left="20"/>
              <w:jc w:val="both"/>
            </w:pPr>
            <w:r>
              <w:rPr>
                <w:rFonts w:ascii="Times New Roman"/>
                <w:b w:val="false"/>
                <w:i w:val="false"/>
                <w:color w:val="000000"/>
                <w:sz w:val="20"/>
              </w:rPr>
              <w:t>
   Объем выборки: объем выборки и обоснование любого вычисления размера выборки и метода достижения предполагаемого размера выборки.</w:t>
            </w:r>
          </w:p>
          <w:p>
            <w:pPr>
              <w:spacing w:after="20"/>
              <w:ind w:left="20"/>
              <w:jc w:val="both"/>
            </w:pPr>
            <w:r>
              <w:rPr>
                <w:rFonts w:ascii="Times New Roman"/>
                <w:b w:val="false"/>
                <w:i w:val="false"/>
                <w:color w:val="000000"/>
                <w:sz w:val="20"/>
              </w:rPr>
              <w:t>
   Преобразование данных: преобразования, вычисления или операции с данными, включая методы обработки количественных данных при выполнении анализа, обоснование выбранных методов группирования данных.</w:t>
            </w:r>
          </w:p>
          <w:p>
            <w:pPr>
              <w:spacing w:after="20"/>
              <w:ind w:left="20"/>
              <w:jc w:val="both"/>
            </w:pPr>
            <w:r>
              <w:rPr>
                <w:rFonts w:ascii="Times New Roman"/>
                <w:b w:val="false"/>
                <w:i w:val="false"/>
                <w:color w:val="000000"/>
                <w:sz w:val="20"/>
              </w:rPr>
              <w:t>
   Статистические методы: описание по следующим аспектам:</w:t>
            </w:r>
          </w:p>
          <w:p>
            <w:pPr>
              <w:spacing w:after="20"/>
              <w:ind w:left="20"/>
              <w:jc w:val="both"/>
            </w:pPr>
            <w:r>
              <w:rPr>
                <w:rFonts w:ascii="Times New Roman"/>
                <w:b w:val="false"/>
                <w:i w:val="false"/>
                <w:color w:val="000000"/>
                <w:sz w:val="20"/>
              </w:rPr>
              <w:t>
   основные методы обобщения;</w:t>
            </w:r>
          </w:p>
          <w:p>
            <w:pPr>
              <w:spacing w:after="20"/>
              <w:ind w:left="20"/>
              <w:jc w:val="both"/>
            </w:pPr>
            <w:r>
              <w:rPr>
                <w:rFonts w:ascii="Times New Roman"/>
                <w:b w:val="false"/>
                <w:i w:val="false"/>
                <w:color w:val="000000"/>
                <w:sz w:val="20"/>
              </w:rPr>
              <w:t>
   все статистические методы, которые применялись в исследовании, включая методы для контроля искажений и, что касается мета-анализов, методы комбинирования результатов исследований;</w:t>
            </w:r>
          </w:p>
          <w:p>
            <w:pPr>
              <w:spacing w:after="20"/>
              <w:ind w:left="20"/>
              <w:jc w:val="both"/>
            </w:pPr>
            <w:r>
              <w:rPr>
                <w:rFonts w:ascii="Times New Roman"/>
                <w:b w:val="false"/>
                <w:i w:val="false"/>
                <w:color w:val="000000"/>
                <w:sz w:val="20"/>
              </w:rPr>
              <w:t>
   любые методы, используемые для изучения подгрупп и взаимодействий;</w:t>
            </w:r>
          </w:p>
          <w:p>
            <w:pPr>
              <w:spacing w:after="20"/>
              <w:ind w:left="20"/>
              <w:jc w:val="both"/>
            </w:pPr>
            <w:r>
              <w:rPr>
                <w:rFonts w:ascii="Times New Roman"/>
                <w:b w:val="false"/>
                <w:i w:val="false"/>
                <w:color w:val="000000"/>
                <w:sz w:val="20"/>
              </w:rPr>
              <w:t>
   подход к решению проблемы по недоступным данным;</w:t>
            </w:r>
          </w:p>
          <w:p>
            <w:pPr>
              <w:spacing w:after="20"/>
              <w:ind w:left="20"/>
              <w:jc w:val="both"/>
            </w:pPr>
            <w:r>
              <w:rPr>
                <w:rFonts w:ascii="Times New Roman"/>
                <w:b w:val="false"/>
                <w:i w:val="false"/>
                <w:color w:val="000000"/>
                <w:sz w:val="20"/>
              </w:rPr>
              <w:t>
   оценка чувствительности исследования;</w:t>
            </w:r>
          </w:p>
          <w:p>
            <w:pPr>
              <w:spacing w:after="20"/>
              <w:ind w:left="20"/>
              <w:jc w:val="both"/>
            </w:pPr>
            <w:r>
              <w:rPr>
                <w:rFonts w:ascii="Times New Roman"/>
                <w:b w:val="false"/>
                <w:i w:val="false"/>
                <w:color w:val="000000"/>
                <w:sz w:val="20"/>
              </w:rPr>
              <w:t>
   все изменения плана анализа данных, предусмотренного протоколом исследования, с обоснованием изменений.</w:t>
            </w:r>
          </w:p>
          <w:p>
            <w:pPr>
              <w:spacing w:after="20"/>
              <w:ind w:left="20"/>
              <w:jc w:val="both"/>
            </w:pPr>
            <w:r>
              <w:rPr>
                <w:rFonts w:ascii="Times New Roman"/>
                <w:b w:val="false"/>
                <w:i w:val="false"/>
                <w:color w:val="000000"/>
                <w:sz w:val="20"/>
              </w:rPr>
              <w:t>
   Контроль качества: механизмы и процедуры обеспечения качества и целостности данных.</w:t>
            </w:r>
          </w:p>
          <w:p>
            <w:pPr>
              <w:spacing w:after="20"/>
              <w:ind w:left="20"/>
              <w:jc w:val="both"/>
            </w:pPr>
            <w:r>
              <w:rPr>
                <w:rFonts w:ascii="Times New Roman"/>
                <w:b w:val="false"/>
                <w:i w:val="false"/>
                <w:color w:val="000000"/>
                <w:sz w:val="20"/>
              </w:rPr>
              <w:t>
   Результаты: представление таблиц, графиков и иллюстраций для отображения полученных данных и проведенного анализа. Представляются как адаптированные, так и неадаптированные результаты. Оценка точности данных выполняется количественно с указанием доверительных интервалов. Этот раздел включает следующие подразделы:</w:t>
            </w:r>
          </w:p>
          <w:p>
            <w:pPr>
              <w:spacing w:after="20"/>
              <w:ind w:left="20"/>
              <w:jc w:val="both"/>
            </w:pPr>
            <w:r>
              <w:rPr>
                <w:rFonts w:ascii="Times New Roman"/>
                <w:b w:val="false"/>
                <w:i w:val="false"/>
                <w:color w:val="000000"/>
                <w:sz w:val="20"/>
              </w:rPr>
              <w:t>
   участники: количество пациентов на каждом этапе исследования (число потенциально соответствующих, прошедших процедуру скринирования, подтвержденных как соответствующие, включенных в исследование, завершающих последующее наблюдение и проанализированных, а также причины выбытия из исследования на любом этапе). В случае систематического обзора или мета-анализа - количество скринированных, оцененных на соответствие и включенных в обзор исследований с указанием причин исключения на каждом этапе;</w:t>
            </w:r>
          </w:p>
          <w:p>
            <w:pPr>
              <w:spacing w:after="20"/>
              <w:ind w:left="20"/>
              <w:jc w:val="both"/>
            </w:pPr>
            <w:r>
              <w:rPr>
                <w:rFonts w:ascii="Times New Roman"/>
                <w:b w:val="false"/>
                <w:i w:val="false"/>
                <w:color w:val="000000"/>
                <w:sz w:val="20"/>
              </w:rPr>
              <w:t>
   описательные данные: характеристики участников исследования, информация по воздействию и потенциальных искажающих факторах, а также количество участников с отсутствующими данными для каждой рассматриваемой переменной. В случае систематического обзора или мета-анализа - характеристика каждого исследования, данные которого были использованы (объем выборки, последующее наблюдение);</w:t>
            </w:r>
          </w:p>
          <w:p>
            <w:pPr>
              <w:spacing w:after="20"/>
              <w:ind w:left="20"/>
              <w:jc w:val="both"/>
            </w:pPr>
            <w:r>
              <w:rPr>
                <w:rFonts w:ascii="Times New Roman"/>
                <w:b w:val="false"/>
                <w:i w:val="false"/>
                <w:color w:val="000000"/>
                <w:sz w:val="20"/>
              </w:rPr>
              <w:t>
   данные о результатах: количество участников по категориям основных результатов;</w:t>
            </w:r>
          </w:p>
          <w:p>
            <w:pPr>
              <w:spacing w:after="20"/>
              <w:ind w:left="20"/>
              <w:jc w:val="both"/>
            </w:pPr>
            <w:r>
              <w:rPr>
                <w:rFonts w:ascii="Times New Roman"/>
                <w:b w:val="false"/>
                <w:i w:val="false"/>
                <w:color w:val="000000"/>
                <w:sz w:val="20"/>
              </w:rPr>
              <w:t>
   основные результаты: результаты неадаптированной оценки и, если это применимо, адаптированной оценки с учетом искажающих факторов и их точность (95% доверительный интервал). Оценка относительного риска переводится в абсолютный риск для значимого периода времени;</w:t>
            </w:r>
          </w:p>
          <w:p>
            <w:pPr>
              <w:spacing w:after="20"/>
              <w:ind w:left="20"/>
              <w:jc w:val="both"/>
            </w:pPr>
            <w:r>
              <w:rPr>
                <w:rFonts w:ascii="Times New Roman"/>
                <w:b w:val="false"/>
                <w:i w:val="false"/>
                <w:color w:val="000000"/>
                <w:sz w:val="20"/>
              </w:rPr>
              <w:t>
   другие виды анализа: другие проведенные анализы (анализы подгрупп и взаимодействия, а также анализы чувствительности);</w:t>
            </w:r>
          </w:p>
          <w:p>
            <w:pPr>
              <w:spacing w:after="20"/>
              <w:ind w:left="20"/>
              <w:jc w:val="both"/>
            </w:pPr>
            <w:r>
              <w:rPr>
                <w:rFonts w:ascii="Times New Roman"/>
                <w:b w:val="false"/>
                <w:i w:val="false"/>
                <w:color w:val="000000"/>
                <w:sz w:val="20"/>
              </w:rPr>
              <w:t>
   нежелательные явления (нежелательные реакции): управление данными и представление информации о нежелательных явлениях (нежелательных реакциях) в уполномоченные органы. Для определенных дизайнов исследований, таких как случай-контроль или ретроспективные когортные исследования, особенно включающих анализ данных электронных медицинских карт, систематические пересмотры и мета-анализы, должно быть указано, если невозможно было провести оценку степени достоверности причинно-следственной связи на уровне индивидуальных случаев.</w:t>
            </w:r>
          </w:p>
          <w:p>
            <w:pPr>
              <w:spacing w:after="20"/>
              <w:ind w:left="20"/>
              <w:jc w:val="both"/>
            </w:pPr>
            <w:r>
              <w:rPr>
                <w:rFonts w:ascii="Times New Roman"/>
                <w:b w:val="false"/>
                <w:i w:val="false"/>
                <w:color w:val="000000"/>
                <w:sz w:val="20"/>
              </w:rPr>
              <w:t>
   Обсуждение:</w:t>
            </w:r>
          </w:p>
          <w:p>
            <w:pPr>
              <w:spacing w:after="20"/>
              <w:ind w:left="20"/>
              <w:jc w:val="both"/>
            </w:pPr>
            <w:r>
              <w:rPr>
                <w:rFonts w:ascii="Times New Roman"/>
                <w:b w:val="false"/>
                <w:i w:val="false"/>
                <w:color w:val="000000"/>
                <w:sz w:val="20"/>
              </w:rPr>
              <w:t>
   ключевые результаты: ключевые результаты, имеющие отношение к задачам исследования; ранее проведенное исследование, результаты которого согласуются или противоречат полученным текущим результатам; влияние результатов на соотношение польза-риск лекарственного препарата, если это применимо;</w:t>
            </w:r>
          </w:p>
          <w:p>
            <w:pPr>
              <w:spacing w:after="20"/>
              <w:ind w:left="20"/>
              <w:jc w:val="both"/>
            </w:pPr>
            <w:r>
              <w:rPr>
                <w:rFonts w:ascii="Times New Roman"/>
                <w:b w:val="false"/>
                <w:i w:val="false"/>
                <w:color w:val="000000"/>
                <w:sz w:val="20"/>
              </w:rPr>
              <w:t>
   ограничения: ограничения исследования, принимающие во внимание обстоятельства, которые могли повлиять на качество и целостность данных, ограничения подхода и методов, которые были использованы для минимизации их влияния (отсутствующие или неполные данные, примененные оценочные значения), источники потенциальных ошибок и неточностей и валидности явлений. Необходимо обсуждение как направления, так и масштаба потенциальных ошибок;</w:t>
            </w:r>
          </w:p>
          <w:p>
            <w:pPr>
              <w:spacing w:after="20"/>
              <w:ind w:left="20"/>
              <w:jc w:val="both"/>
            </w:pPr>
            <w:r>
              <w:rPr>
                <w:rFonts w:ascii="Times New Roman"/>
                <w:b w:val="false"/>
                <w:i w:val="false"/>
                <w:color w:val="000000"/>
                <w:sz w:val="20"/>
              </w:rPr>
              <w:t>
   интерпретация: интерпретация результатов исследований с учетом задач, ограничений, множественности анализа, результатов схожих исследований и других соответствующих подтверждений;</w:t>
            </w:r>
          </w:p>
          <w:p>
            <w:pPr>
              <w:spacing w:after="20"/>
              <w:ind w:left="20"/>
              <w:jc w:val="both"/>
            </w:pPr>
            <w:r>
              <w:rPr>
                <w:rFonts w:ascii="Times New Roman"/>
                <w:b w:val="false"/>
                <w:i w:val="false"/>
                <w:color w:val="000000"/>
                <w:sz w:val="20"/>
              </w:rPr>
              <w:t>
   обобщаемость: обобщаемость (внешняя валидность) результатов исследования;</w:t>
            </w:r>
          </w:p>
          <w:p>
            <w:pPr>
              <w:spacing w:after="20"/>
              <w:ind w:left="20"/>
              <w:jc w:val="both"/>
            </w:pPr>
            <w:r>
              <w:rPr>
                <w:rFonts w:ascii="Times New Roman"/>
                <w:b w:val="false"/>
                <w:i w:val="false"/>
                <w:color w:val="000000"/>
                <w:sz w:val="20"/>
              </w:rPr>
              <w:t>
   ссылки;</w:t>
            </w:r>
          </w:p>
          <w:p>
            <w:pPr>
              <w:spacing w:after="20"/>
              <w:ind w:left="20"/>
              <w:jc w:val="both"/>
            </w:pPr>
            <w:r>
              <w:rPr>
                <w:rFonts w:ascii="Times New Roman"/>
                <w:b w:val="false"/>
                <w:i w:val="false"/>
                <w:color w:val="000000"/>
                <w:sz w:val="20"/>
              </w:rPr>
              <w:t>
   другая информация: любая дополнительная или вспомогательная информация о специфических аспектах исследования, не рассматривавшихся ранее.</w:t>
            </w:r>
          </w:p>
          <w:p>
            <w:pPr>
              <w:spacing w:after="20"/>
              <w:ind w:left="20"/>
              <w:jc w:val="both"/>
            </w:pPr>
            <w:r>
              <w:rPr>
                <w:rFonts w:ascii="Times New Roman"/>
                <w:b w:val="false"/>
                <w:i w:val="false"/>
                <w:color w:val="000000"/>
                <w:sz w:val="20"/>
              </w:rPr>
              <w:t>
   Резюме итогового отчета исследования включает обобщенную информацию о методах и результатах исследования, представленную в следующем формате:</w:t>
            </w:r>
          </w:p>
          <w:p>
            <w:pPr>
              <w:spacing w:after="20"/>
              <w:ind w:left="20"/>
              <w:jc w:val="both"/>
            </w:pPr>
            <w:r>
              <w:rPr>
                <w:rFonts w:ascii="Times New Roman"/>
                <w:b w:val="false"/>
                <w:i w:val="false"/>
                <w:color w:val="000000"/>
                <w:sz w:val="20"/>
              </w:rPr>
              <w:t>
   1) название с подзаголовками, включая дату составления резюме, имя и сведения по первому автору;</w:t>
            </w:r>
          </w:p>
          <w:p>
            <w:pPr>
              <w:spacing w:after="20"/>
              <w:ind w:left="20"/>
              <w:jc w:val="both"/>
            </w:pPr>
            <w:r>
              <w:rPr>
                <w:rFonts w:ascii="Times New Roman"/>
                <w:b w:val="false"/>
                <w:i w:val="false"/>
                <w:color w:val="000000"/>
                <w:sz w:val="20"/>
              </w:rPr>
              <w:t>
   2) ключевые слова (не более пяти ключевых слов, отображающих основные характеристики исследования);</w:t>
            </w:r>
          </w:p>
          <w:p>
            <w:pPr>
              <w:spacing w:after="20"/>
              <w:ind w:left="20"/>
              <w:jc w:val="both"/>
            </w:pPr>
            <w:r>
              <w:rPr>
                <w:rFonts w:ascii="Times New Roman"/>
                <w:b w:val="false"/>
                <w:i w:val="false"/>
                <w:color w:val="000000"/>
                <w:sz w:val="20"/>
              </w:rPr>
              <w:t>
   3) обоснование и предпосылки;</w:t>
            </w:r>
          </w:p>
          <w:p>
            <w:pPr>
              <w:spacing w:after="20"/>
              <w:ind w:left="20"/>
              <w:jc w:val="both"/>
            </w:pPr>
            <w:r>
              <w:rPr>
                <w:rFonts w:ascii="Times New Roman"/>
                <w:b w:val="false"/>
                <w:i w:val="false"/>
                <w:color w:val="000000"/>
                <w:sz w:val="20"/>
              </w:rPr>
              <w:t>
   4) цель и задачи исследования;</w:t>
            </w:r>
          </w:p>
          <w:p>
            <w:pPr>
              <w:spacing w:after="20"/>
              <w:ind w:left="20"/>
              <w:jc w:val="both"/>
            </w:pPr>
            <w:r>
              <w:rPr>
                <w:rFonts w:ascii="Times New Roman"/>
                <w:b w:val="false"/>
                <w:i w:val="false"/>
                <w:color w:val="000000"/>
                <w:sz w:val="20"/>
              </w:rPr>
              <w:t>
   5) план исследования;</w:t>
            </w:r>
          </w:p>
          <w:p>
            <w:pPr>
              <w:spacing w:after="20"/>
              <w:ind w:left="20"/>
              <w:jc w:val="both"/>
            </w:pPr>
            <w:r>
              <w:rPr>
                <w:rFonts w:ascii="Times New Roman"/>
                <w:b w:val="false"/>
                <w:i w:val="false"/>
                <w:color w:val="000000"/>
                <w:sz w:val="20"/>
              </w:rPr>
              <w:t>
   6) условия;</w:t>
            </w:r>
          </w:p>
          <w:p>
            <w:pPr>
              <w:spacing w:after="20"/>
              <w:ind w:left="20"/>
              <w:jc w:val="both"/>
            </w:pPr>
            <w:r>
              <w:rPr>
                <w:rFonts w:ascii="Times New Roman"/>
                <w:b w:val="false"/>
                <w:i w:val="false"/>
                <w:color w:val="000000"/>
                <w:sz w:val="20"/>
              </w:rPr>
              <w:t>
   7) пациенты и объем выборки;</w:t>
            </w:r>
          </w:p>
          <w:p>
            <w:pPr>
              <w:spacing w:after="20"/>
              <w:ind w:left="20"/>
              <w:jc w:val="both"/>
            </w:pPr>
            <w:r>
              <w:rPr>
                <w:rFonts w:ascii="Times New Roman"/>
                <w:b w:val="false"/>
                <w:i w:val="false"/>
                <w:color w:val="000000"/>
                <w:sz w:val="20"/>
              </w:rPr>
              <w:t>
   8) переменные и источники данных;</w:t>
            </w:r>
          </w:p>
          <w:p>
            <w:pPr>
              <w:spacing w:after="20"/>
              <w:ind w:left="20"/>
              <w:jc w:val="both"/>
            </w:pPr>
            <w:r>
              <w:rPr>
                <w:rFonts w:ascii="Times New Roman"/>
                <w:b w:val="false"/>
                <w:i w:val="false"/>
                <w:color w:val="000000"/>
                <w:sz w:val="20"/>
              </w:rPr>
              <w:t>
   9) результаты;</w:t>
            </w:r>
          </w:p>
          <w:p>
            <w:pPr>
              <w:spacing w:after="20"/>
              <w:ind w:left="20"/>
              <w:jc w:val="both"/>
            </w:pPr>
            <w:r>
              <w:rPr>
                <w:rFonts w:ascii="Times New Roman"/>
                <w:b w:val="false"/>
                <w:i w:val="false"/>
                <w:color w:val="000000"/>
                <w:sz w:val="20"/>
              </w:rPr>
              <w:t>
   10) обсуждение (включая, если это применимо, оценку влияния результатов исследования на соотношение польза-риск лекарственного препарат1);</w:t>
            </w:r>
          </w:p>
          <w:p>
            <w:pPr>
              <w:spacing w:after="20"/>
              <w:ind w:left="20"/>
              <w:jc w:val="both"/>
            </w:pPr>
            <w:r>
              <w:rPr>
                <w:rFonts w:ascii="Times New Roman"/>
                <w:b w:val="false"/>
                <w:i w:val="false"/>
                <w:color w:val="000000"/>
                <w:sz w:val="20"/>
              </w:rPr>
              <w:t>
   11) держатель регистрационного удостоверения;</w:t>
            </w:r>
          </w:p>
          <w:p>
            <w:pPr>
              <w:spacing w:after="20"/>
              <w:ind w:left="20"/>
              <w:jc w:val="both"/>
            </w:pPr>
            <w:r>
              <w:rPr>
                <w:rFonts w:ascii="Times New Roman"/>
                <w:b w:val="false"/>
                <w:i w:val="false"/>
                <w:color w:val="000000"/>
                <w:sz w:val="20"/>
              </w:rPr>
              <w:t>
   12) имя и сведения по главному исследователю.</w:t>
            </w:r>
          </w:p>
          <w:p>
            <w:pPr>
              <w:spacing w:after="20"/>
              <w:ind w:left="20"/>
              <w:jc w:val="both"/>
            </w:pPr>
            <w:r>
              <w:rPr>
                <w:rFonts w:ascii="Times New Roman"/>
                <w:b w:val="false"/>
                <w:i w:val="false"/>
                <w:color w:val="000000"/>
                <w:sz w:val="20"/>
              </w:rPr>
              <w:t>
   </w:t>
            </w:r>
            <w:r>
              <w:rPr>
                <w:rFonts w:ascii="Times New Roman"/>
                <w:b/>
                <w:i w:val="false"/>
                <w:color w:val="000000"/>
                <w:sz w:val="20"/>
              </w:rPr>
              <w:t>10.7. Публикация результатов исследования авторами</w:t>
            </w:r>
          </w:p>
          <w:p>
            <w:pPr>
              <w:spacing w:after="20"/>
              <w:ind w:left="20"/>
              <w:jc w:val="both"/>
            </w:pPr>
            <w:r>
              <w:rPr>
                <w:rFonts w:ascii="Times New Roman"/>
                <w:b w:val="false"/>
                <w:i w:val="false"/>
                <w:color w:val="000000"/>
                <w:sz w:val="20"/>
              </w:rPr>
              <w:t>
   Держатель регистрационного удостоверения заранее согласовывает стратегию публикаций с главным исследователем в случае, если исследование проводится и анализируется полностью или частично исследователями, не являющимися сотрудниками держателя регистрационного удостоверения. Рекомендуется определять стратегию публикаций таким образом, чтобы главный исследователь имел возможность самостоятельно готовить публикации по результатам исследования, вне зависимости от авторства данных. В этом случае держатель регистрационного удостоверения уполномочен просматривать результаты и их интерпретацию, включенные в рукопись, и представлять комментарии до передачи рукописи в печать, избегая необоснованных задержек публикации. Запросы на внесение изменений в рукопись научно обосновывать. Держатель регистрационного удостоверения имеет право запросить удаление конфиденциальной информации.</w:t>
            </w:r>
          </w:p>
          <w:p>
            <w:pPr>
              <w:spacing w:after="20"/>
              <w:ind w:left="20"/>
              <w:jc w:val="both"/>
            </w:pPr>
            <w:r>
              <w:rPr>
                <w:rFonts w:ascii="Times New Roman"/>
                <w:b w:val="false"/>
                <w:i w:val="false"/>
                <w:color w:val="000000"/>
                <w:sz w:val="20"/>
              </w:rPr>
              <w:t>
   10.7.1. Представление опубликованных результатов исследования в уполномоченные органы</w:t>
            </w:r>
          </w:p>
          <w:p>
            <w:pPr>
              <w:spacing w:after="20"/>
              <w:ind w:left="20"/>
              <w:jc w:val="both"/>
            </w:pPr>
            <w:r>
              <w:rPr>
                <w:rFonts w:ascii="Times New Roman"/>
                <w:b w:val="false"/>
                <w:i w:val="false"/>
                <w:color w:val="000000"/>
                <w:sz w:val="20"/>
              </w:rPr>
              <w:t>
   Держателю регистрационного удостоверения рекомендуется передать итоговую рукопись статьи в уполномоченный орган в течение двух недель после приема публикации в издательстве.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Защита данных</w:t>
            </w:r>
          </w:p>
          <w:p>
            <w:pPr>
              <w:spacing w:after="20"/>
              <w:ind w:left="20"/>
              <w:jc w:val="both"/>
            </w:pPr>
            <w:r>
              <w:rPr>
                <w:rFonts w:ascii="Times New Roman"/>
                <w:b w:val="false"/>
                <w:i w:val="false"/>
                <w:color w:val="000000"/>
                <w:sz w:val="20"/>
              </w:rPr>
              <w:t>
   Держатели регистрационных удостоверений и исследователи соблюдают защиту личных данных пациентов. Держатель регистрационных удостоверений обеспечивает обращение и хранение всей информации по исследованию таким образом, чтобы ее можно было точно сообщать, интерпретировать и верифицировать, в то время как конфиденциальность данных медицинских карт пациентов не должна быть нарушена.</w:t>
            </w:r>
          </w:p>
          <w:p>
            <w:pPr>
              <w:spacing w:after="20"/>
              <w:ind w:left="20"/>
              <w:jc w:val="both"/>
            </w:pPr>
            <w:r>
              <w:rPr>
                <w:rFonts w:ascii="Times New Roman"/>
                <w:b w:val="false"/>
                <w:i w:val="false"/>
                <w:color w:val="000000"/>
                <w:sz w:val="20"/>
              </w:rPr>
              <w:t>
   </w:t>
            </w:r>
            <w:r>
              <w:rPr>
                <w:rFonts w:ascii="Times New Roman"/>
                <w:b/>
                <w:i w:val="false"/>
                <w:color w:val="000000"/>
                <w:sz w:val="20"/>
              </w:rPr>
              <w:t>10.9. Системы качества, аудиты и проверки</w:t>
            </w:r>
          </w:p>
          <w:p>
            <w:pPr>
              <w:spacing w:after="20"/>
              <w:ind w:left="20"/>
              <w:jc w:val="both"/>
            </w:pPr>
            <w:r>
              <w:rPr>
                <w:rFonts w:ascii="Times New Roman"/>
                <w:b w:val="false"/>
                <w:i w:val="false"/>
                <w:color w:val="000000"/>
                <w:sz w:val="20"/>
              </w:rPr>
              <w:t>
   Держатель регистрационного удостоверения обеспечивает выполнение своих обязательств по фармаконадзору в отношении выполнения исследования, а также обеспечить возможность аудита, проверки и верификации данной деятельности. Любое изменение в данных фиксировать, чтобы обеспечить прослеживаемость. Держатель регистрационного удостоверения обеспечивает поддержание в электронном формате аналитических наборов данных и статистических программ, используемых для генерации данных, включенных в итоговый отчет по исследованию, а также их доступность для аудита и проверки.</w:t>
            </w:r>
          </w:p>
          <w:p>
            <w:pPr>
              <w:spacing w:after="20"/>
              <w:ind w:left="20"/>
              <w:jc w:val="both"/>
            </w:pPr>
            <w:r>
              <w:rPr>
                <w:rFonts w:ascii="Times New Roman"/>
                <w:b w:val="false"/>
                <w:i w:val="false"/>
                <w:color w:val="000000"/>
                <w:sz w:val="20"/>
              </w:rPr>
              <w:t>
   </w:t>
            </w:r>
            <w:r>
              <w:rPr>
                <w:rFonts w:ascii="Times New Roman"/>
                <w:b/>
                <w:i w:val="false"/>
                <w:color w:val="000000"/>
                <w:sz w:val="20"/>
              </w:rPr>
              <w:t>10.10. Влияние на систему управления рисками</w:t>
            </w:r>
          </w:p>
          <w:p>
            <w:pPr>
              <w:spacing w:after="20"/>
              <w:ind w:left="20"/>
              <w:jc w:val="both"/>
            </w:pPr>
            <w:r>
              <w:rPr>
                <w:rFonts w:ascii="Times New Roman"/>
                <w:b w:val="false"/>
                <w:i w:val="false"/>
                <w:color w:val="000000"/>
                <w:sz w:val="20"/>
              </w:rPr>
              <w:t xml:space="preserve">
   Неинтервенционные ПРИБ (и, в целом, любое интервенционное или неинтервенционное ПРИБ), проводимые для изучения проблем по безопасности, как описано в плане управления рисками (ПУР), включаются в ПУР. Протокол исследования прилагается к ПУР. </w:t>
            </w:r>
          </w:p>
          <w:p>
            <w:pPr>
              <w:spacing w:after="20"/>
              <w:ind w:left="20"/>
              <w:jc w:val="both"/>
            </w:pPr>
            <w:r>
              <w:rPr>
                <w:rFonts w:ascii="Times New Roman"/>
                <w:b w:val="false"/>
                <w:i w:val="false"/>
                <w:color w:val="000000"/>
                <w:sz w:val="20"/>
              </w:rPr>
              <w:t>
   В случае если ПУР отсутствует, разрабатывается новый ПУР, включающий данные ПРИБ. Во все соответствующие разделы (модули) ПУР вносятся соответствующие изменения с учетом проведения исследования, включая спецификацию безопасности, план фармаконадзора и план минимизации рисков, а также обзор мер минимизации риска.</w:t>
            </w:r>
          </w:p>
          <w:p>
            <w:pPr>
              <w:spacing w:after="20"/>
              <w:ind w:left="20"/>
              <w:jc w:val="both"/>
            </w:pPr>
            <w:r>
              <w:rPr>
                <w:rFonts w:ascii="Times New Roman"/>
                <w:b w:val="false"/>
                <w:i w:val="false"/>
                <w:color w:val="000000"/>
                <w:sz w:val="20"/>
              </w:rPr>
              <w:t>
   </w:t>
            </w:r>
            <w:r>
              <w:rPr>
                <w:rFonts w:ascii="Times New Roman"/>
                <w:b/>
                <w:i w:val="false"/>
                <w:color w:val="000000"/>
                <w:sz w:val="20"/>
              </w:rPr>
              <w:t>10.11. Процедура обязательных ПРИБ</w:t>
            </w:r>
          </w:p>
          <w:p>
            <w:pPr>
              <w:spacing w:after="20"/>
              <w:ind w:left="20"/>
              <w:jc w:val="both"/>
            </w:pPr>
            <w:r>
              <w:rPr>
                <w:rFonts w:ascii="Times New Roman"/>
                <w:b w:val="false"/>
                <w:i w:val="false"/>
                <w:color w:val="000000"/>
                <w:sz w:val="20"/>
              </w:rPr>
              <w:t>
   В Республике Казахстан проведение ПРИБ является обязательным при оценке первоначальной заявки на государственную регистрацию или на пострегистрационном этапе, если есть опасения в отношении профиля безопасности зарегистрированного лекарственного препарата. Данное требование уполномоченного органа надлежащим образом обосновывается данными оценки профиля безопасности и эффективности, фиксируется в письменном виде и включает задачи и временные рамки подачи и проведения исследования. Требование включает также рекомендации по ключевым характеристикам исследования (дизайн исследования, условия, воздействие, исходы, целевая популяция). В число рекомендуемых методов входят методы активного мониторинга (мониторинг на определенных клинических базах, рецептурный мониторинг, регистры), сравнительные наблюдательные неинтервенционные исследования (когортное исследование (мониторини), исследование типа случай-контроль, исследование серии случаев и иные), клинические исследования, исследования потребления, фармакоэпидемиологические исследования.</w:t>
            </w:r>
          </w:p>
          <w:p>
            <w:pPr>
              <w:spacing w:after="20"/>
              <w:ind w:left="20"/>
              <w:jc w:val="both"/>
            </w:pPr>
            <w:r>
              <w:rPr>
                <w:rFonts w:ascii="Times New Roman"/>
                <w:b w:val="false"/>
                <w:i w:val="false"/>
                <w:color w:val="000000"/>
                <w:sz w:val="20"/>
              </w:rPr>
              <w:t>
   При назначении проведения ПРИБ на пострегистрационном этапе в течение 30 дней по получении письменного уведомления о данном обязательстве держатель регистрационного удостоверения может запросить возможность представления письменного обоснования в ответ на наложение обязательства. Уполномоченный орган определяет временные рамки для представления таких обоснований. На основании письменного обоснования, представленных держателем регистрационного удостоверения, уполномоченный орган отзывает или подтверждает обязательство.</w:t>
            </w:r>
          </w:p>
          <w:p>
            <w:pPr>
              <w:spacing w:after="20"/>
              <w:ind w:left="20"/>
              <w:jc w:val="both"/>
            </w:pPr>
            <w:r>
              <w:rPr>
                <w:rFonts w:ascii="Times New Roman"/>
                <w:b w:val="false"/>
                <w:i w:val="false"/>
                <w:color w:val="000000"/>
                <w:sz w:val="20"/>
              </w:rPr>
              <w:t>
   </w:t>
            </w:r>
            <w:r>
              <w:rPr>
                <w:rFonts w:ascii="Times New Roman"/>
                <w:b/>
                <w:i w:val="false"/>
                <w:color w:val="000000"/>
                <w:sz w:val="20"/>
              </w:rPr>
              <w:t>10.12. Контроль за неинтервенционными ПРИБ</w:t>
            </w:r>
          </w:p>
          <w:p>
            <w:pPr>
              <w:spacing w:after="20"/>
              <w:ind w:left="20"/>
              <w:jc w:val="both"/>
            </w:pPr>
            <w:r>
              <w:rPr>
                <w:rFonts w:ascii="Times New Roman"/>
                <w:b w:val="false"/>
                <w:i w:val="false"/>
                <w:color w:val="000000"/>
                <w:sz w:val="20"/>
              </w:rPr>
              <w:t>
   10.12.1. Роли и обязанности держателя регистрационного удостоверения</w:t>
            </w:r>
          </w:p>
          <w:p>
            <w:pPr>
              <w:spacing w:after="20"/>
              <w:ind w:left="20"/>
              <w:jc w:val="both"/>
            </w:pPr>
            <w:r>
              <w:rPr>
                <w:rFonts w:ascii="Times New Roman"/>
                <w:b w:val="false"/>
                <w:i w:val="false"/>
                <w:color w:val="000000"/>
                <w:sz w:val="20"/>
              </w:rPr>
              <w:t xml:space="preserve">
   Держатель регистрационного удостоверения обеспечивает соответствие исследования критериям неинтервенционного исследования. </w:t>
            </w:r>
          </w:p>
          <w:p>
            <w:pPr>
              <w:spacing w:after="20"/>
              <w:ind w:left="20"/>
              <w:jc w:val="both"/>
            </w:pPr>
            <w:r>
              <w:rPr>
                <w:rFonts w:ascii="Times New Roman"/>
                <w:b w:val="false"/>
                <w:i w:val="false"/>
                <w:color w:val="000000"/>
                <w:sz w:val="20"/>
              </w:rPr>
              <w:t>
   Держатель регистрационного удостоверения в отношении ПРИБ обеспечивает выполнение своих обязательств по фармаконадзору, а также возможность его аудита, проверки и верификации.</w:t>
            </w:r>
          </w:p>
          <w:p>
            <w:pPr>
              <w:spacing w:after="20"/>
              <w:ind w:left="20"/>
              <w:jc w:val="both"/>
            </w:pPr>
            <w:r>
              <w:rPr>
                <w:rFonts w:ascii="Times New Roman"/>
                <w:b w:val="false"/>
                <w:i w:val="false"/>
                <w:color w:val="000000"/>
                <w:sz w:val="20"/>
              </w:rPr>
              <w:t>
   10.12.2. Уполномоченная организация</w:t>
            </w:r>
          </w:p>
          <w:p>
            <w:pPr>
              <w:spacing w:after="20"/>
              <w:ind w:left="20"/>
              <w:jc w:val="both"/>
            </w:pPr>
            <w:r>
              <w:rPr>
                <w:rFonts w:ascii="Times New Roman"/>
                <w:b w:val="false"/>
                <w:i w:val="false"/>
                <w:color w:val="000000"/>
                <w:sz w:val="20"/>
              </w:rPr>
              <w:t>
   После наложения обязательства провести неинтервенционное ПРИБ держатель регистрационного удостоверения разрабатывает протокол исследования и представляет его в уполномоченную организацию на рассмотрение. В течение 60 дней от даты представления проекта протокола уполномоченная организация составляет ответ, утверждающий проект протокола, рекомендующий внесение требуемых изменений, отказывающий в согласовании или уведомляющий держателя регистрационного удостоверения, что исследование является клиническим исследованием, подпадающим под область действия соответствующего законодательства в области клинических исследований. Отказ включает подробное обоснование причин несоответствия в любом из следующих случаев:</w:t>
            </w:r>
          </w:p>
          <w:p>
            <w:pPr>
              <w:spacing w:after="20"/>
              <w:ind w:left="20"/>
              <w:jc w:val="both"/>
            </w:pPr>
            <w:r>
              <w:rPr>
                <w:rFonts w:ascii="Times New Roman"/>
                <w:b w:val="false"/>
                <w:i w:val="false"/>
                <w:color w:val="000000"/>
                <w:sz w:val="20"/>
              </w:rPr>
              <w:t xml:space="preserve">
   проведение исследование способствует продвижению лекарственного препарата; </w:t>
            </w:r>
          </w:p>
          <w:p>
            <w:pPr>
              <w:spacing w:after="20"/>
              <w:ind w:left="20"/>
              <w:jc w:val="both"/>
            </w:pPr>
            <w:r>
              <w:rPr>
                <w:rFonts w:ascii="Times New Roman"/>
                <w:b w:val="false"/>
                <w:i w:val="false"/>
                <w:color w:val="000000"/>
                <w:sz w:val="20"/>
              </w:rPr>
              <w:t>
   план исследования не выполняет задачи исследования.</w:t>
            </w:r>
          </w:p>
          <w:p>
            <w:pPr>
              <w:spacing w:after="20"/>
              <w:ind w:left="20"/>
              <w:jc w:val="both"/>
            </w:pPr>
            <w:r>
              <w:rPr>
                <w:rFonts w:ascii="Times New Roman"/>
                <w:b w:val="false"/>
                <w:i w:val="false"/>
                <w:color w:val="000000"/>
                <w:sz w:val="20"/>
              </w:rPr>
              <w:t xml:space="preserve">
   Исследование начинается только после выдачи письменного утверждения протокола уполномоченным органом. </w:t>
            </w:r>
          </w:p>
          <w:p>
            <w:pPr>
              <w:spacing w:after="20"/>
              <w:ind w:left="20"/>
              <w:jc w:val="both"/>
            </w:pPr>
            <w:r>
              <w:rPr>
                <w:rFonts w:ascii="Times New Roman"/>
                <w:b w:val="false"/>
                <w:i w:val="false"/>
                <w:color w:val="000000"/>
                <w:sz w:val="20"/>
              </w:rPr>
              <w:t xml:space="preserve">
   После начала исследования любые существенные изменения в протокол подаются в уполномоченный орган до их введения. Уполномоченная организация в течение 30 дней после подачи выполняет оценку изменений и сообщает держателю регистрационного удостоверения об их утверждении или отклонении. </w:t>
            </w:r>
          </w:p>
          <w:p>
            <w:pPr>
              <w:spacing w:after="20"/>
              <w:ind w:left="20"/>
              <w:jc w:val="both"/>
            </w:pPr>
            <w:r>
              <w:rPr>
                <w:rFonts w:ascii="Times New Roman"/>
                <w:b w:val="false"/>
                <w:i w:val="false"/>
                <w:color w:val="000000"/>
                <w:sz w:val="20"/>
              </w:rPr>
              <w:t>
   По завершении исследования держатель регистрационного удостоверения представляет итоговый отчет об исследовании, включая резюме исследования для публикации, в уполномоченную организацию не позднее 12 месяцев после окончания сбора данных, если уполномоченным органом не было предоставлено письменное разрешение на отступление от требований по времени представления отчета. Уполномоченной организацией выполняется рассмотрение итогового отчета с последующим представлением держателю регистрационного удостоверения результатов оценки отчета. По результату рассмотрения отчета и оценки возможного влияния полученных данных на соотношение польза-риск лекарственного препарата уполномоченная организация определяет необходимость рекомендаций по внесению изменений в регуляторный статус лекарственного препарата, рекомендации по его применению либо принятие иных надлежащих мер с целью обеспечения применения лекарственных препаратов при превышении пользы над риском.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Информирование по безопасности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Структуры и процессы</w:t>
            </w:r>
          </w:p>
          <w:p>
            <w:pPr>
              <w:spacing w:after="20"/>
              <w:ind w:left="20"/>
              <w:jc w:val="both"/>
            </w:pPr>
            <w:r>
              <w:rPr>
                <w:rFonts w:ascii="Times New Roman"/>
                <w:b w:val="false"/>
                <w:i w:val="false"/>
                <w:color w:val="000000"/>
                <w:sz w:val="20"/>
              </w:rPr>
              <w:t>
   11.1.1. Задачи информирования по безопасности</w:t>
            </w:r>
          </w:p>
          <w:p>
            <w:pPr>
              <w:spacing w:after="20"/>
              <w:ind w:left="20"/>
              <w:jc w:val="both"/>
            </w:pPr>
            <w:r>
              <w:rPr>
                <w:rFonts w:ascii="Times New Roman"/>
                <w:b w:val="false"/>
                <w:i w:val="false"/>
                <w:color w:val="000000"/>
                <w:sz w:val="20"/>
              </w:rPr>
              <w:t>
   Информирование по безопасности направлено на:</w:t>
            </w:r>
          </w:p>
          <w:p>
            <w:pPr>
              <w:spacing w:after="20"/>
              <w:ind w:left="20"/>
              <w:jc w:val="both"/>
            </w:pPr>
            <w:r>
              <w:rPr>
                <w:rFonts w:ascii="Times New Roman"/>
                <w:b w:val="false"/>
                <w:i w:val="false"/>
                <w:color w:val="000000"/>
                <w:sz w:val="20"/>
              </w:rPr>
              <w:t>
   представление своевременной, научно обоснованной информации по безопасному и эффективному использованию лекарственных препаратов;</w:t>
            </w:r>
          </w:p>
          <w:p>
            <w:pPr>
              <w:spacing w:after="20"/>
              <w:ind w:left="20"/>
              <w:jc w:val="both"/>
            </w:pPr>
            <w:r>
              <w:rPr>
                <w:rFonts w:ascii="Times New Roman"/>
                <w:b w:val="false"/>
                <w:i w:val="false"/>
                <w:color w:val="000000"/>
                <w:sz w:val="20"/>
              </w:rPr>
              <w:t>
   содействие оптимизации медицинской практики (в том числе практики самолечения) в случаях, где это необходимо;</w:t>
            </w:r>
          </w:p>
          <w:p>
            <w:pPr>
              <w:spacing w:after="20"/>
              <w:ind w:left="20"/>
              <w:jc w:val="both"/>
            </w:pPr>
            <w:r>
              <w:rPr>
                <w:rFonts w:ascii="Times New Roman"/>
                <w:b w:val="false"/>
                <w:i w:val="false"/>
                <w:color w:val="000000"/>
                <w:sz w:val="20"/>
              </w:rPr>
              <w:t>
   изменение подходов, сложившейся практики и характера использования лекарственных препаратов;</w:t>
            </w:r>
          </w:p>
          <w:p>
            <w:pPr>
              <w:spacing w:after="20"/>
              <w:ind w:left="20"/>
              <w:jc w:val="both"/>
            </w:pPr>
            <w:r>
              <w:rPr>
                <w:rFonts w:ascii="Times New Roman"/>
                <w:b w:val="false"/>
                <w:i w:val="false"/>
                <w:color w:val="000000"/>
                <w:sz w:val="20"/>
              </w:rPr>
              <w:t>
   поддержку деятельности по минимизации рисков;</w:t>
            </w:r>
          </w:p>
          <w:p>
            <w:pPr>
              <w:spacing w:after="20"/>
              <w:ind w:left="20"/>
              <w:jc w:val="both"/>
            </w:pPr>
            <w:r>
              <w:rPr>
                <w:rFonts w:ascii="Times New Roman"/>
                <w:b w:val="false"/>
                <w:i w:val="false"/>
                <w:color w:val="000000"/>
                <w:sz w:val="20"/>
              </w:rPr>
              <w:t>
   содействие принятию обоснованных решений по рациональному использованию лекарственных препаратов.</w:t>
            </w:r>
          </w:p>
          <w:p>
            <w:pPr>
              <w:spacing w:after="20"/>
              <w:ind w:left="20"/>
              <w:jc w:val="both"/>
            </w:pPr>
            <w:r>
              <w:rPr>
                <w:rFonts w:ascii="Times New Roman"/>
                <w:b w:val="false"/>
                <w:i w:val="false"/>
                <w:color w:val="000000"/>
                <w:sz w:val="20"/>
              </w:rPr>
              <w:t xml:space="preserve">
   11.1.2. Принципы информирования по безопасности </w:t>
            </w:r>
          </w:p>
          <w:p>
            <w:pPr>
              <w:spacing w:after="20"/>
              <w:ind w:left="20"/>
              <w:jc w:val="both"/>
            </w:pPr>
            <w:r>
              <w:rPr>
                <w:rFonts w:ascii="Times New Roman"/>
                <w:b w:val="false"/>
                <w:i w:val="false"/>
                <w:color w:val="000000"/>
                <w:sz w:val="20"/>
              </w:rPr>
              <w:t>
   Следует применять следующие принципы информирования по безопасности:</w:t>
            </w:r>
          </w:p>
          <w:p>
            <w:pPr>
              <w:spacing w:after="20"/>
              <w:ind w:left="20"/>
              <w:jc w:val="both"/>
            </w:pPr>
            <w:r>
              <w:rPr>
                <w:rFonts w:ascii="Times New Roman"/>
                <w:b w:val="false"/>
                <w:i w:val="false"/>
                <w:color w:val="000000"/>
                <w:sz w:val="20"/>
              </w:rPr>
              <w:t>
   Необходимость информирования по безопасности рассматривается при выполнении деятельности по фармаконадзору и управления рисками, что являться частью процесса оценки риска.</w:t>
            </w:r>
          </w:p>
          <w:p>
            <w:pPr>
              <w:spacing w:after="20"/>
              <w:ind w:left="20"/>
              <w:jc w:val="both"/>
            </w:pPr>
            <w:r>
              <w:rPr>
                <w:rFonts w:ascii="Times New Roman"/>
                <w:b w:val="false"/>
                <w:i w:val="false"/>
                <w:color w:val="000000"/>
                <w:sz w:val="20"/>
              </w:rPr>
              <w:t>
   Обеспечение надлежащей координации деятельности и взаимодействия между различными сторонами, участвующими в создании и обмене информацией по безопасности (уполномоченный орган, уполномоченная организация, государственные органы и держатели регистрационных удостоверений).</w:t>
            </w:r>
          </w:p>
          <w:p>
            <w:pPr>
              <w:spacing w:after="20"/>
              <w:ind w:left="20"/>
              <w:jc w:val="both"/>
            </w:pPr>
            <w:r>
              <w:rPr>
                <w:rFonts w:ascii="Times New Roman"/>
                <w:b w:val="false"/>
                <w:i w:val="false"/>
                <w:color w:val="000000"/>
                <w:sz w:val="20"/>
              </w:rPr>
              <w:t>
   Информация по безопасности содержит актуальные, достоверные и корректные сведения и передается целевой аудитории для обеспечения возможности принятия соответствующих мер.</w:t>
            </w:r>
          </w:p>
          <w:p>
            <w:pPr>
              <w:spacing w:after="20"/>
              <w:ind w:left="20"/>
              <w:jc w:val="both"/>
            </w:pPr>
            <w:r>
              <w:rPr>
                <w:rFonts w:ascii="Times New Roman"/>
                <w:b w:val="false"/>
                <w:i w:val="false"/>
                <w:color w:val="000000"/>
                <w:sz w:val="20"/>
              </w:rPr>
              <w:t>
   Информация по безопасности адаптируется для различных целевых аудиторий (пациентов, работников сферы здравоохранения), путем использования соответствующего языка и с учетом различных уровней знаний и потребности в информации, сохраняя при этом точность и соответствие передаваемой информации.</w:t>
            </w:r>
          </w:p>
          <w:p>
            <w:pPr>
              <w:spacing w:after="20"/>
              <w:ind w:left="20"/>
              <w:jc w:val="both"/>
            </w:pPr>
            <w:r>
              <w:rPr>
                <w:rFonts w:ascii="Times New Roman"/>
                <w:b w:val="false"/>
                <w:i w:val="false"/>
                <w:color w:val="000000"/>
                <w:sz w:val="20"/>
              </w:rPr>
              <w:t>
   Информация о рисках представляется с учетом общей оценки пользы лекарственного препарата и включает в себя доступные и актуальные сведения о серьезности, степени тяжести, частоте нежелательных реакций, факторах риска их развития, времени начала, обратимости и, если возможно, о предполагаемом периоде восстановления.</w:t>
            </w:r>
          </w:p>
          <w:p>
            <w:pPr>
              <w:spacing w:after="20"/>
              <w:ind w:left="20"/>
              <w:jc w:val="both"/>
            </w:pPr>
            <w:r>
              <w:rPr>
                <w:rFonts w:ascii="Times New Roman"/>
                <w:b w:val="false"/>
                <w:i w:val="false"/>
                <w:color w:val="000000"/>
                <w:sz w:val="20"/>
              </w:rPr>
              <w:t>
   В определенных случаях при представлении информации по безопасности учитываются конкурирующие риски (риск отказа от лечения).</w:t>
            </w:r>
          </w:p>
          <w:p>
            <w:pPr>
              <w:spacing w:after="20"/>
              <w:ind w:left="20"/>
              <w:jc w:val="both"/>
            </w:pPr>
            <w:r>
              <w:rPr>
                <w:rFonts w:ascii="Times New Roman"/>
                <w:b w:val="false"/>
                <w:i w:val="false"/>
                <w:color w:val="000000"/>
                <w:sz w:val="20"/>
              </w:rPr>
              <w:t>
   При описании и сравнении рисков используются наиболее обоснованные количественные показатели (показатель не только относительных рисков, но и абсолютных рисков); для сравнения рисков используются группы сходные по своим характеристикам. Также используются другие способы представления информации, такие как графическое представление оценки рисков и (или) соотношения польза-риск.</w:t>
            </w:r>
          </w:p>
          <w:p>
            <w:pPr>
              <w:spacing w:after="20"/>
              <w:ind w:left="20"/>
              <w:jc w:val="both"/>
            </w:pPr>
            <w:r>
              <w:rPr>
                <w:rFonts w:ascii="Times New Roman"/>
                <w:b w:val="false"/>
                <w:i w:val="false"/>
                <w:color w:val="000000"/>
                <w:sz w:val="20"/>
              </w:rPr>
              <w:t>
   При подготовке информации по безопасности проводится предварительное консультирование или тестирование медицинских работников или пациентов, в особенности в случае подготовки информации по сложным проблемам по безопасности.</w:t>
            </w:r>
          </w:p>
          <w:p>
            <w:pPr>
              <w:spacing w:after="20"/>
              <w:ind w:left="20"/>
              <w:jc w:val="both"/>
            </w:pPr>
            <w:r>
              <w:rPr>
                <w:rFonts w:ascii="Times New Roman"/>
                <w:b w:val="false"/>
                <w:i w:val="false"/>
                <w:color w:val="000000"/>
                <w:sz w:val="20"/>
              </w:rPr>
              <w:t>
   Информирование по безопасности содержит сведения о последующей информации: последующих изменениях в рекомендациях, разрешения проблемы по безопасности.</w:t>
            </w:r>
          </w:p>
          <w:p>
            <w:pPr>
              <w:spacing w:after="20"/>
              <w:ind w:left="20"/>
              <w:jc w:val="both"/>
            </w:pPr>
            <w:r>
              <w:rPr>
                <w:rFonts w:ascii="Times New Roman"/>
                <w:b w:val="false"/>
                <w:i w:val="false"/>
                <w:color w:val="000000"/>
                <w:sz w:val="20"/>
              </w:rPr>
              <w:t>
   Следует выполнять оценку эффективности информирования по безопасности, где это представляется целесообразным и возможным.</w:t>
            </w:r>
          </w:p>
          <w:p>
            <w:pPr>
              <w:spacing w:after="20"/>
              <w:ind w:left="20"/>
              <w:jc w:val="both"/>
            </w:pPr>
            <w:r>
              <w:rPr>
                <w:rFonts w:ascii="Times New Roman"/>
                <w:b w:val="false"/>
                <w:i w:val="false"/>
                <w:color w:val="000000"/>
                <w:sz w:val="20"/>
              </w:rPr>
              <w:t>
   Информация по безопасности предоставляется в соответствии с требованиями о защите персональных данных.</w:t>
            </w:r>
          </w:p>
          <w:p>
            <w:pPr>
              <w:spacing w:after="20"/>
              <w:ind w:left="20"/>
              <w:jc w:val="both"/>
            </w:pPr>
            <w:r>
              <w:rPr>
                <w:rFonts w:ascii="Times New Roman"/>
                <w:b w:val="false"/>
                <w:i w:val="false"/>
                <w:color w:val="000000"/>
                <w:sz w:val="20"/>
              </w:rPr>
              <w:t>
   11.1.3. Целевые аудитории</w:t>
            </w:r>
          </w:p>
          <w:p>
            <w:pPr>
              <w:spacing w:after="20"/>
              <w:ind w:left="20"/>
              <w:jc w:val="both"/>
            </w:pPr>
            <w:r>
              <w:rPr>
                <w:rFonts w:ascii="Times New Roman"/>
                <w:b w:val="false"/>
                <w:i w:val="false"/>
                <w:color w:val="000000"/>
                <w:sz w:val="20"/>
              </w:rPr>
              <w:t>
   Основной целевой аудиторией, на которую направлено информирование по безопасности, осуществляемое уполномоченным органом и держателями регистрационных удостоверений, являются работники системы здравоохранения и пациенты, которые используют лекарственные препараты.</w:t>
            </w:r>
          </w:p>
          <w:p>
            <w:pPr>
              <w:spacing w:after="20"/>
              <w:ind w:left="20"/>
              <w:jc w:val="both"/>
            </w:pPr>
            <w:r>
              <w:rPr>
                <w:rFonts w:ascii="Times New Roman"/>
                <w:b w:val="false"/>
                <w:i w:val="false"/>
                <w:color w:val="000000"/>
                <w:sz w:val="20"/>
              </w:rPr>
              <w:t xml:space="preserve">
   Ключевую роль в основной целевой аудитории играют работники системы здравоохранения. Эффективное информирование по аспектам безопасности лекарственных препаратов позволяет им проводить фармакотерапию с учетом наиболее актуальных сведений по безопасности и выработанных рекомендаций, а также предоставлять понятные и полезные сведения пациентам, тем самым способствуя обеспечению безопасности пациентов и повышению их доверия к уполномоченной системе и системе здравоохранения. </w:t>
            </w:r>
          </w:p>
          <w:p>
            <w:pPr>
              <w:spacing w:after="20"/>
              <w:ind w:left="20"/>
              <w:jc w:val="both"/>
            </w:pPr>
            <w:r>
              <w:rPr>
                <w:rFonts w:ascii="Times New Roman"/>
                <w:b w:val="false"/>
                <w:i w:val="false"/>
                <w:color w:val="000000"/>
                <w:sz w:val="20"/>
              </w:rPr>
              <w:t>
   Средства массовой информации также являются целевой аудиторией для информации по безопасности. Способность средств массовой информации охватывать пациентов, работников системы здравоохранения и широкие слои населения является важным фактором распространения новой и важной информации о лекарственных препаратах. Распространение информации по безопасности через СМИ оказывает влияние на общественное восприятие, и поэтому важно, чтобы СМИ получали информацию о безопасности непосредственно от уполномоченного органа в дополнение к той информации, которую они получают из других источников, в частности, от держателя регистрационного удостоверения.</w:t>
            </w:r>
          </w:p>
          <w:p>
            <w:pPr>
              <w:spacing w:after="20"/>
              <w:ind w:left="20"/>
              <w:jc w:val="both"/>
            </w:pPr>
            <w:r>
              <w:rPr>
                <w:rFonts w:ascii="Times New Roman"/>
                <w:b w:val="false"/>
                <w:i w:val="false"/>
                <w:color w:val="000000"/>
                <w:sz w:val="20"/>
              </w:rPr>
              <w:t>
   11.1.4. Содержание информации по безопасности</w:t>
            </w:r>
          </w:p>
          <w:p>
            <w:pPr>
              <w:spacing w:after="20"/>
              <w:ind w:left="20"/>
              <w:jc w:val="both"/>
            </w:pPr>
            <w:r>
              <w:rPr>
                <w:rFonts w:ascii="Times New Roman"/>
                <w:b w:val="false"/>
                <w:i w:val="false"/>
                <w:color w:val="000000"/>
                <w:sz w:val="20"/>
              </w:rPr>
              <w:t>
   Согласно принципам, изложенным в 11.1.2., информация о безопасности содержит:</w:t>
            </w:r>
          </w:p>
          <w:p>
            <w:pPr>
              <w:spacing w:after="20"/>
              <w:ind w:left="20"/>
              <w:jc w:val="both"/>
            </w:pPr>
            <w:r>
              <w:rPr>
                <w:rFonts w:ascii="Times New Roman"/>
                <w:b w:val="false"/>
                <w:i w:val="false"/>
                <w:color w:val="000000"/>
                <w:sz w:val="20"/>
              </w:rPr>
              <w:t>
   появляющиеся важные сведения о любом зарегистрированном лекарственном препарате, которые оказывают влияние на соотношение польза-риск лекарственного препарата при любых условиях применения;</w:t>
            </w:r>
          </w:p>
          <w:p>
            <w:pPr>
              <w:spacing w:after="20"/>
              <w:ind w:left="20"/>
              <w:jc w:val="both"/>
            </w:pPr>
            <w:r>
              <w:rPr>
                <w:rFonts w:ascii="Times New Roman"/>
                <w:b w:val="false"/>
                <w:i w:val="false"/>
                <w:color w:val="000000"/>
                <w:sz w:val="20"/>
              </w:rPr>
              <w:t>
   причины инициирования процедуры информирования по безопасности в понятной для целевой аудитории форме;</w:t>
            </w:r>
          </w:p>
          <w:p>
            <w:pPr>
              <w:spacing w:after="20"/>
              <w:ind w:left="20"/>
              <w:jc w:val="both"/>
            </w:pPr>
            <w:r>
              <w:rPr>
                <w:rFonts w:ascii="Times New Roman"/>
                <w:b w:val="false"/>
                <w:i w:val="false"/>
                <w:color w:val="000000"/>
                <w:sz w:val="20"/>
              </w:rPr>
              <w:t>
   все необходимые рекомендации для работников системы здравоохранения и пациентов, связанные с проблемой по безопасности, в отношении которой выполняется информирование;</w:t>
            </w:r>
          </w:p>
          <w:p>
            <w:pPr>
              <w:spacing w:after="20"/>
              <w:ind w:left="20"/>
              <w:jc w:val="both"/>
            </w:pPr>
            <w:r>
              <w:rPr>
                <w:rFonts w:ascii="Times New Roman"/>
                <w:b w:val="false"/>
                <w:i w:val="false"/>
                <w:color w:val="000000"/>
                <w:sz w:val="20"/>
              </w:rPr>
              <w:t>
   указание на соглашение между держателем регистрационного удостоверения и уполномоченным органом по представлению информации по безопасности в случаях, когда применимо;</w:t>
            </w:r>
          </w:p>
          <w:p>
            <w:pPr>
              <w:spacing w:after="20"/>
              <w:ind w:left="20"/>
              <w:jc w:val="both"/>
            </w:pPr>
            <w:r>
              <w:rPr>
                <w:rFonts w:ascii="Times New Roman"/>
                <w:b w:val="false"/>
                <w:i w:val="false"/>
                <w:color w:val="000000"/>
                <w:sz w:val="20"/>
              </w:rPr>
              <w:t>
   сведения обо всех предложенных изменениях в информации о лекарственном препарате (в инструкции по медицинскому применению или в листке-вкладыше);</w:t>
            </w:r>
          </w:p>
          <w:p>
            <w:pPr>
              <w:spacing w:after="20"/>
              <w:ind w:left="20"/>
              <w:jc w:val="both"/>
            </w:pPr>
            <w:r>
              <w:rPr>
                <w:rFonts w:ascii="Times New Roman"/>
                <w:b w:val="false"/>
                <w:i w:val="false"/>
                <w:color w:val="000000"/>
                <w:sz w:val="20"/>
              </w:rPr>
              <w:t>
   библиографический список или ссылки на источники, где можно найти более подробную информацию по информируемому аспекту безопасности;</w:t>
            </w:r>
          </w:p>
          <w:p>
            <w:pPr>
              <w:spacing w:after="20"/>
              <w:ind w:left="20"/>
              <w:jc w:val="both"/>
            </w:pPr>
            <w:r>
              <w:rPr>
                <w:rFonts w:ascii="Times New Roman"/>
                <w:b w:val="false"/>
                <w:i w:val="false"/>
                <w:color w:val="000000"/>
                <w:sz w:val="20"/>
              </w:rPr>
              <w:t>
   в соответствующих случаях, напоминание о необходимости сообщать о подозреваемых нежелательных реакциях в уполномоченный орган через систему спонтанного репортирования.</w:t>
            </w:r>
          </w:p>
          <w:p>
            <w:pPr>
              <w:spacing w:after="20"/>
              <w:ind w:left="20"/>
              <w:jc w:val="both"/>
            </w:pPr>
            <w:r>
              <w:rPr>
                <w:rFonts w:ascii="Times New Roman"/>
                <w:b w:val="false"/>
                <w:i w:val="false"/>
                <w:color w:val="000000"/>
                <w:sz w:val="20"/>
              </w:rPr>
              <w:t>
   Информация по безопасности не должна вводить в заблуждение и должна быть представлена объективно. В информации по безопасности не используются какие-либо материалы и сообщения, которые представляют собой рекламу и иную информацию, направленную на продвижение лекарственного препарата.</w:t>
            </w:r>
          </w:p>
          <w:p>
            <w:pPr>
              <w:spacing w:after="20"/>
              <w:ind w:left="20"/>
              <w:jc w:val="both"/>
            </w:pPr>
            <w:r>
              <w:rPr>
                <w:rFonts w:ascii="Times New Roman"/>
                <w:b w:val="false"/>
                <w:i w:val="false"/>
                <w:color w:val="000000"/>
                <w:sz w:val="20"/>
              </w:rPr>
              <w:t>
   11.1.5. Способы информирования по безопасности</w:t>
            </w:r>
          </w:p>
          <w:p>
            <w:pPr>
              <w:spacing w:after="20"/>
              <w:ind w:left="20"/>
              <w:jc w:val="both"/>
            </w:pPr>
            <w:r>
              <w:rPr>
                <w:rFonts w:ascii="Times New Roman"/>
                <w:b w:val="false"/>
                <w:i w:val="false"/>
                <w:color w:val="000000"/>
                <w:sz w:val="20"/>
              </w:rPr>
              <w:t>
   При выполнении информирования по безопасности используется весь спектр разнообразных средств передачи информации для достижения целевых аудиторий и удовлетворения их растущих потребностей. Различные средства коммуникации и каналы передачи информации, которые могут быть использованы, подробно рассматриваются в пунктах 11.1.5.1.-11.1.5.5.</w:t>
            </w:r>
          </w:p>
          <w:p>
            <w:pPr>
              <w:spacing w:after="20"/>
              <w:ind w:left="20"/>
              <w:jc w:val="both"/>
            </w:pPr>
            <w:r>
              <w:rPr>
                <w:rFonts w:ascii="Times New Roman"/>
                <w:b w:val="false"/>
                <w:i w:val="false"/>
                <w:color w:val="000000"/>
                <w:sz w:val="20"/>
              </w:rPr>
              <w:t xml:space="preserve">
   11.1.5.1. Непосредственное обращение к работникам системы здравоохранения </w:t>
            </w:r>
          </w:p>
          <w:p>
            <w:pPr>
              <w:spacing w:after="20"/>
              <w:ind w:left="20"/>
              <w:jc w:val="both"/>
            </w:pPr>
            <w:r>
              <w:rPr>
                <w:rFonts w:ascii="Times New Roman"/>
                <w:b w:val="false"/>
                <w:i w:val="false"/>
                <w:color w:val="000000"/>
                <w:sz w:val="20"/>
              </w:rPr>
              <w:t>
   Под непосредственным обращением к работникам системы здравоохранения в настоящем Стандарте подразумевается предоставление держателями регистрационных удостоверений или уполномоченным органом, уполномоченной организацией важной информации по безопасности напрямую работникам системы здравоохранения с целью сообщения им о необходимости совершения определенных действий или адаптации их практики в отношении лекарственного средства в соответствии с новыми данными по безопасности. Непосредственное обращение к работникам системы здравоохранения не является ответами на вопросы работников системы здравоохранения, либо учебными материалами в рамках рутинной деятельности по минимизации рисков.</w:t>
            </w:r>
          </w:p>
          <w:p>
            <w:pPr>
              <w:spacing w:after="20"/>
              <w:ind w:left="20"/>
              <w:jc w:val="both"/>
            </w:pPr>
            <w:r>
              <w:rPr>
                <w:rFonts w:ascii="Times New Roman"/>
                <w:b w:val="false"/>
                <w:i w:val="false"/>
                <w:color w:val="000000"/>
                <w:sz w:val="20"/>
              </w:rPr>
              <w:t xml:space="preserve">
   Разработка информационного материала для непосредственного обращения предполагает сотрудничество между держателем регистрационного удостоверения и уполномоченным органом. Держатель регистрационного удостоверения получает одобрение уполномоченной организации в части содержания информационного материала для непосредственного обращения к работникам системы здравоохранения и плана информирования. Согласование между уполномоченной организацией и держателем регистрационного удостоверения проводится до начала распространения держателем регистрационного удостоверения информационных материалов. Одобрение уполномоченной организации получается в отношении содержания информации и плана информирования, включая целевую аудиторию и график распространения информации. Держателю регистрационного удостоверения необходимо выделить не менее двух рабочих дней для представления комментариев на замечания уполномоченной организации в части содержания информационного материала или плана информирования. </w:t>
            </w:r>
          </w:p>
          <w:p>
            <w:pPr>
              <w:spacing w:after="20"/>
              <w:ind w:left="20"/>
              <w:jc w:val="both"/>
            </w:pPr>
            <w:r>
              <w:rPr>
                <w:rFonts w:ascii="Times New Roman"/>
                <w:b w:val="false"/>
                <w:i w:val="false"/>
                <w:color w:val="000000"/>
                <w:sz w:val="20"/>
              </w:rPr>
              <w:t>
   При наличии нескольких держателей регистрационных удостоверений на одно и то же действующее вещество, для которого необходимо выпустить информацию для непосредственного обращения к работникам системы здравоохранения, сообщение носит единый согласованный характер.</w:t>
            </w:r>
          </w:p>
          <w:p>
            <w:pPr>
              <w:spacing w:after="20"/>
              <w:ind w:left="20"/>
              <w:jc w:val="both"/>
            </w:pPr>
            <w:r>
              <w:rPr>
                <w:rFonts w:ascii="Times New Roman"/>
                <w:b w:val="false"/>
                <w:i w:val="false"/>
                <w:color w:val="000000"/>
                <w:sz w:val="20"/>
              </w:rPr>
              <w:t>
   При подготовке информации для непосредственного обращения, рекомендуется привлекать в соответствующих случаях организации здравоохранения или научные общества, чтобы гарантировать, что предоставляемая им информация будет полезной и адаптированной для целевой аудитории.</w:t>
            </w:r>
          </w:p>
          <w:p>
            <w:pPr>
              <w:spacing w:after="20"/>
              <w:ind w:left="20"/>
              <w:jc w:val="both"/>
            </w:pPr>
            <w:r>
              <w:rPr>
                <w:rFonts w:ascii="Times New Roman"/>
                <w:b w:val="false"/>
                <w:i w:val="false"/>
                <w:color w:val="000000"/>
                <w:sz w:val="20"/>
              </w:rPr>
              <w:t>
   Непосредственное обращение к работникам системы здравоохранения выступает в качестве дополнительных мер минимизации рисков плана управления рисками.</w:t>
            </w:r>
          </w:p>
          <w:p>
            <w:pPr>
              <w:spacing w:after="20"/>
              <w:ind w:left="20"/>
              <w:jc w:val="both"/>
            </w:pPr>
            <w:r>
              <w:rPr>
                <w:rFonts w:ascii="Times New Roman"/>
                <w:b w:val="false"/>
                <w:i w:val="false"/>
                <w:color w:val="000000"/>
                <w:sz w:val="20"/>
              </w:rPr>
              <w:t>
   Информация для непосредственного обращения к работникам системы здравоохранения распространяется в следующих ситуациях, когда возникает необходимость принятия неотложных мер или изменения существующей практики в отношении лекарственного препарата:</w:t>
            </w:r>
          </w:p>
          <w:p>
            <w:pPr>
              <w:spacing w:after="20"/>
              <w:ind w:left="20"/>
              <w:jc w:val="both"/>
            </w:pPr>
            <w:r>
              <w:rPr>
                <w:rFonts w:ascii="Times New Roman"/>
                <w:b w:val="false"/>
                <w:i w:val="false"/>
                <w:color w:val="000000"/>
                <w:sz w:val="20"/>
              </w:rPr>
              <w:t>
   приостановка или аннулирование удостоверения о государственной регистрации, обусловленной изменениями профиля безопасности лекарственного препарата;</w:t>
            </w:r>
          </w:p>
          <w:p>
            <w:pPr>
              <w:spacing w:after="20"/>
              <w:ind w:left="20"/>
              <w:jc w:val="both"/>
            </w:pPr>
            <w:r>
              <w:rPr>
                <w:rFonts w:ascii="Times New Roman"/>
                <w:b w:val="false"/>
                <w:i w:val="false"/>
                <w:color w:val="000000"/>
                <w:sz w:val="20"/>
              </w:rPr>
              <w:t>
   важное изменение в рекомендациях по применению лекарственного препарата по причине ограничения показаний к применению, нового противопоказания или изменения в рекомендуемых дозах, обусловленные изменением профиля безопасности лекарственного препарата;</w:t>
            </w:r>
          </w:p>
          <w:p>
            <w:pPr>
              <w:spacing w:after="20"/>
              <w:ind w:left="20"/>
              <w:jc w:val="both"/>
            </w:pPr>
            <w:r>
              <w:rPr>
                <w:rFonts w:ascii="Times New Roman"/>
                <w:b w:val="false"/>
                <w:i w:val="false"/>
                <w:color w:val="000000"/>
                <w:sz w:val="20"/>
              </w:rPr>
              <w:t>
   ограничения в доступности или прекращение производства лекарственного препарата, что неблагоприятно скажется на системе оказания медицинской помощи.</w:t>
            </w:r>
          </w:p>
          <w:p>
            <w:pPr>
              <w:spacing w:after="20"/>
              <w:ind w:left="20"/>
              <w:jc w:val="both"/>
            </w:pPr>
            <w:r>
              <w:rPr>
                <w:rFonts w:ascii="Times New Roman"/>
                <w:b w:val="false"/>
                <w:i w:val="false"/>
                <w:color w:val="000000"/>
                <w:sz w:val="20"/>
              </w:rPr>
              <w:t>
   Ситуации, при которых рассматривается необходимость непосредственного обращения к работникам системы здравоохранения:</w:t>
            </w:r>
          </w:p>
          <w:p>
            <w:pPr>
              <w:spacing w:after="20"/>
              <w:ind w:left="20"/>
              <w:jc w:val="both"/>
            </w:pPr>
            <w:r>
              <w:rPr>
                <w:rFonts w:ascii="Times New Roman"/>
                <w:b w:val="false"/>
                <w:i w:val="false"/>
                <w:color w:val="000000"/>
                <w:sz w:val="20"/>
              </w:rPr>
              <w:t>
   появление в рекомендациях по применению лекарственного препарата новых важных предостережений или особых указаний;</w:t>
            </w:r>
          </w:p>
          <w:p>
            <w:pPr>
              <w:spacing w:after="20"/>
              <w:ind w:left="20"/>
              <w:jc w:val="both"/>
            </w:pPr>
            <w:r>
              <w:rPr>
                <w:rFonts w:ascii="Times New Roman"/>
                <w:b w:val="false"/>
                <w:i w:val="false"/>
                <w:color w:val="000000"/>
                <w:sz w:val="20"/>
              </w:rPr>
              <w:t>
   новые данные о выявлении ранее неизвестного риска, а также изменения частоты или степени тяжести известного риска;</w:t>
            </w:r>
          </w:p>
          <w:p>
            <w:pPr>
              <w:spacing w:after="20"/>
              <w:ind w:left="20"/>
              <w:jc w:val="both"/>
            </w:pPr>
            <w:r>
              <w:rPr>
                <w:rFonts w:ascii="Times New Roman"/>
                <w:b w:val="false"/>
                <w:i w:val="false"/>
                <w:color w:val="000000"/>
                <w:sz w:val="20"/>
              </w:rPr>
              <w:t>
   появление обоснованных данных о том, что лекарственный препарат является не столь эффективным, как считалось ранее;</w:t>
            </w:r>
          </w:p>
          <w:p>
            <w:pPr>
              <w:spacing w:after="20"/>
              <w:ind w:left="20"/>
              <w:jc w:val="both"/>
            </w:pPr>
            <w:r>
              <w:rPr>
                <w:rFonts w:ascii="Times New Roman"/>
                <w:b w:val="false"/>
                <w:i w:val="false"/>
                <w:color w:val="000000"/>
                <w:sz w:val="20"/>
              </w:rPr>
              <w:t>
   новые рекомендации по предотвращению развития или купированию нежелательных реакций, либо рекомендации по предотвращению злоупотреблений или снижению риска медицинских ошибок;</w:t>
            </w:r>
          </w:p>
          <w:p>
            <w:pPr>
              <w:spacing w:after="20"/>
              <w:ind w:left="20"/>
              <w:jc w:val="both"/>
            </w:pPr>
            <w:r>
              <w:rPr>
                <w:rFonts w:ascii="Times New Roman"/>
                <w:b w:val="false"/>
                <w:i w:val="false"/>
                <w:color w:val="000000"/>
                <w:sz w:val="20"/>
              </w:rPr>
              <w:t>
   информация по результатам постоянной оценки важных потенциальных рисков, доступные данные по которым на определенный момент являются недостаточными для принятия уполномоченных мер (в этом случае непосредственное обращение содействует тщательному мониторингу проблемы по безопасности в клинической практике, представлению сообщений о нежелательных реакциях, а также информировать о мерах минимизации потенциального риска).</w:t>
            </w:r>
          </w:p>
          <w:p>
            <w:pPr>
              <w:spacing w:after="20"/>
              <w:ind w:left="20"/>
              <w:jc w:val="both"/>
            </w:pPr>
            <w:r>
              <w:rPr>
                <w:rFonts w:ascii="Times New Roman"/>
                <w:b w:val="false"/>
                <w:i w:val="false"/>
                <w:color w:val="000000"/>
                <w:sz w:val="20"/>
              </w:rPr>
              <w:t>
   Уполномоченный орган распространяет информацию для непосредственного обращения к работникам системы здравоохранения или запрашивает у держателя регистрационного удостоверения подготовку, согласование и распространение информации для непосредственного обращения к работникам системы здравоохранения в том случае, когда уполномоченный орган считает это необходимым для дальнейшего безопасного и эффективного использования лекарственного препарата.</w:t>
            </w:r>
          </w:p>
          <w:p>
            <w:pPr>
              <w:spacing w:after="20"/>
              <w:ind w:left="20"/>
              <w:jc w:val="both"/>
            </w:pPr>
            <w:r>
              <w:rPr>
                <w:rFonts w:ascii="Times New Roman"/>
                <w:b w:val="false"/>
                <w:i w:val="false"/>
                <w:color w:val="000000"/>
                <w:sz w:val="20"/>
              </w:rPr>
              <w:t>
   Уполномоченный орган обеспечивает публикацию окончательного варианта информационного материала для непосредственного обращения к работникам системы здравоохранения. Уполномоченный орган обеспечивает выпуск дополнительного сообщения по безопасности и распространяет информационный материал среди соответствующих организаций и работников системы здравоохранения.</w:t>
            </w:r>
          </w:p>
          <w:p>
            <w:pPr>
              <w:spacing w:after="20"/>
              <w:ind w:left="20"/>
              <w:jc w:val="both"/>
            </w:pPr>
            <w:r>
              <w:rPr>
                <w:rFonts w:ascii="Times New Roman"/>
                <w:b w:val="false"/>
                <w:i w:val="false"/>
                <w:color w:val="000000"/>
                <w:sz w:val="20"/>
              </w:rPr>
              <w:t>
   11.1.5.2. Информация для неспециалистов</w:t>
            </w:r>
          </w:p>
          <w:p>
            <w:pPr>
              <w:spacing w:after="20"/>
              <w:ind w:left="20"/>
              <w:jc w:val="both"/>
            </w:pPr>
            <w:r>
              <w:rPr>
                <w:rFonts w:ascii="Times New Roman"/>
                <w:b w:val="false"/>
                <w:i w:val="false"/>
                <w:color w:val="000000"/>
                <w:sz w:val="20"/>
              </w:rPr>
              <w:t>
   Информационный материал, написанный простым (непрофессиональным) языком (в формате вопросов и ответов), помогает пациентам и населению в целом разобраться в научных данных и уполномоченных мерах, касающихся проблем по безопасности. Документы на непрофессиональном языке обеспечивают информирование о рекомендациях и советах уполномоченного органа по минимизации рисков для пациентов и работников системы здравоохранения в отношении проблем по безопасности, и сопровождаются соответствующей справочной информацией.</w:t>
            </w:r>
          </w:p>
          <w:p>
            <w:pPr>
              <w:spacing w:after="20"/>
              <w:ind w:left="20"/>
              <w:jc w:val="both"/>
            </w:pPr>
            <w:r>
              <w:rPr>
                <w:rFonts w:ascii="Times New Roman"/>
                <w:b w:val="false"/>
                <w:i w:val="false"/>
                <w:color w:val="000000"/>
                <w:sz w:val="20"/>
              </w:rPr>
              <w:t>
   Уполномоченный орган размещает информацию для неспециалистов на медицинских интернет-порталах и дополнительно распространяет их среди соответствующих сторон: пациентов и организаций здравоохранения.</w:t>
            </w:r>
          </w:p>
          <w:p>
            <w:pPr>
              <w:spacing w:after="20"/>
              <w:ind w:left="20"/>
              <w:jc w:val="both"/>
            </w:pPr>
            <w:r>
              <w:rPr>
                <w:rFonts w:ascii="Times New Roman"/>
                <w:b w:val="false"/>
                <w:i w:val="false"/>
                <w:color w:val="000000"/>
                <w:sz w:val="20"/>
              </w:rPr>
              <w:t>
   Рекомендуется привлекать пациентов и работников системы здравоохранения к участию в процессе подготовки документов на непрофессиональном языке, чтобы гарантировать, что предоставляемая ими информация будет полезной и адаптированной для целевой аудитории.</w:t>
            </w:r>
          </w:p>
          <w:p>
            <w:pPr>
              <w:spacing w:after="20"/>
              <w:ind w:left="20"/>
              <w:jc w:val="both"/>
            </w:pPr>
            <w:r>
              <w:rPr>
                <w:rFonts w:ascii="Times New Roman"/>
                <w:b w:val="false"/>
                <w:i w:val="false"/>
                <w:color w:val="000000"/>
                <w:sz w:val="20"/>
              </w:rPr>
              <w:t>
   11.1.5.3. Информация в прессе</w:t>
            </w:r>
          </w:p>
          <w:p>
            <w:pPr>
              <w:spacing w:after="20"/>
              <w:ind w:left="20"/>
              <w:jc w:val="both"/>
            </w:pPr>
            <w:r>
              <w:rPr>
                <w:rFonts w:ascii="Times New Roman"/>
                <w:b w:val="false"/>
                <w:i w:val="false"/>
                <w:color w:val="000000"/>
                <w:sz w:val="20"/>
              </w:rPr>
              <w:t>
   К информации, размещаемой в прессе, относятся: пресс-релизы и пресс-конференции, которые в первую очередь предназначены для журналистов.</w:t>
            </w:r>
          </w:p>
          <w:p>
            <w:pPr>
              <w:spacing w:after="20"/>
              <w:ind w:left="20"/>
              <w:jc w:val="both"/>
            </w:pPr>
            <w:r>
              <w:rPr>
                <w:rFonts w:ascii="Times New Roman"/>
                <w:b w:val="false"/>
                <w:i w:val="false"/>
                <w:color w:val="000000"/>
                <w:sz w:val="20"/>
              </w:rPr>
              <w:t xml:space="preserve">
   Уполномоченный орган направляет пресс-релизы журналистам в дополнение к их размещению на сайте уполномоченного органа, что позволит журналистам напрямую получить информацию, которая соответствует научной оценке уполномоченного органа. </w:t>
            </w:r>
          </w:p>
          <w:p>
            <w:pPr>
              <w:spacing w:after="20"/>
              <w:ind w:left="20"/>
              <w:jc w:val="both"/>
            </w:pPr>
            <w:r>
              <w:rPr>
                <w:rFonts w:ascii="Times New Roman"/>
                <w:b w:val="false"/>
                <w:i w:val="false"/>
                <w:color w:val="000000"/>
                <w:sz w:val="20"/>
              </w:rPr>
              <w:t>
   Держатели регистрационных удостоверений также опубликовывают пресс-релиз с отражением своей позиции по проблеме по безопасности со ссылкой на все меры, принимаемые уполномоченным органом. Соответствующие выполняемые обзоры указаны в любой информации, представляемой держателем регистрационного удостоверения.</w:t>
            </w:r>
          </w:p>
          <w:p>
            <w:pPr>
              <w:spacing w:after="20"/>
              <w:ind w:left="20"/>
              <w:jc w:val="both"/>
            </w:pPr>
            <w:r>
              <w:rPr>
                <w:rFonts w:ascii="Times New Roman"/>
                <w:b w:val="false"/>
                <w:i w:val="false"/>
                <w:color w:val="000000"/>
                <w:sz w:val="20"/>
              </w:rPr>
              <w:t>
   В пресс-релизах делается ссылка на информационные материалы, имеющие отношение к данной проблеме по безопасности. В случаях, когда готовится также непосредственное обращение к работникам системы здравоохранения, обеспечивается информирование работников системы здравоохранения либо до публикации, либо одновременно с публикацией или распространением пресс-релиза для предоставления возможности медицинским работникам быть подготовленными к ответам на вопросы пациентов.</w:t>
            </w:r>
          </w:p>
          <w:p>
            <w:pPr>
              <w:spacing w:after="20"/>
              <w:ind w:left="20"/>
              <w:jc w:val="both"/>
            </w:pPr>
            <w:r>
              <w:rPr>
                <w:rFonts w:ascii="Times New Roman"/>
                <w:b w:val="false"/>
                <w:i w:val="false"/>
                <w:color w:val="000000"/>
                <w:sz w:val="20"/>
              </w:rPr>
              <w:t>
   В случае если проблема по безопасности представляет повышенный интерес для средств массовой информации, либо в случае необходимости доведения до населения многоплановой и сложной информации по важному для здоровья населения вопросу, уполномоченным органом в качестве эффективного метода информирования общественности рассматривается вопрос проведения пресс-конференции с журналистами.</w:t>
            </w:r>
          </w:p>
          <w:p>
            <w:pPr>
              <w:spacing w:after="20"/>
              <w:ind w:left="20"/>
              <w:jc w:val="both"/>
            </w:pPr>
            <w:r>
              <w:rPr>
                <w:rFonts w:ascii="Times New Roman"/>
                <w:b w:val="false"/>
                <w:i w:val="false"/>
                <w:color w:val="000000"/>
                <w:sz w:val="20"/>
              </w:rPr>
              <w:t>
   11.1.5.4. Веб-сайт</w:t>
            </w:r>
          </w:p>
          <w:p>
            <w:pPr>
              <w:spacing w:after="20"/>
              <w:ind w:left="20"/>
              <w:jc w:val="both"/>
            </w:pPr>
            <w:r>
              <w:rPr>
                <w:rFonts w:ascii="Times New Roman"/>
                <w:b w:val="false"/>
                <w:i w:val="false"/>
                <w:color w:val="000000"/>
                <w:sz w:val="20"/>
              </w:rPr>
              <w:t xml:space="preserve">
   Веб-сайт представляет собой важный инструмент информирования населения (включая пациентов и работников системы здравоохранения). Уполномоченный орган, а также держатели регистрационных удостоверений, обеспечивают, что важная информация по безопасности, размещенная на контролируемых ими веб-сайтах, является легко доступной и понятной пользователям. Информация на сайтах постоянно обновляется, а любая устаревшая информация помечена как таковая или удалена. </w:t>
            </w:r>
          </w:p>
          <w:p>
            <w:pPr>
              <w:spacing w:after="20"/>
              <w:ind w:left="20"/>
              <w:jc w:val="both"/>
            </w:pPr>
            <w:r>
              <w:rPr>
                <w:rFonts w:ascii="Times New Roman"/>
                <w:b w:val="false"/>
                <w:i w:val="false"/>
                <w:color w:val="000000"/>
                <w:sz w:val="20"/>
              </w:rPr>
              <w:t>
   11.1.5.5. Другие средства интернет-коммуникаций</w:t>
            </w:r>
          </w:p>
          <w:p>
            <w:pPr>
              <w:spacing w:after="20"/>
              <w:ind w:left="20"/>
              <w:jc w:val="both"/>
            </w:pPr>
            <w:r>
              <w:rPr>
                <w:rFonts w:ascii="Times New Roman"/>
                <w:b w:val="false"/>
                <w:i w:val="false"/>
                <w:color w:val="000000"/>
                <w:sz w:val="20"/>
              </w:rPr>
              <w:t>
   Информация по безопасности также распространяется в Интернете посредством других веб-приложений. При использовании более новых, высокоскоростных каналов связи, принимают необходимые меры, для не допущения нарушения точности передаваемой информации. В коммуникационной практике учитывают появляющиеся новые средства коммуникации, используемые различными целевыми аудиториями.</w:t>
            </w:r>
          </w:p>
          <w:p>
            <w:pPr>
              <w:spacing w:after="20"/>
              <w:ind w:left="20"/>
              <w:jc w:val="both"/>
            </w:pPr>
            <w:r>
              <w:rPr>
                <w:rFonts w:ascii="Times New Roman"/>
                <w:b w:val="false"/>
                <w:i w:val="false"/>
                <w:color w:val="000000"/>
                <w:sz w:val="20"/>
              </w:rPr>
              <w:t>
   11.1.5.6. Информационные письма и бюллетени</w:t>
            </w:r>
          </w:p>
          <w:p>
            <w:pPr>
              <w:spacing w:after="20"/>
              <w:ind w:left="20"/>
              <w:jc w:val="both"/>
            </w:pPr>
            <w:r>
              <w:rPr>
                <w:rFonts w:ascii="Times New Roman"/>
                <w:b w:val="false"/>
                <w:i w:val="false"/>
                <w:color w:val="000000"/>
                <w:sz w:val="20"/>
              </w:rPr>
              <w:t>
   Информационные письма и бюллетени предназначены для регулярного предоставления новой информации о лекарственных препаратах и их безопасности и эффективности. С помощью этих механизмов информирования уполномоченный орган имеет возможность охватить большую аудиторию, используя веб-приложения и другие доступные средства.</w:t>
            </w:r>
          </w:p>
          <w:p>
            <w:pPr>
              <w:spacing w:after="20"/>
              <w:ind w:left="20"/>
              <w:jc w:val="both"/>
            </w:pPr>
            <w:r>
              <w:rPr>
                <w:rFonts w:ascii="Times New Roman"/>
                <w:b w:val="false"/>
                <w:i w:val="false"/>
                <w:color w:val="000000"/>
                <w:sz w:val="20"/>
              </w:rPr>
              <w:t>
   11.1.5.7. Ответы на запросы населения</w:t>
            </w:r>
          </w:p>
          <w:p>
            <w:pPr>
              <w:spacing w:after="20"/>
              <w:ind w:left="20"/>
              <w:jc w:val="both"/>
            </w:pPr>
            <w:r>
              <w:rPr>
                <w:rFonts w:ascii="Times New Roman"/>
                <w:b w:val="false"/>
                <w:i w:val="false"/>
                <w:color w:val="000000"/>
                <w:sz w:val="20"/>
              </w:rPr>
              <w:t>
   Уполномоченный орган и держатели регистрационных удостоверений обеспечивают наличие действующей системы реагирования на запросы отдельных граждан о лекарственных препаратах. Ответы содержат информацию, находящуюся в открытом доступе, и включать в себя соответствующие рекомендации для пациентов и работников системы здравоохранения, предоставленные уполномоченным органом. Кода вопросы касаются консультаций по индивидуальному лечению, пациенту рекомендуют обратиться к специалистам системы здравоохранения.</w:t>
            </w:r>
          </w:p>
          <w:p>
            <w:pPr>
              <w:spacing w:after="20"/>
              <w:ind w:left="20"/>
              <w:jc w:val="both"/>
            </w:pPr>
            <w:r>
              <w:rPr>
                <w:rFonts w:ascii="Times New Roman"/>
                <w:b w:val="false"/>
                <w:i w:val="false"/>
                <w:color w:val="000000"/>
                <w:sz w:val="20"/>
              </w:rPr>
              <w:t>
   11.1.5.8. Другие средства передачи информации</w:t>
            </w:r>
          </w:p>
          <w:p>
            <w:pPr>
              <w:spacing w:after="20"/>
              <w:ind w:left="20"/>
              <w:jc w:val="both"/>
            </w:pPr>
            <w:r>
              <w:rPr>
                <w:rFonts w:ascii="Times New Roman"/>
                <w:b w:val="false"/>
                <w:i w:val="false"/>
                <w:color w:val="000000"/>
                <w:sz w:val="20"/>
              </w:rPr>
              <w:t>
   Кроме рассмотренных выше способов информирования, существуют и другие инструменты и каналы передачи информации по безопасности, такие как публикации в научных журналах и журналах профессиональных организаций.</w:t>
            </w:r>
          </w:p>
          <w:p>
            <w:pPr>
              <w:spacing w:after="20"/>
              <w:ind w:left="20"/>
              <w:jc w:val="both"/>
            </w:pPr>
            <w:r>
              <w:rPr>
                <w:rFonts w:ascii="Times New Roman"/>
                <w:b w:val="false"/>
                <w:i w:val="false"/>
                <w:color w:val="000000"/>
                <w:sz w:val="20"/>
              </w:rPr>
              <w:t>
   Другие способы информирования используемые в области управления рисками такие, как памятки для пациентов или руководства по безопасности для работников системы здравоохранения, рассматриваются в разделе 12 настоящего Стандарта.</w:t>
            </w:r>
          </w:p>
          <w:p>
            <w:pPr>
              <w:spacing w:after="20"/>
              <w:ind w:left="20"/>
              <w:jc w:val="both"/>
            </w:pPr>
            <w:r>
              <w:rPr>
                <w:rFonts w:ascii="Times New Roman"/>
                <w:b w:val="false"/>
                <w:i w:val="false"/>
                <w:color w:val="000000"/>
                <w:sz w:val="20"/>
              </w:rPr>
              <w:t>
   11.1.6. Эффективность информации по безопасности</w:t>
            </w:r>
          </w:p>
          <w:p>
            <w:pPr>
              <w:spacing w:after="20"/>
              <w:ind w:left="20"/>
              <w:jc w:val="both"/>
            </w:pPr>
            <w:r>
              <w:rPr>
                <w:rFonts w:ascii="Times New Roman"/>
                <w:b w:val="false"/>
                <w:i w:val="false"/>
                <w:color w:val="000000"/>
                <w:sz w:val="20"/>
              </w:rPr>
              <w:t xml:space="preserve">
   Информация по безопасности считается эффективной, когда передаваемое сообщение принимается и понимается целевой аудиторией так, как это было предусмотрено, и целевая аудитория реагирует на информацию принятием соответствующих мер. Для оценки эффективности информации применяются соответствующие механизмы, основанных на четких параметрах (показателях). На основании выполненной оценки эффективности делаются выводы, определены приоритеты дальнейшей деятельности по информированию, а также выполнена адаптация инструментов и практики в направлении соответствия потребностям целевой аудитории. Для установления соответствия информации по безопасности требованиям п. 11.1.2. настоящего Стандарта используют подход, основанный на исследовании. При применении данного подхода сопоставляются различные результаты, в том числе поведение, отношения, и знания. </w:t>
            </w:r>
          </w:p>
          <w:p>
            <w:pPr>
              <w:spacing w:after="20"/>
              <w:ind w:left="20"/>
              <w:jc w:val="both"/>
            </w:pPr>
            <w:r>
              <w:rPr>
                <w:rFonts w:ascii="Times New Roman"/>
                <w:b w:val="false"/>
                <w:i w:val="false"/>
                <w:color w:val="000000"/>
                <w:sz w:val="20"/>
              </w:rPr>
              <w:t>
   Держатели регистрационных удостоверений обеспечивают надлежащую оценку эффективности прямого информирования медицинских работников по проблемам безопасности. Держатели регистрационных удостоверений информируют уполномоченный орган о полученных результатах оценки эффективности прямого информирования, а также любых выявленных трудностях, (таких как, проблемах со списком получателей или со сроками и механизмами распространения). Соответствующие корректирующие и предупреждающие меры принимаются во всех случаях выявления недостаточной эффективности непосредственного обращения к работникам системы здравоохранения.</w:t>
            </w:r>
          </w:p>
          <w:p>
            <w:pPr>
              <w:spacing w:after="20"/>
              <w:ind w:left="20"/>
              <w:jc w:val="both"/>
            </w:pPr>
            <w:r>
              <w:rPr>
                <w:rFonts w:ascii="Times New Roman"/>
                <w:b w:val="false"/>
                <w:i w:val="false"/>
                <w:color w:val="000000"/>
                <w:sz w:val="20"/>
              </w:rPr>
              <w:t>
   11.1.7. Требования к системе качества информирования по безопасности</w:t>
            </w:r>
          </w:p>
          <w:p>
            <w:pPr>
              <w:spacing w:after="20"/>
              <w:ind w:left="20"/>
              <w:jc w:val="both"/>
            </w:pPr>
            <w:r>
              <w:rPr>
                <w:rFonts w:ascii="Times New Roman"/>
                <w:b w:val="false"/>
                <w:i w:val="false"/>
                <w:color w:val="000000"/>
                <w:sz w:val="20"/>
              </w:rPr>
              <w:t>
   В соответствии с требованиями к системе качества информирования по безопасности, изложенными в разделе 2 настоящего Стандарта, требуется наличие соответствующих процедур, обеспечивающих соответствие информирования по безопасности принципам, определяемым в п. 11.1.2 настоящего Стандарта. Обеспечивается выполнение и документирование контрольных процедур в отношении передаваемой информации по безопасности, представляющей собой объект контроля качества.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Меры минимизации риска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12.1. Введение </w:t>
            </w:r>
          </w:p>
          <w:p>
            <w:pPr>
              <w:spacing w:after="20"/>
              <w:ind w:left="20"/>
              <w:jc w:val="both"/>
            </w:pPr>
            <w:r>
              <w:rPr>
                <w:rFonts w:ascii="Times New Roman"/>
                <w:b w:val="false"/>
                <w:i w:val="false"/>
                <w:color w:val="000000"/>
                <w:sz w:val="20"/>
              </w:rPr>
              <w:t xml:space="preserve">
   Меры минимизации риска представляют собой действия, направленные на предотвращение развития нежелательных реакций, снижение частоты развития или степени тяжести нежелательных реакций, а также минимизацию неблагоприятных последствий воздействия на пациента при развитий нежелательный реакции на лекарственного препарата. </w:t>
            </w:r>
          </w:p>
          <w:p>
            <w:pPr>
              <w:spacing w:after="20"/>
              <w:ind w:left="20"/>
              <w:jc w:val="both"/>
            </w:pPr>
            <w:r>
              <w:rPr>
                <w:rFonts w:ascii="Times New Roman"/>
                <w:b w:val="false"/>
                <w:i w:val="false"/>
                <w:color w:val="000000"/>
                <w:sz w:val="20"/>
              </w:rPr>
              <w:t>
   Меры минимизации риска, включенные в данный модуль, рассматриваются в контексте основной части требований к системе минимизации риска.</w:t>
            </w:r>
          </w:p>
          <w:p>
            <w:pPr>
              <w:spacing w:after="20"/>
              <w:ind w:left="20"/>
              <w:jc w:val="both"/>
            </w:pPr>
            <w:r>
              <w:rPr>
                <w:rFonts w:ascii="Times New Roman"/>
                <w:b w:val="false"/>
                <w:i w:val="false"/>
                <w:color w:val="000000"/>
                <w:sz w:val="20"/>
              </w:rPr>
              <w:t xml:space="preserve">
   Меры минимизации риска включают рутинные меры минимизации риска или дополнительные меры минимизации риска. Рутинные меры минимизации риска распространяются на все лекарственные препарата и описаны детально в разделе 6 настоящего Стандарта. Большинство проблем по безопасности надлежащим образом управляются рутинными мерами минимизации риска, однако в отношении некоторых рисков рутинные меры минимизации риска являются недостаточными и для обеспечения надлежащего управления рисками и (или) улучшения соотношения польза-риск лекарственного препарата проводятся дополнительные меры управления рисками. Данный раздел содержит руководство по применению дополнительных мер минимизации риска и выбору инструментов минимизации риска. </w:t>
            </w:r>
          </w:p>
          <w:p>
            <w:pPr>
              <w:spacing w:after="20"/>
              <w:ind w:left="20"/>
              <w:jc w:val="both"/>
            </w:pPr>
            <w:r>
              <w:rPr>
                <w:rFonts w:ascii="Times New Roman"/>
                <w:b w:val="false"/>
                <w:i w:val="false"/>
                <w:color w:val="000000"/>
                <w:sz w:val="20"/>
              </w:rPr>
              <w:t>
   Меры минимизации риска определяются на основании проблем по безопасности, представленных в спецификации по безопасности. Каждую проблему по безопасности следует рассматривать в индивидуальном порядке, при выборе наиболее целесообразной меры минимизации риска учитывают серьезность потенциальных нежелательных реакций, их степень тяжести, предотвратимость или клинические действия, необходимые для снижения риска, показания к применению, путь и способ введения лекарственного препарата, целевые популяции и тип учреждений здравоохранения, где применяется лекарственный препарат. Проблема по безопасности адресуется более чем в одной мере по минимизации риска, а определенная мера минимизации риска распространяется более чем на одну проблему по безопасности.</w:t>
            </w:r>
          </w:p>
          <w:p>
            <w:pPr>
              <w:spacing w:after="20"/>
              <w:ind w:left="20"/>
              <w:jc w:val="both"/>
            </w:pPr>
            <w:r>
              <w:rPr>
                <w:rFonts w:ascii="Times New Roman"/>
                <w:b w:val="false"/>
                <w:i w:val="false"/>
                <w:color w:val="000000"/>
                <w:sz w:val="20"/>
              </w:rPr>
              <w:t>
   Держатель регистрационного удостоверения обеспечивает проведения надлежащего контроля выполнения мер минимизации риска, которые включены в согласованный уполномоченной организацией ПУР или которые сформулированы как условия государственной регистрации.</w:t>
            </w:r>
          </w:p>
          <w:p>
            <w:pPr>
              <w:spacing w:after="20"/>
              <w:ind w:left="20"/>
              <w:jc w:val="both"/>
            </w:pPr>
            <w:r>
              <w:rPr>
                <w:rFonts w:ascii="Times New Roman"/>
                <w:b w:val="false"/>
                <w:i w:val="false"/>
                <w:color w:val="000000"/>
                <w:sz w:val="20"/>
              </w:rPr>
              <w:t>
   Уполномоченный орган проводит контроль результатов введения и реализации мер минимизации риска, которые включены в ПУР или которые сформулированы как условия государственной регистрации.</w:t>
            </w:r>
          </w:p>
          <w:p>
            <w:pPr>
              <w:spacing w:after="20"/>
              <w:ind w:left="20"/>
              <w:jc w:val="both"/>
            </w:pPr>
            <w:r>
              <w:rPr>
                <w:rFonts w:ascii="Times New Roman"/>
                <w:b w:val="false"/>
                <w:i w:val="false"/>
                <w:color w:val="000000"/>
                <w:sz w:val="20"/>
              </w:rPr>
              <w:t>
   </w:t>
            </w:r>
            <w:r>
              <w:rPr>
                <w:rFonts w:ascii="Times New Roman"/>
                <w:b/>
                <w:i w:val="false"/>
                <w:color w:val="000000"/>
                <w:sz w:val="20"/>
              </w:rPr>
              <w:t>12.2. Структуры и процессы</w:t>
            </w:r>
          </w:p>
          <w:p>
            <w:pPr>
              <w:spacing w:after="20"/>
              <w:ind w:left="20"/>
              <w:jc w:val="both"/>
            </w:pPr>
            <w:r>
              <w:rPr>
                <w:rFonts w:ascii="Times New Roman"/>
                <w:b w:val="false"/>
                <w:i w:val="false"/>
                <w:color w:val="000000"/>
                <w:sz w:val="20"/>
              </w:rPr>
              <w:t>
   12.2.1. Общие принципы</w:t>
            </w:r>
          </w:p>
          <w:p>
            <w:pPr>
              <w:spacing w:after="20"/>
              <w:ind w:left="20"/>
              <w:jc w:val="both"/>
            </w:pPr>
            <w:r>
              <w:rPr>
                <w:rFonts w:ascii="Times New Roman"/>
                <w:b w:val="false"/>
                <w:i w:val="false"/>
                <w:color w:val="000000"/>
                <w:sz w:val="20"/>
              </w:rPr>
              <w:t>
   Меры минимизации риска имеют своей целью оптимизацию безопасного и эффективного использования лекарственного препарата на протяжении всего жизненного цикла. Соотношение польза-риск лекарственного препарата обеспечивается путем снижения риска и степени тяжести последствий нежелательных реакций, а также оптимизации пользы путем целевого подбора и (или) исключения пациентов либо путем тщательного мониторинга лечения (специфическая схема приема, соответствующий лабораторный мониторинг, последующее наблюдение за пациентами). Меры минимизации риска являются руководством для оптимального использования лекарственного препарата в медицинской практике в целях гарантии предоставления оптимального лекарственного препарата для определенного пациента, в оптимальной дозе, в нужное время, специалистом, имеющим надлежащую подготовку по назначению лекарственного препарата и ведению пациента, а также с достоверной информацией и при надлежащем контроле.</w:t>
            </w:r>
          </w:p>
          <w:p>
            <w:pPr>
              <w:spacing w:after="20"/>
              <w:ind w:left="20"/>
              <w:jc w:val="both"/>
            </w:pPr>
            <w:r>
              <w:rPr>
                <w:rFonts w:ascii="Times New Roman"/>
                <w:b w:val="false"/>
                <w:i w:val="false"/>
                <w:color w:val="000000"/>
                <w:sz w:val="20"/>
              </w:rPr>
              <w:t>
   Существует ряд разнообразных методов, используемых в качестве дополнительных мер минимизации риска. Данный раздел регулирования обращения лекарственных препаратов находится в стадии непрерывного развития и имеющиеся методы дополняются новыми, в том числе ориентированными на более широкое использование интернет-технологий.</w:t>
            </w:r>
          </w:p>
          <w:p>
            <w:pPr>
              <w:spacing w:after="20"/>
              <w:ind w:left="20"/>
              <w:jc w:val="both"/>
            </w:pPr>
            <w:r>
              <w:rPr>
                <w:rFonts w:ascii="Times New Roman"/>
                <w:b w:val="false"/>
                <w:i w:val="false"/>
                <w:color w:val="000000"/>
                <w:sz w:val="20"/>
              </w:rPr>
              <w:t xml:space="preserve">
   Успешное осуществление дополнительных мер по минимизации риска требует вклада всех заинтересованных сторон, в том числе держателя регистрационного удостоверения, пациентов и специалистов системы здравоохранения. </w:t>
            </w:r>
          </w:p>
          <w:p>
            <w:pPr>
              <w:spacing w:after="20"/>
              <w:ind w:left="20"/>
              <w:jc w:val="both"/>
            </w:pPr>
            <w:r>
              <w:rPr>
                <w:rFonts w:ascii="Times New Roman"/>
                <w:b w:val="false"/>
                <w:i w:val="false"/>
                <w:color w:val="000000"/>
                <w:sz w:val="20"/>
              </w:rPr>
              <w:t>
   Дополнительные меры минимизации риска имеют четко определенную цель, соответствующую общей цели минимизации специфических рисков и (или) оптимизации соотношения польза-риск. Конкретные цели и заранее определенные параметры оценки достижения поставленной цели с ключевыми этапами становятся руководством при разработке дополнительных мер минимизации риска. Обеспечить надлежащий мониторинг по заранее определяемым параметрам, как на этапе внедрения, так и эффективности в процессе и по окончанию выполнения. Характеристика проблемы по безопасности в контексте характеристики соотношения польза-риск лекарственного препарата, терапевтической значимости лекарственного препарата, целевой популяции и необходимыми клиническими действиями для минимизации риска являются факторами, необходимыми учитывать при выборе инструментов (методов) минимизации риска и стратегии внедрения мер минимизации риска с целью обеспечения достижения желаемых результатов по охране общественного здоровья. Выполнение регулярной промежуточной оценки эффективности реализуемых мер минимизации риска направляется на своевременное выявление их недостаточной эффективности и внедрение соответствующих корректирующих мероприятий.</w:t>
            </w:r>
          </w:p>
          <w:p>
            <w:pPr>
              <w:spacing w:after="20"/>
              <w:ind w:left="20"/>
              <w:jc w:val="both"/>
            </w:pPr>
            <w:r>
              <w:rPr>
                <w:rFonts w:ascii="Times New Roman"/>
                <w:b w:val="false"/>
                <w:i w:val="false"/>
                <w:color w:val="000000"/>
                <w:sz w:val="20"/>
              </w:rPr>
              <w:t>
   План минимизации риска является составляющей частью плана управления рисками. План минимизации риска включает следующие разделы:</w:t>
            </w:r>
          </w:p>
          <w:p>
            <w:pPr>
              <w:spacing w:after="20"/>
              <w:ind w:left="20"/>
              <w:jc w:val="both"/>
            </w:pPr>
            <w:r>
              <w:rPr>
                <w:rFonts w:ascii="Times New Roman"/>
                <w:b w:val="false"/>
                <w:i w:val="false"/>
                <w:color w:val="000000"/>
                <w:sz w:val="20"/>
              </w:rPr>
              <w:t xml:space="preserve">
   1) обоснование необходимости введения дополнительных мер по минимизации риска (в связи с определенными проблемами безопасности): в данном разделе сформулировано обоснование предложенных дополнительных мер минимизации риска, которое включает конкретные цели по каждой из предложенных мер. Приводится четкое описание того, как предлагаемая дополнительная мера минимизации риска направлена на конкретную проблему по безопасности; </w:t>
            </w:r>
          </w:p>
          <w:p>
            <w:pPr>
              <w:spacing w:after="20"/>
              <w:ind w:left="20"/>
              <w:jc w:val="both"/>
            </w:pPr>
            <w:r>
              <w:rPr>
                <w:rFonts w:ascii="Times New Roman"/>
                <w:b w:val="false"/>
                <w:i w:val="false"/>
                <w:color w:val="000000"/>
                <w:sz w:val="20"/>
              </w:rPr>
              <w:t>
   2) описание дополнительных мер минимизации риска: в данном разделе предоставляет описание выбранных дополнительных мер минимизации риска, включая описание инструментов (методов), которые планируют использовать, и ключевых элементов содержания;</w:t>
            </w:r>
          </w:p>
          <w:p>
            <w:pPr>
              <w:spacing w:after="20"/>
              <w:ind w:left="20"/>
              <w:jc w:val="both"/>
            </w:pPr>
            <w:r>
              <w:rPr>
                <w:rFonts w:ascii="Times New Roman"/>
                <w:b w:val="false"/>
                <w:i w:val="false"/>
                <w:color w:val="000000"/>
                <w:sz w:val="20"/>
              </w:rPr>
              <w:t>
   3) план выполнения: в данном разделе представляет подробное описание предложений по выполнению дополнительных мер минимизации риска (характеристика вмешательств, детальная информация о целевой аудитории, план проведения образовательных программ и (или) распространения образовательных инструментов, механизм координации данных мер с другими держателями регистрационных удостоверений, если применимо);</w:t>
            </w:r>
          </w:p>
          <w:p>
            <w:pPr>
              <w:spacing w:after="20"/>
              <w:ind w:left="20"/>
              <w:jc w:val="both"/>
            </w:pPr>
            <w:r>
              <w:rPr>
                <w:rFonts w:ascii="Times New Roman"/>
                <w:b w:val="false"/>
                <w:i w:val="false"/>
                <w:color w:val="000000"/>
                <w:sz w:val="20"/>
              </w:rPr>
              <w:t>
   4) план оценки: в данном разделе предоставляется подробный план с ключевыми этапами по оценке эффективности дополнительных мер минимизации риска с точки зрения выполнения запланированного процесса и с точки зрения общих показателей влияния на исходы (снижение риска).</w:t>
            </w:r>
          </w:p>
          <w:p>
            <w:pPr>
              <w:spacing w:after="20"/>
              <w:ind w:left="20"/>
              <w:jc w:val="both"/>
            </w:pPr>
            <w:r>
              <w:rPr>
                <w:rFonts w:ascii="Times New Roman"/>
                <w:b w:val="false"/>
                <w:i w:val="false"/>
                <w:color w:val="000000"/>
                <w:sz w:val="20"/>
              </w:rPr>
              <w:t>
   12.2.2. Меры минимизации риска</w:t>
            </w:r>
          </w:p>
          <w:p>
            <w:pPr>
              <w:spacing w:after="20"/>
              <w:ind w:left="20"/>
              <w:jc w:val="both"/>
            </w:pPr>
            <w:r>
              <w:rPr>
                <w:rFonts w:ascii="Times New Roman"/>
                <w:b w:val="false"/>
                <w:i w:val="false"/>
                <w:color w:val="000000"/>
                <w:sz w:val="20"/>
              </w:rPr>
              <w:t>
   Дополнительные меры минимизации риска предлагаются в тех случаях, когда они оцениваются как условия безопасного и эффективного использования лекарственного препарата. Предлагаемые дополнительные меры минимизации риска являются научно обоснованными, разрабатываются и представляются специалистами с соответствующей квалификацией.</w:t>
            </w:r>
          </w:p>
          <w:p>
            <w:pPr>
              <w:spacing w:after="20"/>
              <w:ind w:left="20"/>
              <w:jc w:val="both"/>
            </w:pPr>
            <w:r>
              <w:rPr>
                <w:rFonts w:ascii="Times New Roman"/>
                <w:b w:val="false"/>
                <w:i w:val="false"/>
                <w:color w:val="000000"/>
                <w:sz w:val="20"/>
              </w:rPr>
              <w:t>
   Дополнительные меры минимизации риска имеют различные цели, дизайн, целевую аудиторию и сложность. Эти меры используются с целью обеспечения надлежащей процедуры выбора соответствующих пациентов, для которых польза применения лекарственного препарата превышает риск, и исключения пациентов, которым применение лекарственного препарата противопоказано; с целью обеспечения надлежащего мониторинга терапии, имеющего отношение к контролю важных рисков и (или) надлежащего управления нежелательной реакцией в случае ее развития. Дополнительно разрабатываются специфические меры минимизации риска в отношении риска медицинской ошибки и (или) в целях обеспечения надлежащего назначения лекарственного препарата, в случаях, когда является практически неосуществимым достижение этой цели только посредством представления информации о лекарственном препарате в инструкции по медицинскому применению или информации на этикетке.</w:t>
            </w:r>
          </w:p>
          <w:p>
            <w:pPr>
              <w:spacing w:after="20"/>
              <w:ind w:left="20"/>
              <w:jc w:val="both"/>
            </w:pPr>
            <w:r>
              <w:rPr>
                <w:rFonts w:ascii="Times New Roman"/>
                <w:b w:val="false"/>
                <w:i w:val="false"/>
                <w:color w:val="000000"/>
                <w:sz w:val="20"/>
              </w:rPr>
              <w:t>
   Если сделан запрос на дополнительные меры минимизации риска, обоснование для запроса документируются, а также указываются конкретные проблемы по безопасности и представляется детальное планирование этапов выполнения и оценки.</w:t>
            </w:r>
          </w:p>
          <w:p>
            <w:pPr>
              <w:spacing w:after="20"/>
              <w:ind w:left="20"/>
              <w:jc w:val="both"/>
            </w:pPr>
            <w:r>
              <w:rPr>
                <w:rFonts w:ascii="Times New Roman"/>
                <w:b w:val="false"/>
                <w:i w:val="false"/>
                <w:color w:val="000000"/>
                <w:sz w:val="20"/>
              </w:rPr>
              <w:t>
   Дополнительные меры минимизации рисков включают следующие:</w:t>
            </w:r>
          </w:p>
          <w:p>
            <w:pPr>
              <w:spacing w:after="20"/>
              <w:ind w:left="20"/>
              <w:jc w:val="both"/>
            </w:pPr>
            <w:r>
              <w:rPr>
                <w:rFonts w:ascii="Times New Roman"/>
                <w:b w:val="false"/>
                <w:i w:val="false"/>
                <w:color w:val="000000"/>
                <w:sz w:val="20"/>
              </w:rPr>
              <w:t>
   1) образовательная программа;</w:t>
            </w:r>
          </w:p>
          <w:p>
            <w:pPr>
              <w:spacing w:after="20"/>
              <w:ind w:left="20"/>
              <w:jc w:val="both"/>
            </w:pPr>
            <w:r>
              <w:rPr>
                <w:rFonts w:ascii="Times New Roman"/>
                <w:b w:val="false"/>
                <w:i w:val="false"/>
                <w:color w:val="000000"/>
                <w:sz w:val="20"/>
              </w:rPr>
              <w:t>
   2) программа контролируемого доступа;</w:t>
            </w:r>
          </w:p>
          <w:p>
            <w:pPr>
              <w:spacing w:after="20"/>
              <w:ind w:left="20"/>
              <w:jc w:val="both"/>
            </w:pPr>
            <w:r>
              <w:rPr>
                <w:rFonts w:ascii="Times New Roman"/>
                <w:b w:val="false"/>
                <w:i w:val="false"/>
                <w:color w:val="000000"/>
                <w:sz w:val="20"/>
              </w:rPr>
              <w:t>
   3) другие меры по минимизации риска.</w:t>
            </w:r>
          </w:p>
          <w:p>
            <w:pPr>
              <w:spacing w:after="20"/>
              <w:ind w:left="20"/>
              <w:jc w:val="both"/>
            </w:pPr>
            <w:r>
              <w:rPr>
                <w:rFonts w:ascii="Times New Roman"/>
                <w:b w:val="false"/>
                <w:i w:val="false"/>
                <w:color w:val="000000"/>
                <w:sz w:val="20"/>
              </w:rPr>
              <w:t>
   12.2.2.1. Образовательная программа</w:t>
            </w:r>
          </w:p>
          <w:p>
            <w:pPr>
              <w:spacing w:after="20"/>
              <w:ind w:left="20"/>
              <w:jc w:val="both"/>
            </w:pPr>
            <w:r>
              <w:rPr>
                <w:rFonts w:ascii="Times New Roman"/>
                <w:b w:val="false"/>
                <w:i w:val="false"/>
                <w:color w:val="000000"/>
                <w:sz w:val="20"/>
              </w:rPr>
              <w:t>
   Многие дополнительные инструменты (методы) минимизации риска, которые использованы в образовательной программе, основаны на целевом информировании с представлением информации, содержащейся в инструкции по медицинскому применению и листке-вкладыше. Любой образовательный материал ориентируется на достижение определенных целей минимизации риска и включают четкую и конкретную информацию.</w:t>
            </w:r>
          </w:p>
          <w:p>
            <w:pPr>
              <w:spacing w:after="20"/>
              <w:ind w:left="20"/>
              <w:jc w:val="both"/>
            </w:pPr>
            <w:r>
              <w:rPr>
                <w:rFonts w:ascii="Times New Roman"/>
                <w:b w:val="false"/>
                <w:i w:val="false"/>
                <w:color w:val="000000"/>
                <w:sz w:val="20"/>
              </w:rPr>
              <w:t>
   Целью образовательной программы является оптимизация применения лекарственного препарата посредством позитивного влияния на действия специалистов системы здравоохранения и пациентов в направлении минимизации риска. Образовательные материалы разрабатываются исходя из предположения, что существует практически выполнимая и действенная рекомендация для целевого образования, и что применение данной меры считается важной и значимой для минимизации важного риска и (или) оптимизации соотношения польза-риск. Используемые в контексте образовательной программы образовательные инструменты имеют несколько различных целевых аудиторий, направлены на более чем одну проблему по безопасности и передаются с использованием комбинации инструментов и средств массовой информации (на бумажном носителе, аудио, видео, Интернет, персональное обучения). Рекомендуется представление материалов в диапазоне форматов в целях обеспечения доступа, в том числе, в случае выхода из строя средства информирования или невозможности выхода в Интернет.</w:t>
            </w:r>
          </w:p>
          <w:p>
            <w:pPr>
              <w:spacing w:after="20"/>
              <w:ind w:left="20"/>
              <w:jc w:val="both"/>
            </w:pPr>
            <w:r>
              <w:rPr>
                <w:rFonts w:ascii="Times New Roman"/>
                <w:b w:val="false"/>
                <w:i w:val="false"/>
                <w:color w:val="000000"/>
                <w:sz w:val="20"/>
              </w:rPr>
              <w:t>
   Обеспечивается соответствие содержания любых образовательных материалов с действующей одобренной информацией на лекарственный препарат, такой как инструкция по медицинскому применению и листок-вкладыш. Элементы рекламы, прямые или завуалированные, не включаться в содержание. Акцент образовательных материалов делается на риски, имеющие отношение к лекарственному препарату и управление такими рисками, требующими дополнительных мер минимизации риска.</w:t>
            </w:r>
          </w:p>
          <w:p>
            <w:pPr>
              <w:spacing w:after="20"/>
              <w:ind w:left="20"/>
              <w:jc w:val="both"/>
            </w:pPr>
            <w:r>
              <w:rPr>
                <w:rFonts w:ascii="Times New Roman"/>
                <w:b w:val="false"/>
                <w:i w:val="false"/>
                <w:color w:val="000000"/>
                <w:sz w:val="20"/>
              </w:rPr>
              <w:t>
   Любая образовательная программа полностью отделена от рекламных действий, а контактная информация врачей и пациентов, полученная посредством образовательных программ, не используется в рекламных целях.</w:t>
            </w:r>
          </w:p>
          <w:p>
            <w:pPr>
              <w:spacing w:after="20"/>
              <w:ind w:left="20"/>
              <w:jc w:val="both"/>
            </w:pPr>
            <w:r>
              <w:rPr>
                <w:rFonts w:ascii="Times New Roman"/>
                <w:b w:val="false"/>
                <w:i w:val="false"/>
                <w:color w:val="000000"/>
                <w:sz w:val="20"/>
              </w:rPr>
              <w:t>
   Образовательные инструменты, описанные ниже, рассматриваются в индивидуальном порядке или в комбинации при разработке образовательной программы в целях дополнительной минимизации риска.</w:t>
            </w:r>
          </w:p>
          <w:p>
            <w:pPr>
              <w:spacing w:after="20"/>
              <w:ind w:left="20"/>
              <w:jc w:val="both"/>
            </w:pPr>
            <w:r>
              <w:rPr>
                <w:rFonts w:ascii="Times New Roman"/>
                <w:b w:val="false"/>
                <w:i w:val="false"/>
                <w:color w:val="000000"/>
                <w:sz w:val="20"/>
              </w:rPr>
              <w:t>
   12.2.2.1.1. Образовательные инструменты</w:t>
            </w:r>
          </w:p>
          <w:p>
            <w:pPr>
              <w:spacing w:after="20"/>
              <w:ind w:left="20"/>
              <w:jc w:val="both"/>
            </w:pPr>
            <w:r>
              <w:rPr>
                <w:rFonts w:ascii="Times New Roman"/>
                <w:b w:val="false"/>
                <w:i w:val="false"/>
                <w:color w:val="000000"/>
                <w:sz w:val="20"/>
              </w:rPr>
              <w:t>
   Образовательные инструменты имеют четко определенную направленность и включать однозначное определение риска по рассматриваемой проблеме, характеристику данного рискаи конкретных действий, которые предприняты работниками системы здравоохранения и (или) пациентами в целях минимизации таких рисков. Данная информация акцентируется на четко определенных действиях, имеющих отношение к специфическим проблемам по безопасности в плане минимизации риска, и не включает информацию, которая не имеет непосредственного отношения к проблеме по безопасности и которая надлежащим образом представлена в инструкции по медицинскому применению или листке-вкладыше. Элементы информации для включения в образовательные инструменты (методы) предусматривают:</w:t>
            </w:r>
          </w:p>
          <w:p>
            <w:pPr>
              <w:spacing w:after="20"/>
              <w:ind w:left="20"/>
              <w:jc w:val="both"/>
            </w:pPr>
            <w:r>
              <w:rPr>
                <w:rFonts w:ascii="Times New Roman"/>
                <w:b w:val="false"/>
                <w:i w:val="false"/>
                <w:color w:val="000000"/>
                <w:sz w:val="20"/>
              </w:rPr>
              <w:t>
   руководство по назначению лекарственного препарата, включая выбор пациента, контроль и мониторинг, направленные на минимизацию важных выборочных рисков;</w:t>
            </w:r>
          </w:p>
          <w:p>
            <w:pPr>
              <w:spacing w:after="20"/>
              <w:ind w:left="20"/>
              <w:jc w:val="both"/>
            </w:pPr>
            <w:r>
              <w:rPr>
                <w:rFonts w:ascii="Times New Roman"/>
                <w:b w:val="false"/>
                <w:i w:val="false"/>
                <w:color w:val="000000"/>
                <w:sz w:val="20"/>
              </w:rPr>
              <w:t>
   руководство по управлению такими рисками (для работников системы здравоохранения, пациентов или лиц, осуществляющих уход);</w:t>
            </w:r>
          </w:p>
          <w:p>
            <w:pPr>
              <w:spacing w:after="20"/>
              <w:ind w:left="20"/>
              <w:jc w:val="both"/>
            </w:pPr>
            <w:r>
              <w:rPr>
                <w:rFonts w:ascii="Times New Roman"/>
                <w:b w:val="false"/>
                <w:i w:val="false"/>
                <w:color w:val="000000"/>
                <w:sz w:val="20"/>
              </w:rPr>
              <w:t>
   руководство по представлению информации о выявленных нежелательных реакциях, представляющих особый интерес для характеристики определенного риска.</w:t>
            </w:r>
          </w:p>
          <w:p>
            <w:pPr>
              <w:spacing w:after="20"/>
              <w:ind w:left="20"/>
              <w:jc w:val="both"/>
            </w:pPr>
            <w:r>
              <w:rPr>
                <w:rFonts w:ascii="Times New Roman"/>
                <w:b w:val="false"/>
                <w:i w:val="false"/>
                <w:color w:val="000000"/>
                <w:sz w:val="20"/>
              </w:rPr>
              <w:t>
   1) образовательные инструменты (методы) для специалистов системы здравоохранения;</w:t>
            </w:r>
          </w:p>
          <w:p>
            <w:pPr>
              <w:spacing w:after="20"/>
              <w:ind w:left="20"/>
              <w:jc w:val="both"/>
            </w:pPr>
            <w:r>
              <w:rPr>
                <w:rFonts w:ascii="Times New Roman"/>
                <w:b w:val="false"/>
                <w:i w:val="false"/>
                <w:color w:val="000000"/>
                <w:sz w:val="20"/>
              </w:rPr>
              <w:t>
   Целью любого образовательного инструмента (метода) для работников системы здравоохранения является предоставление специфических аспектов рекомендаций по применению (что следует делать) и (или) противопоказаний (что не следует делать) и(или) предостережений (как управлять нежелательными реакциями), связанными с лекарственным препаратом и специфическими рисками, нуждающимися в дополнительных мерах по минимизации риска, включая:</w:t>
            </w:r>
          </w:p>
          <w:p>
            <w:pPr>
              <w:spacing w:after="20"/>
              <w:ind w:left="20"/>
              <w:jc w:val="both"/>
            </w:pPr>
            <w:r>
              <w:rPr>
                <w:rFonts w:ascii="Times New Roman"/>
                <w:b w:val="false"/>
                <w:i w:val="false"/>
                <w:color w:val="000000"/>
                <w:sz w:val="20"/>
              </w:rPr>
              <w:t>
   1. выбор пациентов;</w:t>
            </w:r>
          </w:p>
          <w:p>
            <w:pPr>
              <w:spacing w:after="20"/>
              <w:ind w:left="20"/>
              <w:jc w:val="both"/>
            </w:pPr>
            <w:r>
              <w:rPr>
                <w:rFonts w:ascii="Times New Roman"/>
                <w:b w:val="false"/>
                <w:i w:val="false"/>
                <w:color w:val="000000"/>
                <w:sz w:val="20"/>
              </w:rPr>
              <w:t>
   2. методику лечения, режим дозирования, контроль и мониторинг;</w:t>
            </w:r>
          </w:p>
          <w:p>
            <w:pPr>
              <w:spacing w:after="20"/>
              <w:ind w:left="20"/>
              <w:jc w:val="both"/>
            </w:pPr>
            <w:r>
              <w:rPr>
                <w:rFonts w:ascii="Times New Roman"/>
                <w:b w:val="false"/>
                <w:i w:val="false"/>
                <w:color w:val="000000"/>
                <w:sz w:val="20"/>
              </w:rPr>
              <w:t>
   3. специальные административные процедуры или отпуск лекарственного препарата;</w:t>
            </w:r>
          </w:p>
          <w:p>
            <w:pPr>
              <w:spacing w:after="20"/>
              <w:ind w:left="20"/>
              <w:jc w:val="both"/>
            </w:pPr>
            <w:r>
              <w:rPr>
                <w:rFonts w:ascii="Times New Roman"/>
                <w:b w:val="false"/>
                <w:i w:val="false"/>
                <w:color w:val="000000"/>
                <w:sz w:val="20"/>
              </w:rPr>
              <w:t>
   4. детальная информация, которую необходимо предоставить пациентам.</w:t>
            </w:r>
          </w:p>
          <w:p>
            <w:pPr>
              <w:spacing w:after="20"/>
              <w:ind w:left="20"/>
              <w:jc w:val="both"/>
            </w:pPr>
            <w:r>
              <w:rPr>
                <w:rFonts w:ascii="Times New Roman"/>
                <w:b w:val="false"/>
                <w:i w:val="false"/>
                <w:color w:val="000000"/>
                <w:sz w:val="20"/>
              </w:rPr>
              <w:t>
   Выбор формата образовательного инструмента (метода) зависит от предоставляемой информации. В частности, если необходимо совершить определенное количество действий перед выпиской рецепта индивидуальному пациенту, то подходящим форматом является контрольный лист. Формат брошюры являться более подходящим для осознания специалистами конкретных рисков с акцентом на раннем выявлении и управлении нежелательными реакциями, в то время как плакаты включают полезные терапевтические руководства или схемы приема лекарственного препарата. Отдается предпочтение другим форматам, в зависимости от направленности, объема информации, целевой аудитории и иных факторов.</w:t>
            </w:r>
          </w:p>
          <w:p>
            <w:pPr>
              <w:spacing w:after="20"/>
              <w:ind w:left="20"/>
              <w:jc w:val="both"/>
            </w:pPr>
            <w:r>
              <w:rPr>
                <w:rFonts w:ascii="Times New Roman"/>
                <w:b w:val="false"/>
                <w:i w:val="false"/>
                <w:color w:val="000000"/>
                <w:sz w:val="20"/>
              </w:rPr>
              <w:t>
   2) образовательные инструменты (методы) для пациентов и лиц, осуществляющих уход;</w:t>
            </w:r>
          </w:p>
          <w:p>
            <w:pPr>
              <w:spacing w:after="20"/>
              <w:ind w:left="20"/>
              <w:jc w:val="both"/>
            </w:pPr>
            <w:r>
              <w:rPr>
                <w:rFonts w:ascii="Times New Roman"/>
                <w:b w:val="false"/>
                <w:i w:val="false"/>
                <w:color w:val="000000"/>
                <w:sz w:val="20"/>
              </w:rPr>
              <w:t>
   Образовательные инструменты (методы) для пациента нацелены на улучшение понимания пациентами или лицами, осуществляющими уход, признаков и симптомов, существенных для раннего выявления специфических нежелательных реакций, требующих принятия дополнительных мер по минимизации риска, а также оптимизации дальнейшего ведения пациента. Если это является уместным, образовательный инструмент (метод) используется для предоставления информации и напоминания пациенту о важных действиях, в частности, по ведению записей по дозированию лекарственных препаратов или диагностическим процедурам, которые зарегистрированы или выполнены пациентом с последующим обсуждением с работниками системы здравоохранения в целях обеспечения соблюдения любых этапов, необходимых для эффективного применения лекарственного препарата.</w:t>
            </w:r>
          </w:p>
          <w:p>
            <w:pPr>
              <w:spacing w:after="20"/>
              <w:ind w:left="20"/>
              <w:jc w:val="both"/>
            </w:pPr>
            <w:r>
              <w:rPr>
                <w:rFonts w:ascii="Times New Roman"/>
                <w:b w:val="false"/>
                <w:i w:val="false"/>
                <w:color w:val="000000"/>
                <w:sz w:val="20"/>
              </w:rPr>
              <w:t>
   3) памятка для пациента;</w:t>
            </w:r>
          </w:p>
          <w:p>
            <w:pPr>
              <w:spacing w:after="20"/>
              <w:ind w:left="20"/>
              <w:jc w:val="both"/>
            </w:pPr>
            <w:r>
              <w:rPr>
                <w:rFonts w:ascii="Times New Roman"/>
                <w:b w:val="false"/>
                <w:i w:val="false"/>
                <w:color w:val="000000"/>
                <w:sz w:val="20"/>
              </w:rPr>
              <w:t>
   Целью данного инструмента является гарантия того, что специальная информация в отношении текущего лечения пациента и связанных с лечением рисков (потенциальные взаимодействия с другими лекарственными препаратами) всегда имеется в распоряжении пациента и доступна соответствующему работнику сферы здравоохранения. Информация содержит необходимый минимум для передачи ключевых инструкций по минимизации риска и необходимых действий, облегчающих состояние при любых обстоятельствах, в том числе экстренные. Одной из ключевых характеристик данного инструмента является портативность.</w:t>
            </w:r>
          </w:p>
          <w:p>
            <w:pPr>
              <w:spacing w:after="20"/>
              <w:ind w:left="20"/>
              <w:jc w:val="both"/>
            </w:pPr>
            <w:r>
              <w:rPr>
                <w:rFonts w:ascii="Times New Roman"/>
                <w:b w:val="false"/>
                <w:i w:val="false"/>
                <w:color w:val="000000"/>
                <w:sz w:val="20"/>
              </w:rPr>
              <w:t>
   12.2.2.1.2. Программа контролируемого доступа</w:t>
            </w:r>
          </w:p>
          <w:p>
            <w:pPr>
              <w:spacing w:after="20"/>
              <w:ind w:left="20"/>
              <w:jc w:val="both"/>
            </w:pPr>
            <w:r>
              <w:rPr>
                <w:rFonts w:ascii="Times New Roman"/>
                <w:b w:val="false"/>
                <w:i w:val="false"/>
                <w:color w:val="000000"/>
                <w:sz w:val="20"/>
              </w:rPr>
              <w:t>
   Программа контролируемого доступа состоит из оперативных мер, нацеленных на контроль доступа к лекарственному препарату за пределами уровня контроля, гарантированного стандартными мерами по минимизации риска, т.е. регуляторным статусом лекарственного препарата. Контролируемый доступ рассматривают в качестве метода минимизации серьезного риска для лекарственного препарата с доказанной пользой, но которую нельзя достигнуть без дополнительных мер по минимизации риска вследствие риска воздействия на здоровье пациентов.</w:t>
            </w:r>
          </w:p>
          <w:p>
            <w:pPr>
              <w:spacing w:after="20"/>
              <w:ind w:left="20"/>
              <w:jc w:val="both"/>
            </w:pPr>
            <w:r>
              <w:rPr>
                <w:rFonts w:ascii="Times New Roman"/>
                <w:b w:val="false"/>
                <w:i w:val="false"/>
                <w:color w:val="000000"/>
                <w:sz w:val="20"/>
              </w:rPr>
              <w:t>
   Примеры требований, которые выполняются до назначения лекарственного препарата и (или) отпуска и (или) использования в программе контролируемого доступа, перечислены ниже (они включаются индивидуально или в комбинации с другими требованиями):</w:t>
            </w:r>
          </w:p>
          <w:p>
            <w:pPr>
              <w:spacing w:after="20"/>
              <w:ind w:left="20"/>
              <w:jc w:val="both"/>
            </w:pPr>
            <w:r>
              <w:rPr>
                <w:rFonts w:ascii="Times New Roman"/>
                <w:b w:val="false"/>
                <w:i w:val="false"/>
                <w:color w:val="000000"/>
                <w:sz w:val="20"/>
              </w:rPr>
              <w:t>
   1) специфические методы контроля и (или) обследования пациента для обеспечения соответствия строго определенным клиническим критериям;</w:t>
            </w:r>
          </w:p>
          <w:p>
            <w:pPr>
              <w:spacing w:after="20"/>
              <w:ind w:left="20"/>
              <w:jc w:val="both"/>
            </w:pPr>
            <w:r>
              <w:rPr>
                <w:rFonts w:ascii="Times New Roman"/>
                <w:b w:val="false"/>
                <w:i w:val="false"/>
                <w:color w:val="000000"/>
                <w:sz w:val="20"/>
              </w:rPr>
              <w:t>
   2) врач, выписывающий лекарственный препарат, фармацевтический работник, отпускающий лекарственный препарат, и (или) пациент, документально подтверждают со своей стороны получение и осознание информации в отношении серьезного риска, сопряженного с применением лекарственного препарата;</w:t>
            </w:r>
          </w:p>
          <w:p>
            <w:pPr>
              <w:spacing w:after="20"/>
              <w:ind w:left="20"/>
              <w:jc w:val="both"/>
            </w:pPr>
            <w:r>
              <w:rPr>
                <w:rFonts w:ascii="Times New Roman"/>
                <w:b w:val="false"/>
                <w:i w:val="false"/>
                <w:color w:val="000000"/>
                <w:sz w:val="20"/>
              </w:rPr>
              <w:t>
   3) точные процедуры по систематическому последующему наблюдению за пациентом посредством регистрации в специальной системе сбора данных (в регистре пациентов);</w:t>
            </w:r>
          </w:p>
          <w:p>
            <w:pPr>
              <w:spacing w:after="20"/>
              <w:ind w:left="20"/>
              <w:jc w:val="both"/>
            </w:pPr>
            <w:r>
              <w:rPr>
                <w:rFonts w:ascii="Times New Roman"/>
                <w:b w:val="false"/>
                <w:i w:val="false"/>
                <w:color w:val="000000"/>
                <w:sz w:val="20"/>
              </w:rPr>
              <w:t>
   4) лекарственные препараты получают только в аптеках, имеющих лицензию на отпуск такого лекарственного препарата.</w:t>
            </w:r>
          </w:p>
          <w:p>
            <w:pPr>
              <w:spacing w:after="20"/>
              <w:ind w:left="20"/>
              <w:jc w:val="both"/>
            </w:pPr>
            <w:r>
              <w:rPr>
                <w:rFonts w:ascii="Times New Roman"/>
                <w:b w:val="false"/>
                <w:i w:val="false"/>
                <w:color w:val="000000"/>
                <w:sz w:val="20"/>
              </w:rPr>
              <w:t>
   В определенных случаях в качестве инструмента контролируемого доступа используются требования о проведении специального обследования или контроля состояния пациента. В частности, контроль состояния пациента, лабораторные показатели или иные характеристики (в частности, ЭКО) до лечения и (или) в процессе лечения, анализы функции печени, регулярные анализы крови, тест на беременность (который может являться компонентом программы предотвращения беременности). Меры вводятся в действие в целях обеспечения контроля в соответствии с инструкцией по медицинскому применению, когда это является критическим фактором с точки зрения соотношения польза-риск лекарственного препарата.</w:t>
            </w:r>
          </w:p>
          <w:p>
            <w:pPr>
              <w:spacing w:after="20"/>
              <w:ind w:left="20"/>
              <w:jc w:val="both"/>
            </w:pPr>
            <w:r>
              <w:rPr>
                <w:rFonts w:ascii="Times New Roman"/>
                <w:b w:val="false"/>
                <w:i w:val="false"/>
                <w:color w:val="000000"/>
                <w:sz w:val="20"/>
              </w:rPr>
              <w:t>
   12.2.2.1.3. Другие меры минимизации риска</w:t>
            </w:r>
          </w:p>
          <w:p>
            <w:pPr>
              <w:spacing w:after="20"/>
              <w:ind w:left="20"/>
              <w:jc w:val="both"/>
            </w:pPr>
            <w:r>
              <w:rPr>
                <w:rFonts w:ascii="Times New Roman"/>
                <w:b w:val="false"/>
                <w:i w:val="false"/>
                <w:color w:val="000000"/>
                <w:sz w:val="20"/>
              </w:rPr>
              <w:t>
   1) программа предотвращения беременности;</w:t>
            </w:r>
          </w:p>
          <w:p>
            <w:pPr>
              <w:spacing w:after="20"/>
              <w:ind w:left="20"/>
              <w:jc w:val="both"/>
            </w:pPr>
            <w:r>
              <w:rPr>
                <w:rFonts w:ascii="Times New Roman"/>
                <w:b w:val="false"/>
                <w:i w:val="false"/>
                <w:color w:val="000000"/>
                <w:sz w:val="20"/>
              </w:rPr>
              <w:t>
   Программа предотвращения беременности представляет собой совокупность мер, направленных на минимизацию риска воздействия лекарственного препарата с известным или потенциальным тератогенным действием на плод в период беременности. Данная программа обеспечивает внедрение такого механизма контроля, чтобы пациенты женского пола не были беременными в начале терапии или не забеременели на протяжении курса лечения и (или) определенного промежутка времени после прекращения терапии. Программа предотвращения беременности также ориентирована на пациентов мужского пола в случае, если применение лекарственного препарата биологическим отцом имеет негативные последствия для исхода беременности.</w:t>
            </w:r>
          </w:p>
          <w:p>
            <w:pPr>
              <w:spacing w:after="20"/>
              <w:ind w:left="20"/>
              <w:jc w:val="both"/>
            </w:pPr>
            <w:r>
              <w:rPr>
                <w:rFonts w:ascii="Times New Roman"/>
                <w:b w:val="false"/>
                <w:i w:val="false"/>
                <w:color w:val="000000"/>
                <w:sz w:val="20"/>
              </w:rPr>
              <w:t>
   Программа предотвращения беременности сочетает применение образовательных инструментов и соответствующих инструментов контроля доступа к лекарственному препарату, Поэтому следующие элементы рассматривают как индивидуально, так и в совокупности при планировании программы предотвращения беременности:</w:t>
            </w:r>
          </w:p>
          <w:p>
            <w:pPr>
              <w:spacing w:after="20"/>
              <w:ind w:left="20"/>
              <w:jc w:val="both"/>
            </w:pPr>
            <w:r>
              <w:rPr>
                <w:rFonts w:ascii="Times New Roman"/>
                <w:b w:val="false"/>
                <w:i w:val="false"/>
                <w:color w:val="000000"/>
                <w:sz w:val="20"/>
              </w:rPr>
              <w:t>
   1. образовательные инструменты, направленные на работников системы здравоохранения и пациентов, в целях информирования в отношении тератогенного риска и необходимых действий для минимизации данного риска (руководство по использованию более чем одного метода контрацепции и руководство по различным видам контрацептивных средств); информация для пациента в отношении длительности периода, в течение которого избегают беременности после прекращения лечения;</w:t>
            </w:r>
          </w:p>
          <w:p>
            <w:pPr>
              <w:spacing w:after="20"/>
              <w:ind w:left="20"/>
              <w:jc w:val="both"/>
            </w:pPr>
            <w:r>
              <w:rPr>
                <w:rFonts w:ascii="Times New Roman"/>
                <w:b w:val="false"/>
                <w:i w:val="false"/>
                <w:color w:val="000000"/>
                <w:sz w:val="20"/>
              </w:rPr>
              <w:t>
   2. контролируемый доступ на уровне назначения или отпуска лекарственного препарата с обеспечением выполнения теста на беременность и контролем отрицательных результатов медицинским и фармацевтическим работником перед назначением или отпуском лекарственного препарата;</w:t>
            </w:r>
          </w:p>
          <w:p>
            <w:pPr>
              <w:spacing w:after="20"/>
              <w:ind w:left="20"/>
              <w:jc w:val="both"/>
            </w:pPr>
            <w:r>
              <w:rPr>
                <w:rFonts w:ascii="Times New Roman"/>
                <w:b w:val="false"/>
                <w:i w:val="false"/>
                <w:color w:val="000000"/>
                <w:sz w:val="20"/>
              </w:rPr>
              <w:t>
   3. ограничение максимального срока действия рецепта 30 дней;</w:t>
            </w:r>
          </w:p>
          <w:p>
            <w:pPr>
              <w:spacing w:after="20"/>
              <w:ind w:left="20"/>
              <w:jc w:val="both"/>
            </w:pPr>
            <w:r>
              <w:rPr>
                <w:rFonts w:ascii="Times New Roman"/>
                <w:b w:val="false"/>
                <w:i w:val="false"/>
                <w:color w:val="000000"/>
                <w:sz w:val="20"/>
              </w:rPr>
              <w:t>
   4. консультирование в случае непреднамеренной беременности и оценка исхода любой случайной беременности.</w:t>
            </w:r>
          </w:p>
          <w:p>
            <w:pPr>
              <w:spacing w:after="20"/>
              <w:ind w:left="20"/>
              <w:jc w:val="both"/>
            </w:pPr>
            <w:r>
              <w:rPr>
                <w:rFonts w:ascii="Times New Roman"/>
                <w:b w:val="false"/>
                <w:i w:val="false"/>
                <w:color w:val="000000"/>
                <w:sz w:val="20"/>
              </w:rPr>
              <w:t>
   Рассматривают целесообразность внедрения и дизайн регистра беременных для регистрации данных по всем пациенткам, которые забеременели в процессе лечения или в соответствующий период времени с момента окончания лечения, в частности, 3 месяца.</w:t>
            </w:r>
          </w:p>
          <w:p>
            <w:pPr>
              <w:spacing w:after="20"/>
              <w:ind w:left="20"/>
              <w:jc w:val="both"/>
            </w:pPr>
            <w:r>
              <w:rPr>
                <w:rFonts w:ascii="Times New Roman"/>
                <w:b w:val="false"/>
                <w:i w:val="false"/>
                <w:color w:val="000000"/>
                <w:sz w:val="20"/>
              </w:rPr>
              <w:t>
   2) непосредственное обращение к работникам системы здравоохранения;</w:t>
            </w:r>
          </w:p>
          <w:p>
            <w:pPr>
              <w:spacing w:after="20"/>
              <w:ind w:left="20"/>
              <w:jc w:val="both"/>
            </w:pPr>
            <w:r>
              <w:rPr>
                <w:rFonts w:ascii="Times New Roman"/>
                <w:b w:val="false"/>
                <w:i w:val="false"/>
                <w:color w:val="000000"/>
                <w:sz w:val="20"/>
              </w:rPr>
              <w:t>
   Непосредственное обращение к работникам системы здравоохранения является активной формой информирования, посредством которой важная информация по безопасности предоставляется непосредственно определенным специалистам системы здравоохранения держателем регистрационного удостоверения или уполномоченным органом в целях информирования о необходимости предпринять серьезные действия или адаптировать принятую медицинскую практику с целью минимизации определенных рисков и (или) снижения тяжести нежелательных реакций лекарственного препарата (см. раздел 11).</w:t>
            </w:r>
          </w:p>
          <w:p>
            <w:pPr>
              <w:spacing w:after="20"/>
              <w:ind w:left="20"/>
              <w:jc w:val="both"/>
            </w:pPr>
            <w:r>
              <w:rPr>
                <w:rFonts w:ascii="Times New Roman"/>
                <w:b w:val="false"/>
                <w:i w:val="false"/>
                <w:color w:val="000000"/>
                <w:sz w:val="20"/>
              </w:rPr>
              <w:t>
   12.2.3. Выполнение мер минимизации рисков</w:t>
            </w:r>
          </w:p>
          <w:p>
            <w:pPr>
              <w:spacing w:after="20"/>
              <w:ind w:left="20"/>
              <w:jc w:val="both"/>
            </w:pPr>
            <w:r>
              <w:rPr>
                <w:rFonts w:ascii="Times New Roman"/>
                <w:b w:val="false"/>
                <w:i w:val="false"/>
                <w:color w:val="000000"/>
                <w:sz w:val="20"/>
              </w:rPr>
              <w:t>
   Дополнительные меры минимизации риска включают одну или более активных мер, которая внедрена и выполняется в определенной целевой аудитории. Надлежащее внимание уделяется как временным рамкам реализации меры минимизации риска, так и процедурам, направленным на достижение целей в целевой группе. В частности, однократное выполнение образовательных инструментов (методов) "перед запуском" программы по реализации мер является недостаточным для обеспечения того, чтобы охватить информацией всех потенциальных медицинских работников, выписывающих лекарственный препарат, и (или) потребителей, в том числе новых медицинских работников и потребителей. Вероятно возникновение в дополнительном периодическом перераспределении инструментов (методов) после запуска программы по реализации мер. Надлежащее внимание уделяется общему формату образовательных инструментов (методов) для обеспечения четкого различия от любого рода рекламных материалов. Представление образовательных материалов для согласования в уполномоченный орган осуществляеться отдельно от передачи рекламного материала, при этом в сопроводительном письме обозначается, являются ли материалы рекламными или образовательными. Образовательные материалы следует распространять отдельно от рекламных материалов, они содержат указание, что материал не является рекламным. Механизмы обеспечения качества гарантируют, что имеющиеся системы распространения соответствуют поставленной цели меры минимизации риска и являются контролируемыми.</w:t>
            </w:r>
          </w:p>
          <w:p>
            <w:pPr>
              <w:spacing w:after="20"/>
              <w:ind w:left="20"/>
              <w:jc w:val="both"/>
            </w:pPr>
            <w:r>
              <w:rPr>
                <w:rFonts w:ascii="Times New Roman"/>
                <w:b w:val="false"/>
                <w:i w:val="false"/>
                <w:color w:val="000000"/>
                <w:sz w:val="20"/>
              </w:rPr>
              <w:t>
   12.2.4. Эффективность мер минимизации риска</w:t>
            </w:r>
          </w:p>
          <w:p>
            <w:pPr>
              <w:spacing w:after="20"/>
              <w:ind w:left="20"/>
              <w:jc w:val="both"/>
            </w:pPr>
            <w:r>
              <w:rPr>
                <w:rFonts w:ascii="Times New Roman"/>
                <w:b w:val="false"/>
                <w:i w:val="false"/>
                <w:color w:val="000000"/>
                <w:sz w:val="20"/>
              </w:rPr>
              <w:t xml:space="preserve">
   Оценка эффективности мер минимизации риска является необходимой для установления эффективности активных мер минимизации риска, причин неэффективности, а также необходимости корректирующих действий. Оценка эффективности выполняется по каждой мере минимизации риска и для программы в целом. </w:t>
            </w:r>
          </w:p>
          <w:p>
            <w:pPr>
              <w:spacing w:after="20"/>
              <w:ind w:left="20"/>
              <w:jc w:val="both"/>
            </w:pPr>
            <w:r>
              <w:rPr>
                <w:rFonts w:ascii="Times New Roman"/>
                <w:b w:val="false"/>
                <w:i w:val="false"/>
                <w:color w:val="000000"/>
                <w:sz w:val="20"/>
              </w:rPr>
              <w:t>
   Оценка эффективности мер рассматривает различные аспекты выполняемой меры минимизации риска: сам процесс (т.е. степень выполнения запланированной программы), ее воздействие на осведомленность и изменения в поведении целевой группы, а также результат (т.е. в какой степени достигнуты предварительно определенные цели минимизации риска, за короткий или длительный срок). Время оценки каждого аспекта активной меры тщательно планируется в рамках ПУР до инициирования мер.</w:t>
            </w:r>
          </w:p>
          <w:p>
            <w:pPr>
              <w:spacing w:after="20"/>
              <w:ind w:left="20"/>
              <w:jc w:val="both"/>
            </w:pPr>
            <w:r>
              <w:rPr>
                <w:rFonts w:ascii="Times New Roman"/>
                <w:b w:val="false"/>
                <w:i w:val="false"/>
                <w:color w:val="000000"/>
                <w:sz w:val="20"/>
              </w:rPr>
              <w:t>
   Для оценки эффективности мер по минимизации риска используют две группы показателей:</w:t>
            </w:r>
          </w:p>
          <w:p>
            <w:pPr>
              <w:spacing w:after="20"/>
              <w:ind w:left="20"/>
              <w:jc w:val="both"/>
            </w:pPr>
            <w:r>
              <w:rPr>
                <w:rFonts w:ascii="Times New Roman"/>
                <w:b w:val="false"/>
                <w:i w:val="false"/>
                <w:color w:val="000000"/>
                <w:sz w:val="20"/>
              </w:rPr>
              <w:t>
   1) показатели процесса;</w:t>
            </w:r>
          </w:p>
          <w:p>
            <w:pPr>
              <w:spacing w:after="20"/>
              <w:ind w:left="20"/>
              <w:jc w:val="both"/>
            </w:pPr>
            <w:r>
              <w:rPr>
                <w:rFonts w:ascii="Times New Roman"/>
                <w:b w:val="false"/>
                <w:i w:val="false"/>
                <w:color w:val="000000"/>
                <w:sz w:val="20"/>
              </w:rPr>
              <w:t>
   2) показатели результата.</w:t>
            </w:r>
          </w:p>
          <w:p>
            <w:pPr>
              <w:spacing w:after="20"/>
              <w:ind w:left="20"/>
              <w:jc w:val="both"/>
            </w:pPr>
            <w:r>
              <w:rPr>
                <w:rFonts w:ascii="Times New Roman"/>
                <w:b w:val="false"/>
                <w:i w:val="false"/>
                <w:color w:val="000000"/>
                <w:sz w:val="20"/>
              </w:rPr>
              <w:t>
   Показатели процесса нужны для сбора доказательств успешности осуществления всех этапов мер минимизации риска. Данная группа показателей процесса обеспечивает оценку степени выполнения запланированной программы и достижение требуемого влияния на поведение (действия) целевой группы. Показатели выполнения программы определяются заранее и отслеживают на протяжении выполнения программы. Полученные данные и опыт используются для оптимизации корректирующих действий в случае их необходимости. Оценка выполнения процесса улучшает понимание процессов и причинных механизмов, в силу которых дополнительные меры минимизации риска позволили или нет добиться желаемого контроля специфических рисков.</w:t>
            </w:r>
          </w:p>
          <w:p>
            <w:pPr>
              <w:spacing w:after="20"/>
              <w:ind w:left="20"/>
              <w:jc w:val="both"/>
            </w:pPr>
            <w:r>
              <w:rPr>
                <w:rFonts w:ascii="Times New Roman"/>
                <w:b w:val="false"/>
                <w:i w:val="false"/>
                <w:color w:val="000000"/>
                <w:sz w:val="20"/>
              </w:rPr>
              <w:t>
   Показатели результата обеспечивают общую оценку степени контроля риска, достигнутого посредством внедренных мер минимизации риска. В частности, когда целью оперативной меры является снижение частоты и (или) тяжести нежелательной реакции, конечный критерий успеха привязан к данной цели.</w:t>
            </w:r>
          </w:p>
          <w:p>
            <w:pPr>
              <w:spacing w:after="20"/>
              <w:ind w:left="20"/>
              <w:jc w:val="both"/>
            </w:pPr>
            <w:r>
              <w:rPr>
                <w:rFonts w:ascii="Times New Roman"/>
                <w:b w:val="false"/>
                <w:i w:val="false"/>
                <w:color w:val="000000"/>
                <w:sz w:val="20"/>
              </w:rPr>
              <w:t>
   По результатам процедуры оценки эффективности мер минимизации риска делается вывод о возможности дальнейшего выполнения оцениваемой меры минимизации риска без изменений, либо о необходимости внесения изменений в выполняемую деятельность. Оценка эффективности мер минимизации риска свидетельствует, что деятельность по минимизация риска является недостаточной и подлежит усилению (посредством внесения изменений в предостережения или рекомендации в инструкцию по медицинскому применению или листок-вкладыш, посредством улучшения четкости рекомендаций по минимизации риска и (или) подключением дополнительных инструментов по минимизации риска или улучшением существующих). Иным результатом процедуры оценки является определение несоответствия мер минимизации риска, либо отсутствия в ней требуемой направленности, в связи с чем уменьшается объем работ по программе или ее рассмотрению, ее упрощению (уменьшив число инструментов (методов) по минимизации риска или частоту выполнения элементов мер).</w:t>
            </w:r>
          </w:p>
          <w:p>
            <w:pPr>
              <w:spacing w:after="20"/>
              <w:ind w:left="20"/>
              <w:jc w:val="both"/>
            </w:pPr>
            <w:r>
              <w:rPr>
                <w:rFonts w:ascii="Times New Roman"/>
                <w:b w:val="false"/>
                <w:i w:val="false"/>
                <w:color w:val="000000"/>
                <w:sz w:val="20"/>
              </w:rPr>
              <w:t>
   В дополнение к оценке эффективности мер минимизации риска в управлении проблемами по безопасности также очень важно оценить, о возможности дополнительной меры минимизации риска иметь непреднамеренные (негативные) последствия для рассматриваемой проблемы здоровья населения на приближенном или отдаленном временном интервале.</w:t>
            </w:r>
          </w:p>
          <w:p>
            <w:pPr>
              <w:spacing w:after="20"/>
              <w:ind w:left="20"/>
              <w:jc w:val="both"/>
            </w:pPr>
            <w:r>
              <w:rPr>
                <w:rFonts w:ascii="Times New Roman"/>
                <w:b w:val="false"/>
                <w:i w:val="false"/>
                <w:color w:val="000000"/>
                <w:sz w:val="20"/>
              </w:rPr>
              <w:t>
   12.2.4.1. Показатели процесса</w:t>
            </w:r>
          </w:p>
          <w:p>
            <w:pPr>
              <w:spacing w:after="20"/>
              <w:ind w:left="20"/>
              <w:jc w:val="both"/>
            </w:pPr>
            <w:r>
              <w:rPr>
                <w:rFonts w:ascii="Times New Roman"/>
                <w:b w:val="false"/>
                <w:i w:val="false"/>
                <w:color w:val="000000"/>
                <w:sz w:val="20"/>
              </w:rPr>
              <w:t>
   Показатели процесса являются параметрами оценки объема выполнения изначальной программы, и (или) изменений в ее выполнении. Показатели процесса дополняют, а не замещать оценку достижения намеченных целей посредством реализации мер минимизации риска (т.е. показатели результата). В зависимости от характера активных мер, различные показатели процесса определяются для оценки их эффективности.</w:t>
            </w:r>
          </w:p>
          <w:p>
            <w:pPr>
              <w:spacing w:after="20"/>
              <w:ind w:left="20"/>
              <w:jc w:val="both"/>
            </w:pPr>
            <w:r>
              <w:rPr>
                <w:rFonts w:ascii="Times New Roman"/>
                <w:b w:val="false"/>
                <w:i w:val="false"/>
                <w:color w:val="000000"/>
                <w:sz w:val="20"/>
              </w:rPr>
              <w:t>
   12.2.4.1.1. Достижение целевой популяции</w:t>
            </w:r>
          </w:p>
          <w:p>
            <w:pPr>
              <w:spacing w:after="20"/>
              <w:ind w:left="20"/>
              <w:jc w:val="both"/>
            </w:pPr>
            <w:r>
              <w:rPr>
                <w:rFonts w:ascii="Times New Roman"/>
                <w:b w:val="false"/>
                <w:i w:val="false"/>
                <w:color w:val="000000"/>
                <w:sz w:val="20"/>
              </w:rPr>
              <w:t>
   Когда меры минимизации риска включают предоставление информации и руководств для работников системы здравоохранения и (или) пациентов посредством образовательных методов, используют меры оценки распространения информации для получения базовых данных по выполнению. Данные показатели ориентированы на оценку соответствия используемого инструмента для целевой аудитории (соответствующий язык, рисунки, диаграммы или иная графическая поддержка) или оценку фактического получения материалов целевой группой.</w:t>
            </w:r>
          </w:p>
          <w:p>
            <w:pPr>
              <w:spacing w:after="20"/>
              <w:ind w:left="20"/>
              <w:jc w:val="both"/>
            </w:pPr>
            <w:r>
              <w:rPr>
                <w:rFonts w:ascii="Times New Roman"/>
                <w:b w:val="false"/>
                <w:i w:val="false"/>
                <w:color w:val="000000"/>
                <w:sz w:val="20"/>
              </w:rPr>
              <w:t>
   12.2.4.1.2. Оценка клинических знаний</w:t>
            </w:r>
          </w:p>
          <w:p>
            <w:pPr>
              <w:spacing w:after="20"/>
              <w:ind w:left="20"/>
              <w:jc w:val="both"/>
            </w:pPr>
            <w:r>
              <w:rPr>
                <w:rFonts w:ascii="Times New Roman"/>
                <w:b w:val="false"/>
                <w:i w:val="false"/>
                <w:color w:val="000000"/>
                <w:sz w:val="20"/>
              </w:rPr>
              <w:t xml:space="preserve">
   В целях оценки осведомленности целевой аудитории и уровня знаний, полученных посредством образовательных оперативных мер и (или) предоставления информации (посредством инструкции по медицинскому применению), применяются строгие научные методы аналитических опросов. </w:t>
            </w:r>
          </w:p>
          <w:p>
            <w:pPr>
              <w:spacing w:after="20"/>
              <w:ind w:left="20"/>
              <w:jc w:val="both"/>
            </w:pPr>
            <w:r>
              <w:rPr>
                <w:rFonts w:ascii="Times New Roman"/>
                <w:b w:val="false"/>
                <w:i w:val="false"/>
                <w:color w:val="000000"/>
                <w:sz w:val="20"/>
              </w:rPr>
              <w:t xml:space="preserve">
   Аналитический опрос включает основные стандартные вопросы, задаваемые по телефону, в личном интервью или самостоятельно отправленные по почте (электронной почте), которые время от времени повторяются. Такой подход адаптируется к контролю отношения и осведомленности в репрезентативных группах работников системы здравоохранения и (или) пациентов посредством соответствующих психометрических величин. Для выполнения оценки следует определить адекватный объем выборки, включение в которую выполнять с использованием рандомизации. </w:t>
            </w:r>
          </w:p>
          <w:p>
            <w:pPr>
              <w:spacing w:after="20"/>
              <w:ind w:left="20"/>
              <w:jc w:val="both"/>
            </w:pPr>
            <w:r>
              <w:rPr>
                <w:rFonts w:ascii="Times New Roman"/>
                <w:b w:val="false"/>
                <w:i w:val="false"/>
                <w:color w:val="000000"/>
                <w:sz w:val="20"/>
              </w:rPr>
              <w:t>
   Надлежащее внимание уделяют целям аналитического опроса, дизайну исследования, объему выборки и репрезентативности, операционным определениям зависимых и независимых переменных, а также статистическому анализу. Тщательное внимание уделяется выбору наиболее соответствующих инструментов по сбору данных (анкеты, опросники).</w:t>
            </w:r>
          </w:p>
          <w:p>
            <w:pPr>
              <w:spacing w:after="20"/>
              <w:ind w:left="20"/>
              <w:jc w:val="both"/>
            </w:pPr>
            <w:r>
              <w:rPr>
                <w:rFonts w:ascii="Times New Roman"/>
                <w:b w:val="false"/>
                <w:i w:val="false"/>
                <w:color w:val="000000"/>
                <w:sz w:val="20"/>
              </w:rPr>
              <w:t>
   12.2.4.1.3. Оценка клинических действий</w:t>
            </w:r>
          </w:p>
          <w:p>
            <w:pPr>
              <w:spacing w:after="20"/>
              <w:ind w:left="20"/>
              <w:jc w:val="both"/>
            </w:pPr>
            <w:r>
              <w:rPr>
                <w:rFonts w:ascii="Times New Roman"/>
                <w:b w:val="false"/>
                <w:i w:val="false"/>
                <w:color w:val="000000"/>
                <w:sz w:val="20"/>
              </w:rPr>
              <w:t xml:space="preserve">
   В целях оценки эффективности образовательных оперативных мер и (или) информационного обеспечения, определяют не только клинические знания, но и вытекающие из знаний клинические действия (назначение лекарственного препарата). Исследования по использованию лекарственного препарата посредством вторичного использования данных электронных медицинских карт рассматривают как ценный инструмент для количественной оценки клинических действий для представителя целевой группы. Анализ листов назначения лекарственных препаратов, особенно во взаимосвязи с другими данными пациентов (в частности, клинические и демографические данные), обеспечивает оценку назначения лекарственных препаратов, включая совместное назначение двух взаимодействующих лекарственных препаратов, соответствие рекомендациям по лабораторному мониторингу, а также выбор и контроль состояния пациента. Применяя соответствующие статистические методы (анализ динамических рядов, анализы выживаемости, логистическая регрессия) для когорты потребителей лекарственных препаратов делают оценку различных аспектов назначения или применения лекарственных препаратов, что обеспечивает понимание за рамками исключительно описательных доказательств. </w:t>
            </w:r>
          </w:p>
          <w:p>
            <w:pPr>
              <w:spacing w:after="20"/>
              <w:ind w:left="20"/>
              <w:jc w:val="both"/>
            </w:pPr>
            <w:r>
              <w:rPr>
                <w:rFonts w:ascii="Times New Roman"/>
                <w:b w:val="false"/>
                <w:i w:val="false"/>
                <w:color w:val="000000"/>
                <w:sz w:val="20"/>
              </w:rPr>
              <w:t>
   12.2.4.2. Показатели результата</w:t>
            </w:r>
          </w:p>
          <w:p>
            <w:pPr>
              <w:spacing w:after="20"/>
              <w:ind w:left="20"/>
              <w:jc w:val="both"/>
            </w:pPr>
            <w:r>
              <w:rPr>
                <w:rFonts w:ascii="Times New Roman"/>
                <w:b w:val="false"/>
                <w:i w:val="false"/>
                <w:color w:val="000000"/>
                <w:sz w:val="20"/>
              </w:rPr>
              <w:t>
   Конечными индикаторами успешности программы минимизации риска являются результаты безопасности, т.е. частота и (или) тяжесть нежелательных реакций в связи с воздействием лекарственных препаратов на пациента вне рамок интервенционного исследования (т.е. в рамках неинтервенционного исследования), данные результаты по безопасности являются индикаторами результата. Оценка, основанная на данных показателях, включают сравнение эпидемиологических мер частотности результата, такие как показатель частоты или кумулятивной частоты нежелательной реакции, полученный в контексте исследований безопасности на пострегистрационном этапе. В соответствии с любым подходом строгие научные и признанные принципы эпидемиологического исследования всегда являются руководством для оценки конечного рассматриваемого показателя результата. Учитывают сравнение частоты до и после выполнения мер минимизации риска. Когда выполнение оценки и расчета до и после выполнения мер является практически неосуществимым (в частности, меры минимизации риска были введены в действие в момент получения регистрационного удостоверения), показатель частоты исхода, полученный на этапе после выполнения мер, соотносится с заранее определенным референтным значением, полученным из литературных источников, ретроспективных данных медицинских карт пациентов, ожидаемой частоты в общей популяции (наблюдаемый анализ в сравнении с предполагаемым) и учитывается возможный эффект стимулирования репортирования. Выбор группы сравнения обосновывается надлежащим образом.</w:t>
            </w:r>
          </w:p>
          <w:p>
            <w:pPr>
              <w:spacing w:after="20"/>
              <w:ind w:left="20"/>
              <w:jc w:val="both"/>
            </w:pPr>
            <w:r>
              <w:rPr>
                <w:rFonts w:ascii="Times New Roman"/>
                <w:b w:val="false"/>
                <w:i w:val="false"/>
                <w:color w:val="000000"/>
                <w:sz w:val="20"/>
              </w:rPr>
              <w:t>
   Уровень спонтанного репортирования (т.е. число сообщений о подозреваемых нежелательных реакциях за фиксированный период времени) не следует рассматривать как приемлемую оценку частоты нежелательных явлений в популяции, получающей лечение, за исключением особых обстоятельств, когда базисная частота нежелательного явления в группе незначительная и существует выраженная взаимосвязь между лечением и нежелательной реакцией. При таких обстоятельствах, когда прямое определение степени риска в рассматриваемой группе является практически неосуществимым, спонтанные сообщения позволяют сделать предположение относительно приблизительного значения частоты нежелательной реакции в группе, при условии, что некоторые разумно обоснованные данные получены для оценки показателя уровня репортирования в контексте применения лекарственного препарата. Однако, характерные погрешности, которые влияют на уровень репортирования в отношении предполагаемых нежелательных реакций, приводят к результатам, вводящим в заблуждение. В частности, введение программы минимизации риска как реакция на проблему по безопасности, выявленную на этапе пострегистрационного мониторинга лекарственного препарата, способствует повышению осведомленности в отношении определенных нежелательных реакций, что, в конечном счете, приводит к повышенному показателю репортирования. При таких обстоятельствах анализ спонтанного репортированияи приводит к ошибочному заключению, что вмешательство оказалось неэффективным. Сниженные показатели отчетности за определенный временной промежуток приводят к ошибочному заключению, что вмешательство оказалось эффективным.</w:t>
            </w:r>
          </w:p>
          <w:p>
            <w:pPr>
              <w:spacing w:after="20"/>
              <w:ind w:left="20"/>
              <w:jc w:val="both"/>
            </w:pPr>
            <w:r>
              <w:rPr>
                <w:rFonts w:ascii="Times New Roman"/>
                <w:b w:val="false"/>
                <w:i w:val="false"/>
                <w:color w:val="000000"/>
                <w:sz w:val="20"/>
              </w:rPr>
              <w:t>
   12.2.5. Координация</w:t>
            </w:r>
          </w:p>
          <w:p>
            <w:pPr>
              <w:spacing w:after="20"/>
              <w:ind w:left="20"/>
              <w:jc w:val="both"/>
            </w:pPr>
            <w:r>
              <w:rPr>
                <w:rFonts w:ascii="Times New Roman"/>
                <w:b w:val="false"/>
                <w:i w:val="false"/>
                <w:color w:val="000000"/>
                <w:sz w:val="20"/>
              </w:rPr>
              <w:t>
   Если несколько лекарственных препаратов, в том числе лекарственные препараты, с одинаковым действующим веществом, имеются в наличии на рынке, вырабатывается целостный подход в применении дополнительных мер минимизации риска, предусмотренный уполномоченным органом. Когда возникает необходимость в координационных действиях для группы лекарственных препаратов, соответствующим образом вырабатывается согласованный подход. При таких обстоятельствах предварительное планирование обеспечивает, чтобы эффективность мер минимизации риска оценивалась для каждого отдельного лекарственного препарата, а также для лекарственных препаратов в совокупности.</w:t>
            </w:r>
          </w:p>
          <w:p>
            <w:pPr>
              <w:spacing w:after="20"/>
              <w:ind w:left="20"/>
              <w:jc w:val="both"/>
            </w:pPr>
            <w:r>
              <w:rPr>
                <w:rFonts w:ascii="Times New Roman"/>
                <w:b w:val="false"/>
                <w:i w:val="false"/>
                <w:color w:val="000000"/>
                <w:sz w:val="20"/>
              </w:rPr>
              <w:t>
   12.2.6. Системы качества мер минимизации риска</w:t>
            </w:r>
          </w:p>
          <w:p>
            <w:pPr>
              <w:spacing w:after="20"/>
              <w:ind w:left="20"/>
              <w:jc w:val="both"/>
            </w:pPr>
            <w:r>
              <w:rPr>
                <w:rFonts w:ascii="Times New Roman"/>
                <w:b w:val="false"/>
                <w:i w:val="false"/>
                <w:color w:val="000000"/>
                <w:sz w:val="20"/>
              </w:rPr>
              <w:t>
   Хотя в разработку и осуществление мер минимизации риска вовлечены многие эксперты, окончательная ответственность за качество, точность и научную целостность таких мер возлагается на держателя регистрационного удостоверения и лица уполномоченного по фармаконадзору на территории Республики Казахстан.</w:t>
            </w:r>
          </w:p>
          <w:p>
            <w:pPr>
              <w:spacing w:after="20"/>
              <w:ind w:left="20"/>
              <w:jc w:val="both"/>
            </w:pPr>
            <w:r>
              <w:rPr>
                <w:rFonts w:ascii="Times New Roman"/>
                <w:b w:val="false"/>
                <w:i w:val="false"/>
                <w:color w:val="000000"/>
                <w:sz w:val="20"/>
              </w:rPr>
              <w:t>
   Держатель регистрационного удостоверения обеспечивает обновление плана управления рисками в случае появления новой информации, а также применяет принципы качества, детально изложенные в разделе 2 настоящего Стандарта. Отслеживаемые версии плана управления рисками передаются на рассмотрение и выполнение оценки уполномоченным органом. Данные отчеты, ПУР и включенные в план системы управления риском, также как и любые документы в отношении мер по минимизации риска, подвергаются аудиту или инспектированию.</w:t>
            </w:r>
          </w:p>
          <w:p>
            <w:pPr>
              <w:spacing w:after="20"/>
              <w:ind w:left="20"/>
              <w:jc w:val="both"/>
            </w:pPr>
            <w:r>
              <w:rPr>
                <w:rFonts w:ascii="Times New Roman"/>
                <w:b w:val="false"/>
                <w:i w:val="false"/>
                <w:color w:val="000000"/>
                <w:sz w:val="20"/>
              </w:rPr>
              <w:t>
   Держатель регистрационного удостоверения обеспечивает, чтобы механизмы отчетности по результатам исследований или анализов по оценке эффективности мер минимизации риска подтверждались документально. Данные документы подвергаются аудиту или инспекции.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Ответственность уполномоченного органа, уполномоченной организации</w:t>
            </w:r>
          </w:p>
          <w:p>
            <w:pPr>
              <w:spacing w:after="20"/>
              <w:ind w:left="20"/>
              <w:jc w:val="both"/>
            </w:pPr>
            <w:r>
              <w:rPr>
                <w:rFonts w:ascii="Times New Roman"/>
                <w:b w:val="false"/>
                <w:i w:val="false"/>
                <w:color w:val="000000"/>
                <w:sz w:val="20"/>
              </w:rPr>
              <w:t>
   Уполномоченный орган обеспечивает осуществление дополнительных мер минимизации риска, налагаемых как условие по безопасному и эффективному использованию лекарственного препарата.</w:t>
            </w:r>
          </w:p>
          <w:p>
            <w:pPr>
              <w:spacing w:after="20"/>
              <w:ind w:left="20"/>
              <w:jc w:val="both"/>
            </w:pPr>
            <w:r>
              <w:rPr>
                <w:rFonts w:ascii="Times New Roman"/>
                <w:b w:val="false"/>
                <w:i w:val="false"/>
                <w:color w:val="000000"/>
                <w:sz w:val="20"/>
              </w:rPr>
              <w:t xml:space="preserve">
   В отношении мер минимизации риска, которые были введены после выдачи регистрационного удостоверения, уполномоченная организация обеспечивает оперативное рассмотрение и согласование представленных мер держателем регистрационного удостоверения. </w:t>
            </w:r>
          </w:p>
          <w:p>
            <w:pPr>
              <w:spacing w:after="20"/>
              <w:ind w:left="20"/>
              <w:jc w:val="both"/>
            </w:pPr>
            <w:r>
              <w:rPr>
                <w:rFonts w:ascii="Times New Roman"/>
                <w:b w:val="false"/>
                <w:i w:val="false"/>
                <w:color w:val="000000"/>
                <w:sz w:val="20"/>
              </w:rPr>
              <w:t>
   Уполномоченный орган при необходимости оказывает содействие согласованию внедряемых мер минимизации риска для генерических лекарственных препаратов с одинаковым действующим веществом. В случае необходимости введения дополнительных мер минимизации риска для генерических лекарственных препаратов, обусловленных проблемами по безопасности действующего вещества, меры минимизации риска, применяемые к генерическим лекарственным препаратам, приводят в соответствие с мерами минимизации риска для оригинального лекарственного препарата.</w:t>
            </w:r>
          </w:p>
          <w:p>
            <w:pPr>
              <w:spacing w:after="20"/>
              <w:ind w:left="20"/>
              <w:jc w:val="both"/>
            </w:pPr>
            <w:r>
              <w:rPr>
                <w:rFonts w:ascii="Times New Roman"/>
                <w:b w:val="false"/>
                <w:i w:val="false"/>
                <w:color w:val="000000"/>
                <w:sz w:val="20"/>
              </w:rPr>
              <w:t>
   Уполномоченный орган обеспечивает применение любого инструмента (метода) по минимизации риска. Уполномоченная организация согласовывает с держателем регистрационного удостоверения формат и средства инструментов (методов) минимизации риска, включая печатные материалы, интернет-платформы и иные аудио-видео средства, а также планирование (график) оперативных мер перед выходом лекарственного препарата на их рынок или в любое иное время в случае необходимости.</w:t>
            </w:r>
          </w:p>
          <w:p>
            <w:pPr>
              <w:spacing w:after="20"/>
              <w:ind w:left="20"/>
              <w:jc w:val="both"/>
            </w:pPr>
            <w:r>
              <w:rPr>
                <w:rFonts w:ascii="Times New Roman"/>
                <w:b w:val="false"/>
                <w:i w:val="false"/>
                <w:color w:val="000000"/>
                <w:sz w:val="20"/>
              </w:rPr>
              <w:t>
   Уполномоченный орган принимает самостоятельное решение в отношении выбора соответствующих образовательных материалов и (или) иных инструментов (методов) по минимизации риска. Уполномоченный орган осуществляет контроль результатов введения мер минимизации риска.</w:t>
            </w:r>
          </w:p>
          <w:p>
            <w:pPr>
              <w:spacing w:after="20"/>
              <w:ind w:left="20"/>
              <w:jc w:val="both"/>
            </w:pPr>
            <w:r>
              <w:rPr>
                <w:rFonts w:ascii="Times New Roman"/>
                <w:b w:val="false"/>
                <w:i w:val="false"/>
                <w:color w:val="000000"/>
                <w:sz w:val="20"/>
              </w:rPr>
              <w:t>
   </w:t>
            </w:r>
            <w:r>
              <w:rPr>
                <w:rFonts w:ascii="Times New Roman"/>
                <w:b/>
                <w:i w:val="false"/>
                <w:color w:val="000000"/>
                <w:sz w:val="20"/>
              </w:rPr>
              <w:t>12.4. Ответственность держателей регистрационных удостоверений</w:t>
            </w:r>
          </w:p>
          <w:p>
            <w:pPr>
              <w:spacing w:after="20"/>
              <w:ind w:left="20"/>
              <w:jc w:val="both"/>
            </w:pPr>
            <w:r>
              <w:rPr>
                <w:rFonts w:ascii="Times New Roman"/>
                <w:b w:val="false"/>
                <w:i w:val="false"/>
                <w:color w:val="000000"/>
                <w:sz w:val="20"/>
              </w:rPr>
              <w:t>
   Держатель регистрационного удостоверения четко определяет цели предложенных дополнительных мер минимизации риска и показатели оценки их эффективности. Любые дополнительные оперативные меры минимизации риска разрабатываются в соответствии с общими принципами, сформулированными в разделах 12.2.1 и 12.2.2, и имеют полное документальное подтверждение в программе минимизации риска.</w:t>
            </w:r>
          </w:p>
          <w:p>
            <w:pPr>
              <w:spacing w:after="20"/>
              <w:ind w:left="20"/>
              <w:jc w:val="both"/>
            </w:pPr>
            <w:r>
              <w:rPr>
                <w:rFonts w:ascii="Times New Roman"/>
                <w:b w:val="false"/>
                <w:i w:val="false"/>
                <w:color w:val="000000"/>
                <w:sz w:val="20"/>
              </w:rPr>
              <w:t>
   В отношении генерических лекарственных препаратов держатель регистрационного удостоверения разрабатывает меры минимизации риска в соответствии с объемом, направленностью, содержанием и форматом инструментов (методов) применяемых для оригинального лекарственного препарата. Составление графика и планирование оперативных мер надлежащим образом координируются в целях минимизации нагрузки на системы здравоохранения.</w:t>
            </w:r>
          </w:p>
          <w:p>
            <w:pPr>
              <w:spacing w:after="20"/>
              <w:ind w:left="20"/>
              <w:jc w:val="both"/>
            </w:pPr>
            <w:r>
              <w:rPr>
                <w:rFonts w:ascii="Times New Roman"/>
                <w:b w:val="false"/>
                <w:i w:val="false"/>
                <w:color w:val="000000"/>
                <w:sz w:val="20"/>
              </w:rPr>
              <w:t>
   Оценка эффективности мер минимизации риска в отношении генерических лекарственных препаратов проводится держателем регистрационного удостоверения в тесном сотрудничестве с уполномоченной организацией. В случае обоснованности проведения исследований, в целях минимизации нагрузки на системы здравоохранения настоятельно рекомендуется проведение совместных исследований. В частности, если назначено проведение проспективного когортного исследования, включение в исследование является независимым от назначения лекарственного препарата с определенным торговым наименованием или от определенного производителя лекарственного препарата. В этих случаях регистрация данных определенного лекарственного препарата является важной в целях быстрой идентификации любого нового риска, присущего конкретному лекарственному препарату.</w:t>
            </w:r>
          </w:p>
          <w:p>
            <w:pPr>
              <w:spacing w:after="20"/>
              <w:ind w:left="20"/>
              <w:jc w:val="both"/>
            </w:pPr>
            <w:r>
              <w:rPr>
                <w:rFonts w:ascii="Times New Roman"/>
                <w:b w:val="false"/>
                <w:i w:val="false"/>
                <w:color w:val="000000"/>
                <w:sz w:val="20"/>
              </w:rPr>
              <w:t>
   Держатель регистрационного удостоверения контролирует результаты мер минимизации риска, которые включены в ПУР. Общие принципы оценки эффективности предусмотрены в п.12.2.4. настоящего раздела.</w:t>
            </w:r>
          </w:p>
          <w:p>
            <w:pPr>
              <w:spacing w:after="20"/>
              <w:ind w:left="20"/>
              <w:jc w:val="both"/>
            </w:pPr>
            <w:r>
              <w:rPr>
                <w:rFonts w:ascii="Times New Roman"/>
                <w:b w:val="false"/>
                <w:i w:val="false"/>
                <w:color w:val="000000"/>
                <w:sz w:val="20"/>
              </w:rPr>
              <w:t>
   Держатель регистрационного удостоверения представляет в уполномоченную организацию отчет в отношении оценки эффективности дополнительных мер минимизации риска, имеющих отношение к оценке соотношения польза-риск в ПОБ.</w:t>
            </w:r>
          </w:p>
          <w:p>
            <w:pPr>
              <w:spacing w:after="20"/>
              <w:ind w:left="20"/>
              <w:jc w:val="both"/>
            </w:pPr>
            <w:r>
              <w:rPr>
                <w:rFonts w:ascii="Times New Roman"/>
                <w:b w:val="false"/>
                <w:i w:val="false"/>
                <w:color w:val="000000"/>
                <w:sz w:val="20"/>
              </w:rPr>
              <w:t>
   Держатель регистрационного удостоверения обеспечивает своевременную связь с уполномоченным органом, уполномоченной организацией для выполнения соответствующей оценки и действий.</w:t>
            </w:r>
          </w:p>
          <w:p>
            <w:pPr>
              <w:spacing w:after="20"/>
              <w:ind w:left="20"/>
              <w:jc w:val="both"/>
            </w:pPr>
            <w:r>
              <w:rPr>
                <w:rFonts w:ascii="Times New Roman"/>
                <w:b w:val="false"/>
                <w:i w:val="false"/>
                <w:color w:val="000000"/>
                <w:sz w:val="20"/>
              </w:rPr>
              <w:t>
   </w:t>
            </w:r>
            <w:r>
              <w:rPr>
                <w:rFonts w:ascii="Times New Roman"/>
                <w:b/>
                <w:i w:val="false"/>
                <w:color w:val="000000"/>
                <w:sz w:val="20"/>
              </w:rPr>
              <w:t>12.5. Работники системы здравоохранения и пациенты</w:t>
            </w:r>
          </w:p>
          <w:p>
            <w:pPr>
              <w:spacing w:after="20"/>
              <w:ind w:left="20"/>
              <w:jc w:val="both"/>
            </w:pPr>
            <w:r>
              <w:rPr>
                <w:rFonts w:ascii="Times New Roman"/>
                <w:b w:val="false"/>
                <w:i w:val="false"/>
                <w:color w:val="000000"/>
                <w:sz w:val="20"/>
              </w:rPr>
              <w:t xml:space="preserve">
   Сотрудничество работников системы здравоохранения и пациентов является крайне важным фактором для успешного выполнения образовательных программ и (или) программ контролируемого доступа в целях оптимизации соотношения польза-риск. </w:t>
            </w:r>
          </w:p>
          <w:p>
            <w:pPr>
              <w:spacing w:after="20"/>
              <w:ind w:left="20"/>
              <w:jc w:val="both"/>
            </w:pPr>
            <w:r>
              <w:rPr>
                <w:rFonts w:ascii="Times New Roman"/>
                <w:b w:val="false"/>
                <w:i w:val="false"/>
                <w:color w:val="000000"/>
                <w:sz w:val="20"/>
              </w:rPr>
              <w:t>
   </w:t>
            </w:r>
            <w:r>
              <w:rPr>
                <w:rFonts w:ascii="Times New Roman"/>
                <w:b/>
                <w:i w:val="false"/>
                <w:color w:val="000000"/>
                <w:sz w:val="20"/>
              </w:rPr>
              <w:t>12.6 Влияние эффективности мер минимизации риска на ПУР ПОБ</w:t>
            </w:r>
          </w:p>
          <w:p>
            <w:pPr>
              <w:spacing w:after="20"/>
              <w:ind w:left="20"/>
              <w:jc w:val="both"/>
            </w:pPr>
            <w:r>
              <w:rPr>
                <w:rFonts w:ascii="Times New Roman"/>
                <w:b w:val="false"/>
                <w:i w:val="false"/>
                <w:color w:val="000000"/>
                <w:sz w:val="20"/>
              </w:rPr>
              <w:t xml:space="preserve">
   Обновления ПОБ и ПУР включают суммарную оценку результата дополнительных мер минимизации риска, введенных для уменьшения важных рисков, связанных с применением лекарственного препарата. В ПУР акцент делают на том, как выполняемая деятельность и ее результаты отражается на планировании мер минимизации риска и (или) фармаконадзора. В ПОБ делают оценку воздействия введенных мер на профиль безопасности и (или) соотношение польза-риск лекарственного препарата. В общем, акцент делают на информацию, которая получена в процессе отчетного периода или с момента осуществления самых недавних мер по минимизации риска. </w:t>
            </w:r>
          </w:p>
          <w:p>
            <w:pPr>
              <w:spacing w:after="20"/>
              <w:ind w:left="20"/>
              <w:jc w:val="both"/>
            </w:pPr>
            <w:r>
              <w:rPr>
                <w:rFonts w:ascii="Times New Roman"/>
                <w:b w:val="false"/>
                <w:i w:val="false"/>
                <w:color w:val="000000"/>
                <w:sz w:val="20"/>
              </w:rPr>
              <w:t>
   Результаты оценки эффективности мер минимизации риска во всех случаях подлежат включению в ПУР. Как часть такой критической оценки держатель регистрационного удостоверения делает наблюдения в отношении факторов, способствующих достижению цели или, напротив, приводящих к недостаточности (неэффективности) мер минимизации риска. Такой критический анализ включает ссылку на опыт за пределами Республики Казахстан, если таковой имеется.</w:t>
            </w:r>
          </w:p>
          <w:p>
            <w:pPr>
              <w:spacing w:after="20"/>
              <w:ind w:left="20"/>
              <w:jc w:val="both"/>
            </w:pPr>
            <w:r>
              <w:rPr>
                <w:rFonts w:ascii="Times New Roman"/>
                <w:b w:val="false"/>
                <w:i w:val="false"/>
                <w:color w:val="000000"/>
                <w:sz w:val="20"/>
              </w:rPr>
              <w:t xml:space="preserve">
   Оценка эффективности мер минимизации риска акцентирована на то, были ли они успешными в отношении минимизации целевого риска. Оценка выполняется с использованием комбинации показателей процесса и результата, в соответствии с описанием в п. 12.2.4. настоящего раздела. Рекомендуется сделать разграничение между мерами минимизации риска, введенными в момент выдачи удостоверения о государственной регистрации и теми мерами, которые были введены позднее на пострегистрационном этапе. </w:t>
            </w:r>
          </w:p>
          <w:p>
            <w:pPr>
              <w:spacing w:after="20"/>
              <w:ind w:left="20"/>
              <w:jc w:val="both"/>
            </w:pPr>
            <w:r>
              <w:rPr>
                <w:rFonts w:ascii="Times New Roman"/>
                <w:b w:val="false"/>
                <w:i w:val="false"/>
                <w:color w:val="000000"/>
                <w:sz w:val="20"/>
              </w:rPr>
              <w:t>
   Оценку эффективности мер минимизации риска представляется с учетом следующих рекомендаций:</w:t>
            </w:r>
          </w:p>
          <w:p>
            <w:pPr>
              <w:spacing w:after="20"/>
              <w:ind w:left="20"/>
              <w:jc w:val="both"/>
            </w:pPr>
            <w:r>
              <w:rPr>
                <w:rFonts w:ascii="Times New Roman"/>
                <w:b w:val="false"/>
                <w:i w:val="false"/>
                <w:color w:val="000000"/>
                <w:sz w:val="20"/>
              </w:rPr>
              <w:t>
   1. Оценка представляет контекст путем 1) краткого описания введенных мер минимизации риска, 2) определение их целей, 3) описания выбранного процесса и показателей результата.</w:t>
            </w:r>
          </w:p>
          <w:p>
            <w:pPr>
              <w:spacing w:after="20"/>
              <w:ind w:left="20"/>
              <w:jc w:val="both"/>
            </w:pPr>
            <w:r>
              <w:rPr>
                <w:rFonts w:ascii="Times New Roman"/>
                <w:b w:val="false"/>
                <w:i w:val="false"/>
                <w:color w:val="000000"/>
                <w:sz w:val="20"/>
              </w:rPr>
              <w:t>
   2. Оценка включает соответствующий анализ характера нежелательных реакций, включая их серьезность и предотвратимость. Где это уместно, также включают логистические факторы, которые влияют на клиническое выполнение мер минимизации риска.</w:t>
            </w:r>
          </w:p>
          <w:p>
            <w:pPr>
              <w:spacing w:after="20"/>
              <w:ind w:left="20"/>
              <w:jc w:val="both"/>
            </w:pPr>
            <w:r>
              <w:rPr>
                <w:rFonts w:ascii="Times New Roman"/>
                <w:b w:val="false"/>
                <w:i w:val="false"/>
                <w:color w:val="000000"/>
                <w:sz w:val="20"/>
              </w:rPr>
              <w:t>
   3. Оценка включает исследование выполнения мер минимизации риска в рутинной клинической практике, включая все отклонения от первоначального плана. Такая оценка включает результаты исследований использования лекарственного препарата.</w:t>
            </w:r>
          </w:p>
          <w:p>
            <w:pPr>
              <w:spacing w:after="20"/>
              <w:ind w:left="20"/>
              <w:jc w:val="both"/>
            </w:pPr>
            <w:r>
              <w:rPr>
                <w:rFonts w:ascii="Times New Roman"/>
                <w:b w:val="false"/>
                <w:i w:val="false"/>
                <w:color w:val="000000"/>
                <w:sz w:val="20"/>
              </w:rPr>
              <w:t>
   4. Показатели результата (т.е. частота и (или) серьезность нежелательных реакций), являются ключевыми конечными точками при оценке степени достижения поставленных задач при выполнении мер минимизации риска.</w:t>
            </w:r>
          </w:p>
          <w:p>
            <w:pPr>
              <w:spacing w:after="20"/>
              <w:ind w:left="20"/>
              <w:jc w:val="both"/>
            </w:pPr>
            <w:r>
              <w:rPr>
                <w:rFonts w:ascii="Times New Roman"/>
                <w:b w:val="false"/>
                <w:i w:val="false"/>
                <w:color w:val="000000"/>
                <w:sz w:val="20"/>
              </w:rPr>
              <w:t xml:space="preserve">
   Предложения в отношении изменений по совершенствованию мер управления рисками представляются в соответствующем разделе ПОБ. План минимизации рисков обновляют с учетом поступающей информации в отношении эффективности мер минимизации риска. </w:t>
            </w:r>
          </w:p>
          <w:p>
            <w:pPr>
              <w:spacing w:after="20"/>
              <w:ind w:left="20"/>
              <w:jc w:val="both"/>
            </w:pPr>
            <w:r>
              <w:rPr>
                <w:rFonts w:ascii="Times New Roman"/>
                <w:b w:val="false"/>
                <w:i w:val="false"/>
                <w:color w:val="000000"/>
                <w:sz w:val="20"/>
              </w:rPr>
              <w:t>
   Частота обновления ПУР является пропорциональной рискам лекарственного препарата. Обновления ПУР акцентируются на программу минимизации риска и представление обновлений по осуществлению мер минимизации риска, где это применимо. В случае обновления ограниченного количества разделов, разделы, которые подвергались изменениям, перечисляются в сопроводительном письме при представлении документации. В случае если по результатам выполнения мер минимизации риска требуется внесение изменений в инструкцию по медицинскому применению, основания и данные изменения подтверждаются подачей ПОБ, отражающего указанные сведения.</w:t>
            </w:r>
          </w:p>
          <w:p>
            <w:pPr>
              <w:spacing w:after="20"/>
              <w:ind w:left="20"/>
              <w:jc w:val="both"/>
            </w:pPr>
            <w:r>
              <w:rPr>
                <w:rFonts w:ascii="Times New Roman"/>
                <w:b w:val="false"/>
                <w:i w:val="false"/>
                <w:color w:val="000000"/>
                <w:sz w:val="20"/>
              </w:rPr>
              <w:t>
   </w:t>
            </w:r>
            <w:r>
              <w:rPr>
                <w:rFonts w:ascii="Times New Roman"/>
                <w:b/>
                <w:i w:val="false"/>
                <w:color w:val="000000"/>
                <w:sz w:val="20"/>
              </w:rPr>
              <w:t>12.7. Прозрачность</w:t>
            </w:r>
          </w:p>
          <w:p>
            <w:pPr>
              <w:spacing w:after="20"/>
              <w:ind w:left="20"/>
              <w:jc w:val="both"/>
            </w:pPr>
            <w:r>
              <w:rPr>
                <w:rFonts w:ascii="Times New Roman"/>
                <w:b w:val="false"/>
                <w:i w:val="false"/>
                <w:color w:val="000000"/>
                <w:sz w:val="20"/>
              </w:rPr>
              <w:t>
   Уполномоченная организация обеспечивают прозрачность и доступность информации по введенным мерам минимизации риска путем размещения на соответствующих интернет-порталах следующей информации: действующей инструкции по медицинскому применению; резюме плана управления рисками с указанием введенных мер минимизации риска.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ДОПОЛНИТЕЛЬНЫЙ МОНИТОРИНГ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Введение</w:t>
            </w:r>
          </w:p>
          <w:p>
            <w:pPr>
              <w:spacing w:after="20"/>
              <w:ind w:left="20"/>
              <w:jc w:val="both"/>
            </w:pPr>
            <w:r>
              <w:rPr>
                <w:rFonts w:ascii="Times New Roman"/>
                <w:b w:val="false"/>
                <w:i w:val="false"/>
                <w:color w:val="000000"/>
                <w:sz w:val="20"/>
              </w:rPr>
              <w:t>
   Фармаконадзор является жизненно важной функцией системы здравоохранения, поскольку имеет своей целью быстрое выявление и реагирование на потенциальные угрозы безопасности, связанные с использованием лекарственных препарата.</w:t>
            </w:r>
          </w:p>
          <w:p>
            <w:pPr>
              <w:spacing w:after="20"/>
              <w:ind w:left="20"/>
              <w:jc w:val="both"/>
            </w:pPr>
            <w:r>
              <w:rPr>
                <w:rFonts w:ascii="Times New Roman"/>
                <w:b w:val="false"/>
                <w:i w:val="false"/>
                <w:color w:val="000000"/>
                <w:sz w:val="20"/>
              </w:rPr>
              <w:t>
   Государственная регистрация лекарственного препарата осуществляется на основании положительного на момент регистрации соотношения польза-риск лекарственного препарата для определенной целевой группы пациентов, в пределах одобренного показания и рекомендаций по применению. Однако не все риски выявляются к моменту первоначальной регистрации, некоторые риски выявляются на пострегистрационном этапе при широком применении лекарственного препарата на протяжении всего жизненного цикла лекарственного препарата. Для обеспечения возможности выполнения контроля безопасности лекарственных препаратов пропорционально уровню риска, сопряженному с их применением, целесообразным является формирование перечня лекарственных препаратов, требующих расширенного сбора данных по безопасности после их регистрации, что означает введение концепции дополнительного мониторинга в отношении некоторых лекарственных препаратов.</w:t>
            </w:r>
          </w:p>
          <w:p>
            <w:pPr>
              <w:spacing w:after="20"/>
              <w:ind w:left="20"/>
              <w:jc w:val="both"/>
            </w:pPr>
            <w:r>
              <w:rPr>
                <w:rFonts w:ascii="Times New Roman"/>
                <w:b w:val="false"/>
                <w:i w:val="false"/>
                <w:color w:val="000000"/>
                <w:sz w:val="20"/>
              </w:rPr>
              <w:t xml:space="preserve">
   Уполномоченным органом создается, поддерживается в актуальном состоянии и публикуется единый список лекарственных препаратов, подлежащих дополнительному мониторингу (далее – Список) на территории Республики Казахстан. Данные лекарственные препараты в инструкции по медицинскому применению обозначаются перевернутым черным равнобедренным треугольником </w:t>
            </w:r>
          </w:p>
          <w:p>
            <w:pPr>
              <w:spacing w:after="20"/>
              <w:ind w:left="2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15900"/>
                          </a:xfrm>
                          <a:prstGeom prst="rect">
                            <a:avLst/>
                          </a:prstGeom>
                        </pic:spPr>
                      </pic:pic>
                    </a:graphicData>
                  </a:graphic>
                </wp:inline>
              </w:drawing>
            </w:r>
          </w:p>
          <w:p>
            <w:pPr>
              <w:spacing w:after="0"/>
              <w:ind w:left="0"/>
              <w:jc w:val="both"/>
            </w:pPr>
            <w:r>
              <w:rPr>
                <w:rFonts w:ascii="Times New Roman"/>
                <w:b w:val="false"/>
                <w:i w:val="false"/>
                <w:color w:val="000000"/>
                <w:sz w:val="20"/>
              </w:rPr>
              <w:t>, который сопровождается следующей пояснительной надписью: "Данный лекарственный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13.2 Структуры и процессы</w:t>
            </w:r>
          </w:p>
          <w:p>
            <w:pPr>
              <w:spacing w:after="20"/>
              <w:ind w:left="20"/>
              <w:jc w:val="both"/>
            </w:pPr>
            <w:r>
              <w:rPr>
                <w:rFonts w:ascii="Times New Roman"/>
                <w:b w:val="false"/>
                <w:i w:val="false"/>
                <w:color w:val="000000"/>
                <w:sz w:val="20"/>
              </w:rPr>
              <w:t>
   13.2.1. Принципы присвоения статуса дополнительного мониторинга лекарственному препарату</w:t>
            </w:r>
          </w:p>
          <w:p>
            <w:pPr>
              <w:spacing w:after="20"/>
              <w:ind w:left="20"/>
              <w:jc w:val="both"/>
            </w:pPr>
            <w:r>
              <w:rPr>
                <w:rFonts w:ascii="Times New Roman"/>
                <w:b w:val="false"/>
                <w:i w:val="false"/>
                <w:color w:val="000000"/>
                <w:sz w:val="20"/>
              </w:rPr>
              <w:t>
   Регистрация всех лекарственных препаратов осуществляется на основании признания соотношения польза-риск положительным с учетом имеющихся на момент регистрации сведений (данных клинических исследований (испытаний), которые проводились при разработке лекарственного препарата). Однако нежелательные реакции, которые возникают редко, либо развиваются при длительном применении, становятся очевидными только после применения лекарственного препарата более широким кругом пациентов и (или) после длительного приема. Кроме того, преимущества и риски, связанные с лекарственным препаратом, возможно, оценивались в условиях, отличающихся от условий повседневной медицинской практики, в частности, клинические исследования (испытания) исключали определенные типы пациентов с множественными сопутствующими заболеваниями или сопутствующими лекарственными препаратами. Таким образом, после выхода лекарственного препарата на рынок, его использование различными популяционными группами требует постоянного мониторинга. Держатели регистрационного удостоверения и уполномоченная организация осуществляют постоянный мониторинг лекарственных препаратов для получения появляющейся информации по безопасности, а также выполняют оценку ее влияния на соотношение польза-риск лекарственного препарата. Однако некоторые лекарственные препараты требуют выполнения более интенсивного сбора данных по безопасности после прохождения государственной регистрации с тем, чтобы максимально быстро выявлять любые новые значимые проблемы по безопасности и немедленно предпринимать надлежащие меры. Для повышения эффективности мониторинга безопасности определенных лекарственных препаратов и для стимулирования более интенсивного представления спонтанных сообщений о выявленных нежелательных реакциях, введена концепция дополнительного мониторинга.</w:t>
            </w:r>
          </w:p>
          <w:p>
            <w:pPr>
              <w:spacing w:after="20"/>
              <w:ind w:left="20"/>
              <w:jc w:val="both"/>
            </w:pPr>
            <w:r>
              <w:rPr>
                <w:rFonts w:ascii="Times New Roman"/>
                <w:b w:val="false"/>
                <w:i w:val="false"/>
                <w:color w:val="000000"/>
                <w:sz w:val="20"/>
              </w:rPr>
              <w:t>
   Статус дополнительного мониторинга присваивается лекарственному препарату во время выдачи удостоверения о государственной регистрации или на более поздних этапах жизненного цикла лекарственного препарата при выявлении в процессе пострегистрационного мониторинга новой проблемы, связанной с безопасностью. В частности, статус дополнительного мониторинга важен при выдаче регистрационных удостоверений на лекарственные препарата, содержащие новое действующее вещество, для всех лекарственных препаратов биологического происхождения, которые являются приоритетами для осуществления фармаконадзора. Уполномоченный орган вводит статус дополнительного мониторинга для лекарственного препарата при определенных обстоятельствах, в частности, по результатам проведения ПРИБ или ограничений в отношении безопасного и эффективного использования лекарственного препарата.</w:t>
            </w:r>
          </w:p>
          <w:p>
            <w:pPr>
              <w:spacing w:after="20"/>
              <w:ind w:left="20"/>
              <w:jc w:val="both"/>
            </w:pPr>
            <w:r>
              <w:rPr>
                <w:rFonts w:ascii="Times New Roman"/>
                <w:b w:val="false"/>
                <w:i w:val="false"/>
                <w:color w:val="000000"/>
                <w:sz w:val="20"/>
              </w:rPr>
              <w:t>
   13.2.2. Обмен данными и прозрачность</w:t>
            </w:r>
          </w:p>
          <w:p>
            <w:pPr>
              <w:spacing w:after="20"/>
              <w:ind w:left="20"/>
              <w:jc w:val="both"/>
            </w:pPr>
            <w:r>
              <w:rPr>
                <w:rFonts w:ascii="Times New Roman"/>
                <w:b w:val="false"/>
                <w:i w:val="false"/>
                <w:color w:val="000000"/>
                <w:sz w:val="20"/>
              </w:rPr>
              <w:t>
   Статус дополнительного мониторинга доводиться до сведения работников системы здравоохранения и пациентов таким образом, чтобы число сообщений о предполагаемых нежелательных реакциях повышалось, но при этом не создавалась чрезмерная тревога. Этого можно достигнуть, как правило, подчеркивая необходимость лучшей характеристики профиля безопасности нового лекарственного препарата путем выявления дополнительных рисков, но соотнося эти потенциальные риски с доказанными преимуществами и терапевтической пользой данного лекарственного препарата. Общедоступный список лекарственных препаратов со статусом дополнительного мониторинга постоянно обновляется уполномоченной организацией. Публикация списка вместе с соответствующим сообщением направлена на способствование работников системы здравоохранения и пациентов сообщать обо всех подозреваемых нежелательных реакциях на лекарственные препараты, подлежащие дополнительному мониторингу.</w:t>
            </w:r>
          </w:p>
          <w:p>
            <w:pPr>
              <w:spacing w:after="20"/>
              <w:ind w:left="20"/>
              <w:jc w:val="both"/>
            </w:pPr>
            <w:r>
              <w:rPr>
                <w:rFonts w:ascii="Times New Roman"/>
                <w:b w:val="false"/>
                <w:i w:val="false"/>
                <w:color w:val="000000"/>
                <w:sz w:val="20"/>
              </w:rPr>
              <w:t>
   </w:t>
            </w:r>
            <w:r>
              <w:rPr>
                <w:rFonts w:ascii="Times New Roman"/>
                <w:b/>
                <w:i w:val="false"/>
                <w:color w:val="000000"/>
                <w:sz w:val="20"/>
              </w:rPr>
              <w:t>13.3.</w:t>
            </w:r>
            <w:r>
              <w:rPr>
                <w:rFonts w:ascii="Times New Roman"/>
                <w:b w:val="false"/>
                <w:i w:val="false"/>
                <w:color w:val="000000"/>
                <w:sz w:val="20"/>
              </w:rPr>
              <w:t> </w:t>
            </w:r>
            <w:r>
              <w:rPr>
                <w:rFonts w:ascii="Times New Roman"/>
                <w:b/>
                <w:i w:val="false"/>
                <w:color w:val="000000"/>
                <w:sz w:val="20"/>
              </w:rPr>
              <w:t>Критерии включения лекарственного препарата в список дополнительного мониторинга</w:t>
            </w:r>
          </w:p>
          <w:p>
            <w:pPr>
              <w:spacing w:after="20"/>
              <w:ind w:left="20"/>
              <w:jc w:val="both"/>
            </w:pPr>
            <w:r>
              <w:rPr>
                <w:rFonts w:ascii="Times New Roman"/>
                <w:b w:val="false"/>
                <w:i w:val="false"/>
                <w:color w:val="000000"/>
                <w:sz w:val="20"/>
              </w:rPr>
              <w:t>
   13.3.1. Обязательные критерии включения</w:t>
            </w:r>
          </w:p>
          <w:p>
            <w:pPr>
              <w:spacing w:after="20"/>
              <w:ind w:left="20"/>
              <w:jc w:val="both"/>
            </w:pPr>
            <w:r>
              <w:rPr>
                <w:rFonts w:ascii="Times New Roman"/>
                <w:b w:val="false"/>
                <w:i w:val="false"/>
                <w:color w:val="000000"/>
                <w:sz w:val="20"/>
              </w:rPr>
              <w:t>
   В список лекарственных препаратов, подлежащих дополнительному мониторингу, включаются следующие категории лекарственных препаратов:</w:t>
            </w:r>
          </w:p>
          <w:p>
            <w:pPr>
              <w:spacing w:after="20"/>
              <w:ind w:left="20"/>
              <w:jc w:val="both"/>
            </w:pPr>
            <w:r>
              <w:rPr>
                <w:rFonts w:ascii="Times New Roman"/>
                <w:b w:val="false"/>
                <w:i w:val="false"/>
                <w:color w:val="000000"/>
                <w:sz w:val="20"/>
              </w:rPr>
              <w:t>
   1) лекарственные препараты, регистрируемые на территории Республики Казахстан, содержащие новое действующее вещество, которое до вступления в силу данных Правил не было зарегистрировано в Республике Казахстан в составе какого-либо лекарственного препарата;</w:t>
            </w:r>
          </w:p>
          <w:p>
            <w:pPr>
              <w:spacing w:after="20"/>
              <w:ind w:left="20"/>
              <w:jc w:val="both"/>
            </w:pPr>
            <w:r>
              <w:rPr>
                <w:rFonts w:ascii="Times New Roman"/>
                <w:b w:val="false"/>
                <w:i w:val="false"/>
                <w:color w:val="000000"/>
                <w:sz w:val="20"/>
              </w:rPr>
              <w:t>
   2) лекарственные препараты биологического происхождения, регистрируемые на территории Республике Казахстан;</w:t>
            </w:r>
          </w:p>
          <w:p>
            <w:pPr>
              <w:spacing w:after="20"/>
              <w:ind w:left="20"/>
              <w:jc w:val="both"/>
            </w:pPr>
            <w:r>
              <w:rPr>
                <w:rFonts w:ascii="Times New Roman"/>
                <w:b w:val="false"/>
                <w:i w:val="false"/>
                <w:color w:val="000000"/>
                <w:sz w:val="20"/>
              </w:rPr>
              <w:t>
   3) лекарственные препараты, на которые уполномоченным органом затребовано выполнение ПРИБ на момент выдачи удостоверения о государственной регистрации или после выдачи удостоверения о государственной регистрации.</w:t>
            </w:r>
          </w:p>
          <w:p>
            <w:pPr>
              <w:spacing w:after="20"/>
              <w:ind w:left="20"/>
              <w:jc w:val="both"/>
            </w:pPr>
            <w:r>
              <w:rPr>
                <w:rFonts w:ascii="Times New Roman"/>
                <w:b w:val="false"/>
                <w:i w:val="false"/>
                <w:color w:val="000000"/>
                <w:sz w:val="20"/>
              </w:rPr>
              <w:t>
   13.3.2. Дополнительные (факультативные) критерии включения</w:t>
            </w:r>
          </w:p>
          <w:p>
            <w:pPr>
              <w:spacing w:after="20"/>
              <w:ind w:left="20"/>
              <w:jc w:val="both"/>
            </w:pPr>
            <w:r>
              <w:rPr>
                <w:rFonts w:ascii="Times New Roman"/>
                <w:b w:val="false"/>
                <w:i w:val="false"/>
                <w:color w:val="000000"/>
                <w:sz w:val="20"/>
              </w:rPr>
              <w:t>
   По запросу уполномоченного органа лекарственные препараты включаются в список подлежащих дополнительному мониторингу на основании следующих дополнительных критериев:</w:t>
            </w:r>
          </w:p>
          <w:p>
            <w:pPr>
              <w:spacing w:after="20"/>
              <w:ind w:left="20"/>
              <w:jc w:val="both"/>
            </w:pPr>
            <w:r>
              <w:rPr>
                <w:rFonts w:ascii="Times New Roman"/>
                <w:b w:val="false"/>
                <w:i w:val="false"/>
                <w:color w:val="000000"/>
                <w:sz w:val="20"/>
              </w:rPr>
              <w:t>
   1) рекомендации по применению лекарственного препарата содержат существенные ограничения, необходимые для обеспечения его безопасного и эффективного применения;</w:t>
            </w:r>
          </w:p>
          <w:p>
            <w:pPr>
              <w:spacing w:after="20"/>
              <w:ind w:left="20"/>
              <w:jc w:val="both"/>
            </w:pPr>
            <w:r>
              <w:rPr>
                <w:rFonts w:ascii="Times New Roman"/>
                <w:b w:val="false"/>
                <w:i w:val="false"/>
                <w:color w:val="000000"/>
                <w:sz w:val="20"/>
              </w:rPr>
              <w:t>
   2) уполномоченным органом определено использование иных мер по обеспечению безопасности лекарственного препарата в системе управления рисками;</w:t>
            </w:r>
          </w:p>
          <w:p>
            <w:pPr>
              <w:spacing w:after="20"/>
              <w:ind w:left="20"/>
              <w:jc w:val="both"/>
            </w:pPr>
            <w:r>
              <w:rPr>
                <w:rFonts w:ascii="Times New Roman"/>
                <w:b w:val="false"/>
                <w:i w:val="false"/>
                <w:color w:val="000000"/>
                <w:sz w:val="20"/>
              </w:rPr>
              <w:t>
   3) уполномоченным органом установлено обязательство для держателя регистрационного удостоверения провести пострегистрационное исследование эффективности.</w:t>
            </w:r>
          </w:p>
          <w:p>
            <w:pPr>
              <w:spacing w:after="20"/>
              <w:ind w:left="20"/>
              <w:jc w:val="both"/>
            </w:pPr>
            <w:r>
              <w:rPr>
                <w:rFonts w:ascii="Times New Roman"/>
                <w:b w:val="false"/>
                <w:i w:val="false"/>
                <w:color w:val="000000"/>
                <w:sz w:val="20"/>
              </w:rPr>
              <w:t>
   Решение по включению лекарственного препарата в список подлежащих дополнительному мониторингу учитывает вопрос о целесообразности данного статуса с учетом иных дополнительных мероприятий фармаконадзора, предложенных в плане управления рисками.</w:t>
            </w:r>
          </w:p>
          <w:p>
            <w:pPr>
              <w:spacing w:after="20"/>
              <w:ind w:left="20"/>
              <w:jc w:val="both"/>
            </w:pPr>
            <w:r>
              <w:rPr>
                <w:rFonts w:ascii="Times New Roman"/>
                <w:b w:val="false"/>
                <w:i w:val="false"/>
                <w:color w:val="000000"/>
                <w:sz w:val="20"/>
              </w:rPr>
              <w:t>
   </w:t>
            </w:r>
            <w:r>
              <w:rPr>
                <w:rFonts w:ascii="Times New Roman"/>
                <w:b/>
                <w:i w:val="false"/>
                <w:color w:val="000000"/>
                <w:sz w:val="20"/>
              </w:rPr>
              <w:t>13.4. Критерии определения начального времени корректировки списка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13.4.1. Обязательные критерии</w:t>
            </w:r>
          </w:p>
          <w:p>
            <w:pPr>
              <w:spacing w:after="20"/>
              <w:ind w:left="20"/>
              <w:jc w:val="both"/>
            </w:pPr>
            <w:r>
              <w:rPr>
                <w:rFonts w:ascii="Times New Roman"/>
                <w:b w:val="false"/>
                <w:i w:val="false"/>
                <w:color w:val="000000"/>
                <w:sz w:val="20"/>
              </w:rPr>
              <w:t>
   Для лекарственных препаратов, содержащих новые действующие вещества, а также для всех лекарственных препаратов биологического происхождения начальный период включения составляет пять лет от даты государственной регистрации на территории Республики Казахстан.</w:t>
            </w:r>
          </w:p>
          <w:p>
            <w:pPr>
              <w:spacing w:after="20"/>
              <w:ind w:left="20"/>
              <w:jc w:val="both"/>
            </w:pPr>
            <w:r>
              <w:rPr>
                <w:rFonts w:ascii="Times New Roman"/>
                <w:b w:val="false"/>
                <w:i w:val="false"/>
                <w:color w:val="000000"/>
                <w:sz w:val="20"/>
              </w:rPr>
              <w:t>
   13.4.2. Дополнительные критерии</w:t>
            </w:r>
          </w:p>
          <w:p>
            <w:pPr>
              <w:spacing w:after="20"/>
              <w:ind w:left="20"/>
              <w:jc w:val="both"/>
            </w:pPr>
            <w:r>
              <w:rPr>
                <w:rFonts w:ascii="Times New Roman"/>
                <w:b w:val="false"/>
                <w:i w:val="false"/>
                <w:color w:val="000000"/>
                <w:sz w:val="20"/>
              </w:rPr>
              <w:t xml:space="preserve">
   Для лекарственных препаратов, включенных в список на основании установления определенных условий (проведение пострегистрационных исследований безопасности, эффективности, требований к системе управления рисками) период включения в список связан с выполнением соответствующих условий и обязательств, возложенных на держателя регистрационного удостоверения, и определяется уполномоченным органом сообразно их выполнению и получаемым результатам. </w:t>
            </w:r>
          </w:p>
          <w:p>
            <w:pPr>
              <w:spacing w:after="20"/>
              <w:ind w:left="20"/>
              <w:jc w:val="both"/>
            </w:pPr>
            <w:r>
              <w:rPr>
                <w:rFonts w:ascii="Times New Roman"/>
                <w:b w:val="false"/>
                <w:i w:val="false"/>
                <w:color w:val="000000"/>
                <w:sz w:val="20"/>
              </w:rPr>
              <w:t>
   На протяжении жизненного цикла возможно неоднократное включение лекарственного препарата в список подлежащих дополнительному мониторингу.</w:t>
            </w:r>
          </w:p>
          <w:p>
            <w:pPr>
              <w:spacing w:after="20"/>
              <w:ind w:left="20"/>
              <w:jc w:val="both"/>
            </w:pPr>
            <w:r>
              <w:rPr>
                <w:rFonts w:ascii="Times New Roman"/>
                <w:b w:val="false"/>
                <w:i w:val="false"/>
                <w:color w:val="000000"/>
                <w:sz w:val="20"/>
              </w:rPr>
              <w:t>
   </w:t>
            </w:r>
            <w:r>
              <w:rPr>
                <w:rFonts w:ascii="Times New Roman"/>
                <w:b/>
                <w:i w:val="false"/>
                <w:color w:val="000000"/>
                <w:sz w:val="20"/>
              </w:rPr>
              <w:t>13.5 Обязанности уполномоченной организации</w:t>
            </w:r>
          </w:p>
          <w:p>
            <w:pPr>
              <w:spacing w:after="20"/>
              <w:ind w:left="20"/>
              <w:jc w:val="both"/>
            </w:pPr>
            <w:r>
              <w:rPr>
                <w:rFonts w:ascii="Times New Roman"/>
                <w:b w:val="false"/>
                <w:i w:val="false"/>
                <w:color w:val="000000"/>
                <w:sz w:val="20"/>
              </w:rPr>
              <w:t>
   Уполномоченная организация:</w:t>
            </w:r>
          </w:p>
          <w:p>
            <w:pPr>
              <w:spacing w:after="20"/>
              <w:ind w:left="20"/>
              <w:jc w:val="both"/>
            </w:pPr>
            <w:r>
              <w:rPr>
                <w:rFonts w:ascii="Times New Roman"/>
                <w:b w:val="false"/>
                <w:i w:val="false"/>
                <w:color w:val="000000"/>
                <w:sz w:val="20"/>
              </w:rPr>
              <w:t>
   1) обеспечивает представление электронной ссылки на веб-страницу уполномоченной организации, где открыт общий доступ к информации о лекарственном препарате и резюме плана управления рисками;</w:t>
            </w:r>
          </w:p>
          <w:p>
            <w:pPr>
              <w:spacing w:after="20"/>
              <w:ind w:left="20"/>
              <w:jc w:val="both"/>
            </w:pPr>
            <w:r>
              <w:rPr>
                <w:rFonts w:ascii="Times New Roman"/>
                <w:b w:val="false"/>
                <w:i w:val="false"/>
                <w:color w:val="000000"/>
                <w:sz w:val="20"/>
              </w:rPr>
              <w:t>
   2) публикует на веб-портале список лекарственных препаратов, зарегистрированных на территории Республики Казахстан, которые подлежат дополнительному мониторингу. В списке указывается электронная ссылка на веб-страницу уполномоченной организации, где открыт общий доступ к информации о лекарственном препарате и резюме плана управления рисками;</w:t>
            </w:r>
          </w:p>
          <w:p>
            <w:pPr>
              <w:spacing w:after="20"/>
              <w:ind w:left="20"/>
              <w:jc w:val="both"/>
            </w:pPr>
            <w:r>
              <w:rPr>
                <w:rFonts w:ascii="Times New Roman"/>
                <w:b w:val="false"/>
                <w:i w:val="false"/>
                <w:color w:val="000000"/>
                <w:sz w:val="20"/>
              </w:rPr>
              <w:t>
   3) учитывает список подлежащих дополнительному мониторингу лекарственных препаратов при определении частоты и особенностей выполняемых процедур по обнаружению сигналов;</w:t>
            </w:r>
          </w:p>
          <w:p>
            <w:pPr>
              <w:spacing w:after="20"/>
              <w:ind w:left="20"/>
              <w:jc w:val="both"/>
            </w:pPr>
            <w:r>
              <w:rPr>
                <w:rFonts w:ascii="Times New Roman"/>
                <w:b w:val="false"/>
                <w:i w:val="false"/>
                <w:color w:val="000000"/>
                <w:sz w:val="20"/>
              </w:rPr>
              <w:t>
   4) информирует соответствующего держателя регистрационного удостоверения о принятии решения по включению в список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5) предпринимает все надлежащие меры для того, чтобы работники системы здравоохранения и пациенты сообщали о любых подозреваемых нежелательных реакциях на лекарственный препарат, включенное в список подлежащих дополнительному мониторингу;</w:t>
            </w:r>
          </w:p>
          <w:p>
            <w:pPr>
              <w:spacing w:after="20"/>
              <w:ind w:left="20"/>
              <w:jc w:val="both"/>
            </w:pPr>
            <w:r>
              <w:rPr>
                <w:rFonts w:ascii="Times New Roman"/>
                <w:b w:val="false"/>
                <w:i w:val="false"/>
                <w:color w:val="000000"/>
                <w:sz w:val="20"/>
              </w:rPr>
              <w:t>
   6) выполняет ежемесячное обновление списка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w:t>
            </w:r>
            <w:r>
              <w:rPr>
                <w:rFonts w:ascii="Times New Roman"/>
                <w:b/>
                <w:i w:val="false"/>
                <w:color w:val="000000"/>
                <w:sz w:val="20"/>
              </w:rPr>
              <w:t>13.6. Обязанности держателей регистрационных удостоверений</w:t>
            </w:r>
          </w:p>
          <w:p>
            <w:pPr>
              <w:spacing w:after="20"/>
              <w:ind w:left="20"/>
              <w:jc w:val="both"/>
            </w:pPr>
            <w:r>
              <w:rPr>
                <w:rFonts w:ascii="Times New Roman"/>
                <w:b w:val="false"/>
                <w:i w:val="false"/>
                <w:color w:val="000000"/>
                <w:sz w:val="20"/>
              </w:rPr>
              <w:t>
   Держатель регистрационного удостоверения:</w:t>
            </w:r>
          </w:p>
          <w:p>
            <w:pPr>
              <w:spacing w:after="20"/>
              <w:ind w:left="20"/>
              <w:jc w:val="both"/>
            </w:pPr>
            <w:r>
              <w:rPr>
                <w:rFonts w:ascii="Times New Roman"/>
                <w:b w:val="false"/>
                <w:i w:val="false"/>
                <w:color w:val="000000"/>
                <w:sz w:val="20"/>
              </w:rPr>
              <w:t xml:space="preserve">
   1) включает в инструкцию по медицинскому применению своих лекарственных препаратов, включенных в список подлежащих дополнительному мониторингу, символ черного треугольника </w:t>
            </w:r>
          </w:p>
          <w:p>
            <w:pPr>
              <w:spacing w:after="20"/>
              <w:ind w:left="2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15900"/>
                          </a:xfrm>
                          <a:prstGeom prst="rect">
                            <a:avLst/>
                          </a:prstGeom>
                        </pic:spPr>
                      </pic:pic>
                    </a:graphicData>
                  </a:graphic>
                </wp:inline>
              </w:drawing>
            </w:r>
          </w:p>
          <w:p>
            <w:pPr>
              <w:spacing w:after="0"/>
              <w:ind w:left="0"/>
              <w:jc w:val="both"/>
            </w:pPr>
            <w:r>
              <w:rPr>
                <w:rFonts w:ascii="Times New Roman"/>
                <w:b w:val="false"/>
                <w:i w:val="false"/>
                <w:color w:val="000000"/>
                <w:sz w:val="20"/>
              </w:rPr>
              <w:t>, а также стандартное пояснение о дополнительном мониторинге;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включает информацию о статусе дополнительного мониторинга в любой материал, который распространяться среди работников системы здравоохранения и пациентов, а также приложить все усилия, чтобы стимулировать репортирование нежелательных реакций, после согласования с уполномоченной организацией;</w:t>
            </w:r>
          </w:p>
          <w:p>
            <w:pPr>
              <w:spacing w:after="20"/>
              <w:ind w:left="20"/>
              <w:jc w:val="both"/>
            </w:pPr>
            <w:r>
              <w:rPr>
                <w:rFonts w:ascii="Times New Roman"/>
                <w:b w:val="false"/>
                <w:i w:val="false"/>
                <w:color w:val="000000"/>
                <w:sz w:val="20"/>
              </w:rPr>
              <w:t>
   3) предоставляет уполномоченному органу данные и подтверждения статуса выполнения каких-либо условий, накладываемых уполномоченным органом;</w:t>
            </w:r>
          </w:p>
          <w:p>
            <w:pPr>
              <w:spacing w:after="20"/>
              <w:ind w:left="20"/>
              <w:jc w:val="both"/>
            </w:pPr>
            <w:r>
              <w:rPr>
                <w:rFonts w:ascii="Times New Roman"/>
                <w:b w:val="false"/>
                <w:i w:val="false"/>
                <w:color w:val="000000"/>
                <w:sz w:val="20"/>
              </w:rPr>
              <w:t xml:space="preserve">
   4) предоставляет соответствующие изменения в инструкцию по медицинскому применению и листок-вкладыш по включению или удалению черного символа и стандартизированной пояснительной формулировки. </w:t>
            </w:r>
          </w:p>
          <w:p>
            <w:pPr>
              <w:spacing w:after="20"/>
              <w:ind w:left="20"/>
              <w:jc w:val="both"/>
            </w:pPr>
            <w:r>
              <w:rPr>
                <w:rFonts w:ascii="Times New Roman"/>
                <w:b w:val="false"/>
                <w:i w:val="false"/>
                <w:color w:val="000000"/>
                <w:sz w:val="20"/>
              </w:rPr>
              <w:t>
   </w:t>
            </w:r>
            <w:r>
              <w:rPr>
                <w:rFonts w:ascii="Times New Roman"/>
                <w:b/>
                <w:i w:val="false"/>
                <w:color w:val="000000"/>
                <w:sz w:val="20"/>
              </w:rPr>
              <w:t>13.7. Черный символ и пояснительная записка</w:t>
            </w:r>
          </w:p>
          <w:p>
            <w:pPr>
              <w:spacing w:after="20"/>
              <w:ind w:left="20"/>
              <w:jc w:val="both"/>
            </w:pPr>
            <w:r>
              <w:rPr>
                <w:rFonts w:ascii="Times New Roman"/>
                <w:b w:val="false"/>
                <w:i w:val="false"/>
                <w:color w:val="000000"/>
                <w:sz w:val="20"/>
              </w:rPr>
              <w:t xml:space="preserve">
   Для лекарственных препаратов, включенных в список подлежащих дополнительному мониторингу, инструкция по медицинскому применению и листок-вкладыш содержат обозначение перевернутого черного равнобедренного треугольника </w:t>
            </w:r>
          </w:p>
          <w:p>
            <w:pPr>
              <w:spacing w:after="20"/>
              <w:ind w:left="2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15900"/>
                          </a:xfrm>
                          <a:prstGeom prst="rect">
                            <a:avLst/>
                          </a:prstGeom>
                        </pic:spPr>
                      </pic:pic>
                    </a:graphicData>
                  </a:graphic>
                </wp:inline>
              </w:drawing>
            </w:r>
          </w:p>
          <w:p>
            <w:pPr>
              <w:spacing w:after="0"/>
              <w:ind w:left="0"/>
              <w:jc w:val="both"/>
            </w:pPr>
            <w:r>
              <w:rPr>
                <w:rFonts w:ascii="Times New Roman"/>
                <w:b w:val="false"/>
                <w:i w:val="false"/>
                <w:color w:val="000000"/>
                <w:sz w:val="20"/>
              </w:rPr>
              <w:t>, которое сопровождается следующей пояснительной надписью:</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Данный лекарственный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w:t>
            </w:r>
          </w:p>
          <w:p>
            <w:pPr>
              <w:spacing w:after="20"/>
              <w:ind w:left="20"/>
              <w:jc w:val="both"/>
            </w:pPr>
            <w:r>
              <w:rPr>
                <w:rFonts w:ascii="Times New Roman"/>
                <w:b w:val="false"/>
                <w:i w:val="false"/>
                <w:color w:val="000000"/>
                <w:sz w:val="20"/>
              </w:rPr>
              <w:t xml:space="preserve">
   После того как лекарственный препарат включен в список или удален из него, держатель регистрационного удостоверения вносит соответствующие изменения в инструкцию по медицинскому применению, чтобы включить или удалить, в зависимости от обстоятельств, черный символ, заявление и стандартную пояснительную записку. Если решение о включении лекарственного препарата в список или удалении из списка делается при выполнении нормативной процедуры (в частности, процедуры государственной регистрации (перерегистрации), внесения изменений в инструкцию по медицинскому применению), то содержание инструкции по медицинскому применению требуется обновить до завершения процедуры, чтобы включить в информацию о лекарственном препарате или удалить из нее черный треугольник и стандартную пояснительную записку. Если решение о включении лекарственного препарата в список или удалении из него принимается вне рамок проведения процедуры регистрации, то держатель регистрационного удостоверения обязан в установленном порядке внести соответствующие изменения в инструкцию по медицинскому применению.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