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edcf" w14:textId="ba7e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4-1/398. Зарегистрирован в Министерстве юстиции Республики Казахстан 22 июня 2015 года № 11411. Утратил силу приказом Министра сельского хозяйства Республики Казахстан от 31 января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экспертизу качества хлопка-сырца и хлопка-волокна".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4-1/398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экспертизу качества</w:t>
      </w:r>
      <w:r>
        <w:br/>
      </w:r>
      <w:r>
        <w:rPr>
          <w:rFonts w:ascii="Times New Roman"/>
          <w:b/>
          <w:i w:val="false"/>
          <w:color w:val="000000"/>
        </w:rPr>
        <w:t>хлопка-сырца и хлопка-волокна"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экспертизу качества хлопка-сырца и хлопка-волокна" (далее – государственная услуга).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 Туркестанской области (далее –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услугодателю, в Государственную корпорацию: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– 14 (четырнадцать) рабочих дней (день приема документов не входит в срок оказания государственной услуги);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 посредством портала www.e.gov.kz.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 представляет в одном экземпляре в Государственную корпорацию: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за оказанные услуги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гражданина либо его представителя по доверенности (для идентификации), юридическому лицу – документ, подтверждающий полномочия; 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акт по выданным удостоверениям о качестве хлопка-сырца или паспортам качества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услугополучателя, о регистрации юридического лица, о регистрации индивидуального предпринимателя либо о начале деятельности в качестве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Государственной корпорацией услугополучателю выдается расписка о приеме соответствующих документов.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Министерства либо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 в документе, удостоверяющем личность), почтовый адрес;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юридического лица – указываются его наименование, почтовый адрес, исходящий номер и дата.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подписывается физическим лицом или представителем юридического лица.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почте, посредством веб-портала "электронного правительства" либо нарочно через канцелярию Министерства либо услугодателя.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8-800-080-7777.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Министерства, услугодателя или Государственной корпорации, подлежит рассмотрению в течение 5 (пяти) рабочих дней со дня ее регистрации.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связи, веб-портала "электронного правительства" либо выдается нарочно в канцелярии Министерства, услугодателя или в Государственной корпорации.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услуги, в том числе оказываемой через Государственную корпорацию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www.moa.gov.kz раздел "Государственные услуги", подраздел "Адреса мест оказания государственной услуги";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веб-портала "электронного правительства" www.egov.kz; 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соответствующего услугодателя.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услугодателя: www.mgov.kz. Единый контакт-центр по вопросам оказания государственных услуг: 1414, 8 800 080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результатах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на получение субсидий №_____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от " ___ " _________ 20 ___ года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___________________ 20 ___ года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субсидий за оказанные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экспертизе качества хлопка-сырца и хлопка-волокна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за период _____________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поставщика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руководителя______________________________________________________________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выплатить субсидии за оказанные услуги по экспертизе качества хлопка -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_______________20 ___года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Услугополучатель: 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      (фамилия, имя, отчество (при наличии в документе,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удостоверяющем личность))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20____ года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отдела сельского хозяйства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района ________________________________ области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реестр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оказанных услуг по экспертизе качества хлопка-сырца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хлопка-волокна за период __________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649"/>
        <w:gridCol w:w="1704"/>
        <w:gridCol w:w="3026"/>
        <w:gridCol w:w="3026"/>
        <w:gridCol w:w="1650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  <w:bookmarkEnd w:id="73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Хлопкоперерабатывающая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организация/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хлопкоприемный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оказано услуг, штук проб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единицу услуг, тенге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Причитающаяся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172"/>
        <w:gridCol w:w="1211"/>
        <w:gridCol w:w="3343"/>
        <w:gridCol w:w="2039"/>
        <w:gridCol w:w="2151"/>
        <w:gridCol w:w="1499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  <w:bookmarkEnd w:id="7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Хлопкоперераба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тывающая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организация/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хлопкоприемный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пункт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 оказано услуг, штук проб (кип)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кипы (пробы)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за единицу услуг, тенге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удостоверяющем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удостоверяющем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хлопкоперерабатывающей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хлопкоперерабатывающей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 в документе, удостоверяющем личность), подпись)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акт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выданным удостоверениям о качестве хлопка-сырца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или паспортам качества хлопка-волокна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 за период _____________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4"/>
        <w:gridCol w:w="10225"/>
        <w:gridCol w:w="68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0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от _________ до _________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до ____________ удостоверения качества хлопка-сырца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удостоверений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3"/>
        <w:gridCol w:w="10076"/>
        <w:gridCol w:w="73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2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покупателя услуг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от _________ до __________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 до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качества хлопка-волокна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паспортов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Главный бухгалтер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Заведующая лабораторией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__________20 ___года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       Расписка об отказе в приеме документов 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корпорация), расположенный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________________________________,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затрат на экспертизу качества хлопка-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сырца и хлопка-волокна", ввиду представления Вами неполного пакета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экземпляру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8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