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1e5" w14:textId="a658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социальных работников, стандартов их подготовки и повышения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апреля 2015 года № 220. Зарегистрирован в Министерстве юстиции Республики Казахстан 20 мая 2015 года № 11089. Утратил силу приказом Министра образования и науки Республики Казахстан от 16 мая 2019 года № 210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16.05.2019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29 декабря 2008 года "О специальных социальных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специальностей социальных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стандарты подготовки и повышения квалификации социальных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 № 220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специальностей социальных работников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0"/>
        <w:gridCol w:w="4490"/>
      </w:tblGrid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Профиль образования, наименование специальностей и профессии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Специальности технического, профессионального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0501023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Специальности высшего и послевузовского образования*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Образование 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6М090500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6М110300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здравоохранение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5S130100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*в перечень включены специальности, рекомендуемые для подготовки и повышения квалификации социальных работников на основании Классификатора специальностей высшего и послевузовского образования Республики Казахстан от 20 марта 2009 года № 131-од и Классификатора профессий и специальностей технического и профессионального, послесреднего образования от 03 июня 2008 года № 273-од.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 № 220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подготовки и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социальных работников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стандарты подготовки и повышения квалификации социальных работников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типовыми квалификационными характеристиками должностей руководителей, специалистов и других служащих системы социальной защиты и занятости населения,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февраля 2012 года № 31-ө-м (зарегистрированный в Реестре государственной регистрации нормативных правовых актов за № 7442).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социальных работников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150 Министерства образования и науки Республики Казахстан от 24 апреля 2013 года "Об утверждении типовых учебных планов и типовых образовательных программ по специальностям технического и профессионального образования" (зарегистрированный в Реестре государственной регистрации нормативных правовых актов под № 8489), типовыми правилами деятельности организации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499, типовыми учебными планами.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Настоящие Стандарты определяют требования к повышению качества социальных работников и предусматривают процедуру повышения квалификации социальных работников, которая включает в себя определение сроков и продолжительности обучения, требований к обучению слушателей, определение видов организаций повышения квалификации.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стандарта обязательны для применения и соблюдения учреждениями и организациями осуществляющими повышение квалификации социальных работников Республики Казахстан, независимо от их формы собственности, ведомственной подчиненности и организационно-правовой формы.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стандарте используются следующие основные понятия: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-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учреждения и организации повышения квалификации (далее - организация) – организация, реализующая образовательные программы профессионального повышения квалификации социальных работников с целью углубления профессиональных знаний и навыков, осуществляющая поддержку инновационных процессов в социальной сфере, обеспечивающих эффективность социальной работы;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-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слушатели – социальные работники, проходящие повышение квалификации;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физическое или юридическое лицо, осуществляющее заказ на услугу, связанную с повышением квалификации.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Виды организаций повышения квалификации: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областные Департаменты Комитета труда, социальной защиты и миграции, областные Управления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областные Управления координации занятости и социальных программ, отделы занятости и социальных программ городов, районов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предоставляющие специальные социальные услуги, с привлечением квалифицированных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образовательные учреждения, реализующие образовательные программы технического и профессионального, послесреднего; высшего и дополнительного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центры (региональные, межрегиональные, отраслевые) повышения квалификации социальных работников, реализующие образовательные программы независимо от форм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Стандарты подготовки и повышения квалификации социальных</w:t>
      </w:r>
      <w:r>
        <w:br/>
      </w:r>
      <w:r>
        <w:rPr>
          <w:rFonts w:ascii="Times New Roman"/>
          <w:b/>
          <w:i w:val="false"/>
          <w:color w:val="000000"/>
        </w:rPr>
        <w:t>работников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Цели и задачи повышения квалификации социальных работников: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обновление и углубление профессиональных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практических навыков;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профессиональных компетенций, адекватных современным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новейших достижений науки и практического отечественного и зарубежного опыта социальной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активное применение обновленных теоретических знаний в профессиональной деятельности.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Повышение квалификации осуществляется через обучающие семинары, курсы-семинары, школы социальной работы.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Повышение квалификации проводится: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отрывом от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отрыва от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частичным отрывом от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использованием возможностей дистанционных технологий.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Повышение квалификации проходят руководители организаций, начальники структурных подразделений учреждений социальной защиты, специалисты по социальной работе, эксперты, социальные работники по оценке и определению потребности в специальных социальных услугах, социальные работники по уходу высшего уровня квалификации, специалисты организации по выплате пенсий и пособий, специалисты структурного подразделения (отдела, сектора, группы) центра (службы) занятости, консультанты по социальной работе, социальные работники врачебной амбулатории.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Социальные работники проходят повышение квалификации не реже одного раза в пять лет в течение всей трудовой деятельности.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Работники, прошедшие повышение квалификации, по соглашению с работодателем, освобождаются от работы либо выполняют работу на условиях неполного рабочего времени.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Повышение квалификации осуществляется на основе договоров, заключаемых с предприятиями, организациями, учреждениями социальной защиты, здравоохранения, а также с другими организациями.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Повышение квалификации осуществляется за счет бюджетных средств, а также средств получаемых организацией за оплату обучения слушателями.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Продолжительность обучения зависит от объема и содержания учебной программы с учетом потребностей заказчика, но не превышает четырех месяцев.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Повышение квалификации проводится по образовательным программам дополнительного образования, учитывающим имеющийся уровень профессиональных знаний и практический опыт работы социальных работников.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Содержание программ определяется контингентом слушателей, проходящих повышение квалификации.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лекционных занятий не должен превышать 30 (тридцати) процентов общего объема аудиторных занятий. Один академический час составляет 45 минут.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Сроки, формы, содержание и технология обучения определяются Организацией, реализующей соответствующую образовательную программу, самостоятельно в соответствии с потребностями заказчика.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Освоение образовательных программ повышения квалификации завершается обязательной итоговой аттестацией, которая предусматривает сдачу слушателями экзамена по соответствующей программе с выставлением оценки по бальной системе: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краткосрочным программам повышения квалификации - экзамен в форме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программам повышения квалификации объемом свыше 72 часов - экзамен в форме тестирования и защита итоговой работы.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Слушателям, прошедшим обучение в рамках повышения квалификации и успешно сдавшим экзамен, выдается сертификат.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