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7288" w14:textId="4b97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экологической обстановки территорий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16 марта 2015 года № 202. Зарегистрирован в Министерстве юстиции Республики Казахстан 30 апреля 2015 года № 10928. Утратил силу приказом и.о. Министра экологии, геологии и природных ресурсов Республики Казахстан от 13 августа 2021 года № 327.</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13.08.2021 </w:t>
      </w:r>
      <w:r>
        <w:rPr>
          <w:rFonts w:ascii="Times New Roman"/>
          <w:b w:val="false"/>
          <w:i w:val="false"/>
          <w:color w:val="ff0000"/>
          <w:sz w:val="28"/>
        </w:rPr>
        <w:t>№ 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критерии оценки</w:t>
      </w:r>
      <w:r>
        <w:rPr>
          <w:rFonts w:ascii="Times New Roman"/>
          <w:b w:val="false"/>
          <w:i w:val="false"/>
          <w:color w:val="000000"/>
          <w:sz w:val="28"/>
        </w:rPr>
        <w:t xml:space="preserve"> экологической обстановки территорий.</w:t>
      </w:r>
    </w:p>
    <w:bookmarkEnd w:id="1"/>
    <w:bookmarkStart w:name="z3" w:id="2"/>
    <w:p>
      <w:pPr>
        <w:spacing w:after="0"/>
        <w:ind w:left="0"/>
        <w:jc w:val="both"/>
      </w:pPr>
      <w:r>
        <w:rPr>
          <w:rFonts w:ascii="Times New Roman"/>
          <w:b w:val="false"/>
          <w:i w:val="false"/>
          <w:color w:val="000000"/>
          <w:sz w:val="28"/>
        </w:rPr>
        <w:t>
      2. Департаменту экологического мониторинга и информации Министерства энергетики Республики Казахстан в установленном законодательством порядке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его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_______________А. Мамытбеков   </w:t>
      </w:r>
    </w:p>
    <w:p>
      <w:pPr>
        <w:spacing w:after="0"/>
        <w:ind w:left="0"/>
        <w:jc w:val="both"/>
      </w:pPr>
      <w:r>
        <w:rPr>
          <w:rFonts w:ascii="Times New Roman"/>
          <w:b w:val="false"/>
          <w:i w:val="false"/>
          <w:color w:val="000000"/>
          <w:sz w:val="28"/>
        </w:rPr>
        <w:t>
      от "__" 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_____________Т. Дуйсенова   </w:t>
      </w:r>
    </w:p>
    <w:p>
      <w:pPr>
        <w:spacing w:after="0"/>
        <w:ind w:left="0"/>
        <w:jc w:val="both"/>
      </w:pPr>
      <w:r>
        <w:rPr>
          <w:rFonts w:ascii="Times New Roman"/>
          <w:b w:val="false"/>
          <w:i w:val="false"/>
          <w:color w:val="000000"/>
          <w:sz w:val="28"/>
        </w:rPr>
        <w:t>
      от "__" 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от "__" ____________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марта 2015 года № 202 </w:t>
            </w:r>
          </w:p>
        </w:tc>
      </w:tr>
    </w:tbl>
    <w:bookmarkStart w:name="z7" w:id="5"/>
    <w:p>
      <w:pPr>
        <w:spacing w:after="0"/>
        <w:ind w:left="0"/>
        <w:jc w:val="left"/>
      </w:pPr>
      <w:r>
        <w:rPr>
          <w:rFonts w:ascii="Times New Roman"/>
          <w:b/>
          <w:i w:val="false"/>
          <w:color w:val="000000"/>
        </w:rPr>
        <w:t xml:space="preserve"> Критерии оценки</w:t>
      </w:r>
      <w:r>
        <w:br/>
      </w:r>
      <w:r>
        <w:rPr>
          <w:rFonts w:ascii="Times New Roman"/>
          <w:b/>
          <w:i w:val="false"/>
          <w:color w:val="000000"/>
        </w:rPr>
        <w:t>экологической обстановки территорий</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Критерии оценки экологической обстановки территорий (далее – Критерии) разработаны в соответствии с </w:t>
      </w:r>
      <w:r>
        <w:rPr>
          <w:rFonts w:ascii="Times New Roman"/>
          <w:b w:val="false"/>
          <w:i w:val="false"/>
          <w:color w:val="000000"/>
          <w:sz w:val="28"/>
        </w:rPr>
        <w:t>подпунктам 30)</w:t>
      </w:r>
      <w:r>
        <w:rPr>
          <w:rFonts w:ascii="Times New Roman"/>
          <w:b w:val="false"/>
          <w:i w:val="false"/>
          <w:color w:val="000000"/>
          <w:sz w:val="28"/>
        </w:rPr>
        <w:t xml:space="preserve"> статьи 17 Экологического кодекса Республики Казахстан от 9 января 2007 года.</w:t>
      </w:r>
    </w:p>
    <w:bookmarkEnd w:id="6"/>
    <w:bookmarkStart w:name="z10" w:id="7"/>
    <w:p>
      <w:pPr>
        <w:spacing w:after="0"/>
        <w:ind w:left="0"/>
        <w:jc w:val="both"/>
      </w:pPr>
      <w:r>
        <w:rPr>
          <w:rFonts w:ascii="Times New Roman"/>
          <w:b w:val="false"/>
          <w:i w:val="false"/>
          <w:color w:val="000000"/>
          <w:sz w:val="28"/>
        </w:rPr>
        <w:t>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w:t>
      </w:r>
    </w:p>
    <w:bookmarkEnd w:id="7"/>
    <w:bookmarkStart w:name="z11" w:id="8"/>
    <w:p>
      <w:pPr>
        <w:spacing w:after="0"/>
        <w:ind w:left="0"/>
        <w:jc w:val="both"/>
      </w:pPr>
      <w:r>
        <w:rPr>
          <w:rFonts w:ascii="Times New Roman"/>
          <w:b w:val="false"/>
          <w:i w:val="false"/>
          <w:color w:val="000000"/>
          <w:sz w:val="28"/>
        </w:rPr>
        <w:t xml:space="preserve">
      3. Критерии оценки экологической обстановки территорий используются при определении зон </w:t>
      </w:r>
      <w:r>
        <w:rPr>
          <w:rFonts w:ascii="Times New Roman"/>
          <w:b w:val="false"/>
          <w:i w:val="false"/>
          <w:color w:val="000000"/>
          <w:sz w:val="28"/>
        </w:rPr>
        <w:t>чрезвычайной экологической ситуации</w:t>
      </w:r>
      <w:r>
        <w:rPr>
          <w:rFonts w:ascii="Times New Roman"/>
          <w:b w:val="false"/>
          <w:i w:val="false"/>
          <w:color w:val="000000"/>
          <w:sz w:val="28"/>
        </w:rPr>
        <w:t xml:space="preserve"> или экологического бедствия.</w:t>
      </w:r>
    </w:p>
    <w:bookmarkEnd w:id="8"/>
    <w:bookmarkStart w:name="z12" w:id="9"/>
    <w:p>
      <w:pPr>
        <w:spacing w:after="0"/>
        <w:ind w:left="0"/>
        <w:jc w:val="both"/>
      </w:pPr>
      <w:r>
        <w:rPr>
          <w:rFonts w:ascii="Times New Roman"/>
          <w:b w:val="false"/>
          <w:i w:val="false"/>
          <w:color w:val="000000"/>
          <w:sz w:val="28"/>
        </w:rPr>
        <w:t>
      4.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w:t>
      </w:r>
    </w:p>
    <w:bookmarkEnd w:id="9"/>
    <w:bookmarkStart w:name="z13" w:id="10"/>
    <w:p>
      <w:pPr>
        <w:spacing w:after="0"/>
        <w:ind w:left="0"/>
        <w:jc w:val="both"/>
      </w:pPr>
      <w:r>
        <w:rPr>
          <w:rFonts w:ascii="Times New Roman"/>
          <w:b w:val="false"/>
          <w:i w:val="false"/>
          <w:color w:val="000000"/>
          <w:sz w:val="28"/>
        </w:rPr>
        <w:t>
      5. Критерии оценки экологической обстановки территорий могут быть использованы в иных целях определения состояния здоровья населения и окружающей среды.</w:t>
      </w:r>
    </w:p>
    <w:bookmarkEnd w:id="10"/>
    <w:bookmarkStart w:name="z14" w:id="11"/>
    <w:p>
      <w:pPr>
        <w:spacing w:after="0"/>
        <w:ind w:left="0"/>
        <w:jc w:val="both"/>
      </w:pPr>
      <w:r>
        <w:rPr>
          <w:rFonts w:ascii="Times New Roman"/>
          <w:b w:val="false"/>
          <w:i w:val="false"/>
          <w:color w:val="000000"/>
          <w:sz w:val="28"/>
        </w:rPr>
        <w:t xml:space="preserve">
      6. Понятия и термины, применяемые в настоящих критериях оценки экологической обстановки территорий, используются в значениях, определяемых в </w:t>
      </w:r>
      <w:r>
        <w:rPr>
          <w:rFonts w:ascii="Times New Roman"/>
          <w:b w:val="false"/>
          <w:i w:val="false"/>
          <w:color w:val="000000"/>
          <w:sz w:val="28"/>
        </w:rPr>
        <w:t>законодательстве</w:t>
      </w:r>
      <w:r>
        <w:rPr>
          <w:rFonts w:ascii="Times New Roman"/>
          <w:b w:val="false"/>
          <w:i w:val="false"/>
          <w:color w:val="000000"/>
          <w:sz w:val="28"/>
        </w:rPr>
        <w:t xml:space="preserve"> Республики Казахстан.</w:t>
      </w:r>
    </w:p>
    <w:bookmarkEnd w:id="11"/>
    <w:bookmarkStart w:name="z15" w:id="12"/>
    <w:p>
      <w:pPr>
        <w:spacing w:after="0"/>
        <w:ind w:left="0"/>
        <w:jc w:val="left"/>
      </w:pPr>
      <w:r>
        <w:rPr>
          <w:rFonts w:ascii="Times New Roman"/>
          <w:b/>
          <w:i w:val="false"/>
          <w:color w:val="000000"/>
        </w:rPr>
        <w:t xml:space="preserve"> 2. Загрязнение воздуха селитебных территорий</w:t>
      </w:r>
    </w:p>
    <w:bookmarkEnd w:id="12"/>
    <w:bookmarkStart w:name="z16" w:id="13"/>
    <w:p>
      <w:pPr>
        <w:spacing w:after="0"/>
        <w:ind w:left="0"/>
        <w:jc w:val="both"/>
      </w:pPr>
      <w:r>
        <w:rPr>
          <w:rFonts w:ascii="Times New Roman"/>
          <w:b w:val="false"/>
          <w:i w:val="false"/>
          <w:color w:val="000000"/>
          <w:sz w:val="28"/>
        </w:rPr>
        <w:t>
      7. Негативное воздействие загрязнения воздушного бассейна происходит двумя основными путями, которые учитываются при обследованиях зон возможного экологического бедствия или чрезвычайной экологической ситуации:</w:t>
      </w:r>
    </w:p>
    <w:bookmarkEnd w:id="13"/>
    <w:p>
      <w:pPr>
        <w:spacing w:after="0"/>
        <w:ind w:left="0"/>
        <w:jc w:val="both"/>
      </w:pPr>
      <w:r>
        <w:rPr>
          <w:rFonts w:ascii="Times New Roman"/>
          <w:b w:val="false"/>
          <w:i w:val="false"/>
          <w:color w:val="000000"/>
          <w:sz w:val="28"/>
        </w:rPr>
        <w:t>
      в результате прямого контакта с загрязненным воздухом;</w:t>
      </w:r>
    </w:p>
    <w:p>
      <w:pPr>
        <w:spacing w:after="0"/>
        <w:ind w:left="0"/>
        <w:jc w:val="both"/>
      </w:pPr>
      <w:r>
        <w:rPr>
          <w:rFonts w:ascii="Times New Roman"/>
          <w:b w:val="false"/>
          <w:i w:val="false"/>
          <w:color w:val="000000"/>
          <w:sz w:val="28"/>
        </w:rPr>
        <w:t>
      в результате выпадения загрязняющих веществ из атмосферы и вторичного загрязнения воды и почвы.</w:t>
      </w:r>
    </w:p>
    <w:bookmarkStart w:name="z17" w:id="14"/>
    <w:p>
      <w:pPr>
        <w:spacing w:after="0"/>
        <w:ind w:left="0"/>
        <w:jc w:val="both"/>
      </w:pPr>
      <w:r>
        <w:rPr>
          <w:rFonts w:ascii="Times New Roman"/>
          <w:b w:val="false"/>
          <w:i w:val="false"/>
          <w:color w:val="000000"/>
          <w:sz w:val="28"/>
        </w:rPr>
        <w:t>
      8. Пространственный масштаб воздействия колеблется в зависимости от характеристик источников загрязнения и объектов воздействия.</w:t>
      </w:r>
    </w:p>
    <w:bookmarkEnd w:id="14"/>
    <w:bookmarkStart w:name="z18" w:id="15"/>
    <w:p>
      <w:pPr>
        <w:spacing w:after="0"/>
        <w:ind w:left="0"/>
        <w:jc w:val="both"/>
      </w:pPr>
      <w:r>
        <w:rPr>
          <w:rFonts w:ascii="Times New Roman"/>
          <w:b w:val="false"/>
          <w:i w:val="false"/>
          <w:color w:val="000000"/>
          <w:sz w:val="28"/>
        </w:rPr>
        <w:t>
      9. Концентрация загрязняющих веществ от отдельных локальных источников в результате процессов рассеяния и выпадения примесей снижается с расстоянием. Максимальные концентрации отмечаются на расстоянии около 20 высот трубы от источника. Опасные для здоровья человека концентрации от таких источников наблюдаются на площади не более 10-100 км</w:t>
      </w:r>
      <w:r>
        <w:rPr>
          <w:rFonts w:ascii="Times New Roman"/>
          <w:b w:val="false"/>
          <w:i w:val="false"/>
          <w:color w:val="000000"/>
          <w:vertAlign w:val="superscript"/>
        </w:rPr>
        <w:t>2</w:t>
      </w:r>
      <w:r>
        <w:rPr>
          <w:rFonts w:ascii="Times New Roman"/>
          <w:b w:val="false"/>
          <w:i w:val="false"/>
          <w:color w:val="000000"/>
          <w:sz w:val="28"/>
        </w:rPr>
        <w:t>. Для хвойных лесов, чувствительность которых к загрязнению атмосферы в несколько раз выше, чем у человека, площадь поражения растительности может достигать 100-1000 км</w:t>
      </w:r>
      <w:r>
        <w:rPr>
          <w:rFonts w:ascii="Times New Roman"/>
          <w:b w:val="false"/>
          <w:i w:val="false"/>
          <w:color w:val="000000"/>
          <w:vertAlign w:val="superscript"/>
        </w:rPr>
        <w:t>2</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10. В крупных промышленных агломерациях происходит наложение загрязнения от отдельных источников в результате общая площадь негативного воздействия может быть близкой к площади самой агломерации или превосходить ее.</w:t>
      </w:r>
    </w:p>
    <w:bookmarkEnd w:id="16"/>
    <w:bookmarkStart w:name="z20" w:id="17"/>
    <w:p>
      <w:pPr>
        <w:spacing w:after="0"/>
        <w:ind w:left="0"/>
        <w:jc w:val="both"/>
      </w:pPr>
      <w:r>
        <w:rPr>
          <w:rFonts w:ascii="Times New Roman"/>
          <w:b w:val="false"/>
          <w:i w:val="false"/>
          <w:color w:val="000000"/>
          <w:sz w:val="28"/>
        </w:rPr>
        <w:t>
      11. Степень загрязнения атмосферного воздуха устанавливается по кратности превышения предельно - допустимой концентрации (далее - ПДК) с учетом класса опасности, суммации биологического действия загрязнений воздуха и частоты превышений ПДК.</w:t>
      </w:r>
    </w:p>
    <w:bookmarkEnd w:id="17"/>
    <w:bookmarkStart w:name="z21" w:id="18"/>
    <w:p>
      <w:pPr>
        <w:spacing w:after="0"/>
        <w:ind w:left="0"/>
        <w:jc w:val="both"/>
      </w:pPr>
      <w:r>
        <w:rPr>
          <w:rFonts w:ascii="Times New Roman"/>
          <w:b w:val="false"/>
          <w:i w:val="false"/>
          <w:color w:val="000000"/>
          <w:sz w:val="28"/>
        </w:rPr>
        <w:t>
      12. Для оценки степени загрязнения воздуха используются фактические максимально разовые и среднесуточные концентрации за последние несколько лет, но не менее чем за 2 года.</w:t>
      </w:r>
    </w:p>
    <w:bookmarkEnd w:id="18"/>
    <w:bookmarkStart w:name="z22" w:id="19"/>
    <w:p>
      <w:pPr>
        <w:spacing w:after="0"/>
        <w:ind w:left="0"/>
        <w:jc w:val="both"/>
      </w:pPr>
      <w:r>
        <w:rPr>
          <w:rFonts w:ascii="Times New Roman"/>
          <w:b w:val="false"/>
          <w:i w:val="false"/>
          <w:color w:val="000000"/>
          <w:sz w:val="28"/>
        </w:rPr>
        <w:t>
      13. Результаты измерений обрабатываются отдельно по каждому наблюдательному посту, веществу и году раздельно. По каждому веществу осуществляются не менее 200 наблюдений (проб):</w:t>
      </w:r>
    </w:p>
    <w:bookmarkEnd w:id="19"/>
    <w:p>
      <w:pPr>
        <w:spacing w:after="0"/>
        <w:ind w:left="0"/>
        <w:jc w:val="both"/>
      </w:pPr>
      <w:r>
        <w:rPr>
          <w:rFonts w:ascii="Times New Roman"/>
          <w:b w:val="false"/>
          <w:i w:val="false"/>
          <w:color w:val="000000"/>
          <w:sz w:val="28"/>
        </w:rPr>
        <w:t>
      1) оценка степени загрязнения атмосферного воздуха по среднесуточным концентрациям:</w:t>
      </w:r>
    </w:p>
    <w:p>
      <w:pPr>
        <w:spacing w:after="0"/>
        <w:ind w:left="0"/>
        <w:jc w:val="both"/>
      </w:pPr>
      <w:r>
        <w:rPr>
          <w:rFonts w:ascii="Times New Roman"/>
          <w:b w:val="false"/>
          <w:i w:val="false"/>
          <w:color w:val="000000"/>
          <w:sz w:val="28"/>
        </w:rPr>
        <w:t>
      для оценки степени загрязнения используются среднесуточные пробы, полученные путем непрерывной аспирации в течение 24 часов, или прерывистой аспирации, как минимум 4 раза в сутки, через равный интервал времени. Анализируются все концентрации из отобранных среднесуточных проб.</w:t>
      </w:r>
    </w:p>
    <w:p>
      <w:pPr>
        <w:spacing w:after="0"/>
        <w:ind w:left="0"/>
        <w:jc w:val="both"/>
      </w:pPr>
      <w:r>
        <w:rPr>
          <w:rFonts w:ascii="Times New Roman"/>
          <w:b w:val="false"/>
          <w:i w:val="false"/>
          <w:color w:val="000000"/>
          <w:sz w:val="28"/>
        </w:rPr>
        <w:t xml:space="preserve">
      Для каждой среднесуточной концентрации рассчитывается кратность превышения "К". Рассчитанный по показателю "К" ряд, за анализируемый период (год), оценивается в соответствии критериями оценки степени загрязнения атмосферного воздуха по среднесуточным концентрациям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xml:space="preserve">
      В случае присутствия комбинации веществ, обладающих эффектом суммации, рассчитывается приведенная среднесуточная концентрация </w:t>
      </w:r>
    </w:p>
    <w:p>
      <w:pPr>
        <w:spacing w:after="0"/>
        <w:ind w:left="0"/>
        <w:jc w:val="both"/>
      </w:pPr>
      <w:r>
        <w:rPr>
          <w:rFonts w:ascii="Times New Roman"/>
          <w:b w:val="false"/>
          <w:i w:val="false"/>
          <w:color w:val="000000"/>
          <w:sz w:val="28"/>
        </w:rPr>
        <w:t>
      (далее - Ссс пр) аналогично формуле (1.1). Оценка ведется по Ссс пр.</w:t>
      </w:r>
    </w:p>
    <w:p>
      <w:pPr>
        <w:spacing w:after="0"/>
        <w:ind w:left="0"/>
        <w:jc w:val="both"/>
      </w:pPr>
      <w:r>
        <w:rPr>
          <w:rFonts w:ascii="Times New Roman"/>
          <w:b w:val="false"/>
          <w:i w:val="false"/>
          <w:color w:val="000000"/>
          <w:sz w:val="28"/>
        </w:rPr>
        <w:t>
      С учетом указанных критериев рассматриваются материалы по всем типам загрязнения атмосферы, на основании которых делается экспертная оценка отнесения территории к той или иной зоне;</w:t>
      </w:r>
    </w:p>
    <w:p>
      <w:pPr>
        <w:spacing w:after="0"/>
        <w:ind w:left="0"/>
        <w:jc w:val="both"/>
      </w:pPr>
      <w:r>
        <w:rPr>
          <w:rFonts w:ascii="Times New Roman"/>
          <w:b w:val="false"/>
          <w:i w:val="false"/>
          <w:color w:val="000000"/>
          <w:sz w:val="28"/>
        </w:rPr>
        <w:t>
      2) оценка загрязнения атмосферного воздуха по максимально-разовым (разовым) концентрациям.</w:t>
      </w:r>
    </w:p>
    <w:p>
      <w:pPr>
        <w:spacing w:after="0"/>
        <w:ind w:left="0"/>
        <w:jc w:val="both"/>
      </w:pPr>
      <w:r>
        <w:rPr>
          <w:rFonts w:ascii="Times New Roman"/>
          <w:b w:val="false"/>
          <w:i w:val="false"/>
          <w:color w:val="000000"/>
          <w:sz w:val="28"/>
        </w:rPr>
        <w:t>
      Для повышения надежности оценки результатов измерений и исключения случайных величин используется статистическая обработка материала, позволяющая с учетом вариаций концентраций получить то ее значение, которое в 95 % случаев будет на уровне или ниже расчетной концентрации (С95).</w:t>
      </w:r>
    </w:p>
    <w:p>
      <w:pPr>
        <w:spacing w:after="0"/>
        <w:ind w:left="0"/>
        <w:jc w:val="both"/>
      </w:pPr>
      <w:r>
        <w:rPr>
          <w:rFonts w:ascii="Times New Roman"/>
          <w:b w:val="false"/>
          <w:i w:val="false"/>
          <w:color w:val="000000"/>
          <w:sz w:val="28"/>
        </w:rPr>
        <w:t>
      Кратность превышения (К) рассчитывается по формуле (1.1):</w:t>
      </w:r>
    </w:p>
    <w:p>
      <w:pPr>
        <w:spacing w:after="0"/>
        <w:ind w:left="0"/>
        <w:jc w:val="both"/>
      </w:pPr>
      <w:r>
        <w:rPr>
          <w:rFonts w:ascii="Times New Roman"/>
          <w:b w:val="false"/>
          <w:i w:val="false"/>
          <w:color w:val="000000"/>
          <w:sz w:val="28"/>
        </w:rPr>
        <w:t>
      К=С95/ПДКм.р. (1.1)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 кратность превышения;</w:t>
      </w:r>
    </w:p>
    <w:p>
      <w:pPr>
        <w:spacing w:after="0"/>
        <w:ind w:left="0"/>
        <w:jc w:val="both"/>
      </w:pPr>
      <w:r>
        <w:rPr>
          <w:rFonts w:ascii="Times New Roman"/>
          <w:b w:val="false"/>
          <w:i w:val="false"/>
          <w:color w:val="000000"/>
          <w:sz w:val="28"/>
        </w:rPr>
        <w:t>
      С95 - значение в 95 % случаев будет на уровне или ниже расчетной концентрации;</w:t>
      </w:r>
    </w:p>
    <w:p>
      <w:pPr>
        <w:spacing w:after="0"/>
        <w:ind w:left="0"/>
        <w:jc w:val="both"/>
      </w:pPr>
      <w:r>
        <w:rPr>
          <w:rFonts w:ascii="Times New Roman"/>
          <w:b w:val="false"/>
          <w:i w:val="false"/>
          <w:color w:val="000000"/>
          <w:sz w:val="28"/>
        </w:rPr>
        <w:t>
      ПДКм.р.-максимально-разовая предельно-допустимая концентрация.</w:t>
      </w:r>
    </w:p>
    <w:p>
      <w:pPr>
        <w:spacing w:after="0"/>
        <w:ind w:left="0"/>
        <w:jc w:val="both"/>
      </w:pPr>
      <w:r>
        <w:rPr>
          <w:rFonts w:ascii="Times New Roman"/>
          <w:b w:val="false"/>
          <w:i w:val="false"/>
          <w:color w:val="000000"/>
          <w:sz w:val="28"/>
        </w:rPr>
        <w:t>
      В случае присутствия в атмосферном воздухе веществ, обладающих эффектом суммации биологического действия, рассчитывается приведенная к одному из суммирующих веществ концентрация (С95 пр) по формуле (1.2):</w:t>
      </w:r>
    </w:p>
    <w:p>
      <w:pPr>
        <w:spacing w:after="0"/>
        <w:ind w:left="0"/>
        <w:jc w:val="both"/>
      </w:pPr>
      <w:r>
        <w:rPr>
          <w:rFonts w:ascii="Times New Roman"/>
          <w:b w:val="false"/>
          <w:i w:val="false"/>
          <w:color w:val="000000"/>
          <w:sz w:val="28"/>
        </w:rPr>
        <w:t>
      С95пр=С1+С2*ПДК1/ПДК2+С3*ПДК1/ПДК2+…+Сn*ПДК1/ПДК2 (1.2)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С1, С2 – концентрация загрязняющих веществ обладающих эффектом суммации;</w:t>
      </w:r>
    </w:p>
    <w:p>
      <w:pPr>
        <w:spacing w:after="0"/>
        <w:ind w:left="0"/>
        <w:jc w:val="both"/>
      </w:pPr>
      <w:r>
        <w:rPr>
          <w:rFonts w:ascii="Times New Roman"/>
          <w:b w:val="false"/>
          <w:i w:val="false"/>
          <w:color w:val="000000"/>
          <w:sz w:val="28"/>
        </w:rPr>
        <w:t>
      ПДК - предельно-допустимая концентрация;</w:t>
      </w:r>
    </w:p>
    <w:p>
      <w:pPr>
        <w:spacing w:after="0"/>
        <w:ind w:left="0"/>
        <w:jc w:val="both"/>
      </w:pPr>
      <w:r>
        <w:rPr>
          <w:rFonts w:ascii="Times New Roman"/>
          <w:b w:val="false"/>
          <w:i w:val="false"/>
          <w:color w:val="000000"/>
          <w:sz w:val="28"/>
        </w:rPr>
        <w:t>
      С95пр - значение конценнтрации в 95 % на уровне или ниже расченой концентрации.</w:t>
      </w:r>
    </w:p>
    <w:p>
      <w:pPr>
        <w:spacing w:after="0"/>
        <w:ind w:left="0"/>
        <w:jc w:val="both"/>
      </w:pPr>
      <w:r>
        <w:rPr>
          <w:rFonts w:ascii="Times New Roman"/>
          <w:b w:val="false"/>
          <w:i w:val="false"/>
          <w:color w:val="000000"/>
          <w:sz w:val="28"/>
        </w:rPr>
        <w:t>
      Оценка степени загрязнения атмосферного воздуха для комбинации суммирующих веществ ведется по приведенной концентрации. Рекомендуется приводить сумму таких веществ к веществу, обладающему менее благоприятным классом опасности.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Загрязнение атмосферного воздуха бенз(а)пиреном (далее - БАП) имеет преобладающее значение только на территориях промышленных предприятий, для которых БАП является одним из ведущих компонентов выброса (анодные заводы, алюминиевая промышленность, коксо-пековая промышленность и другие).</w:t>
      </w:r>
    </w:p>
    <w:p>
      <w:pPr>
        <w:spacing w:after="0"/>
        <w:ind w:left="0"/>
        <w:jc w:val="both"/>
      </w:pPr>
      <w:r>
        <w:rPr>
          <w:rFonts w:ascii="Times New Roman"/>
          <w:b w:val="false"/>
          <w:i w:val="false"/>
          <w:color w:val="000000"/>
          <w:sz w:val="28"/>
        </w:rPr>
        <w:t xml:space="preserve">
      2. При наличии превышений загрязнения по указанным критериям, по взвешенным веществам, одновременно представляются данные о физико-химических свойствах веществ, в соответствии оценкой степени загрязнения атмосферного воздуха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3) оценка среднегодового загрязнения атмосферного воздуха по комплексному показателю.</w:t>
      </w:r>
    </w:p>
    <w:p>
      <w:pPr>
        <w:spacing w:after="0"/>
        <w:ind w:left="0"/>
        <w:jc w:val="both"/>
      </w:pPr>
      <w:r>
        <w:rPr>
          <w:rFonts w:ascii="Times New Roman"/>
          <w:b w:val="false"/>
          <w:i w:val="false"/>
          <w:color w:val="000000"/>
          <w:sz w:val="28"/>
        </w:rPr>
        <w:t>
      Среднегодовые концентрации загрязняющих веществ в атмосферном воздухе рассчитываются или используются данные о состоянии загрязнения воздуха городов и промышленных центров за несколько лет, но не менее двух.</w:t>
      </w:r>
    </w:p>
    <w:p>
      <w:pPr>
        <w:spacing w:after="0"/>
        <w:ind w:left="0"/>
        <w:jc w:val="both"/>
      </w:pPr>
      <w:r>
        <w:rPr>
          <w:rFonts w:ascii="Times New Roman"/>
          <w:b w:val="false"/>
          <w:i w:val="false"/>
          <w:color w:val="000000"/>
          <w:sz w:val="28"/>
        </w:rPr>
        <w:t>
      Степень загрязнения воздуха рассчитывается с учетом кратности превышения среднегодового ПДК веществ, их класса опасности, допустимой повторяемости концентраций заданного уровня, количества веществ, одновременно присутствующих в воздухе, и коэффициента их комбинированного действия.</w:t>
      </w:r>
    </w:p>
    <w:p>
      <w:pPr>
        <w:spacing w:after="0"/>
        <w:ind w:left="0"/>
        <w:jc w:val="both"/>
      </w:pPr>
      <w:r>
        <w:rPr>
          <w:rFonts w:ascii="Times New Roman"/>
          <w:b w:val="false"/>
          <w:i w:val="false"/>
          <w:color w:val="000000"/>
          <w:sz w:val="28"/>
        </w:rPr>
        <w:t>
      Среднегодовые значения ПДКг определяются по формуле (1.3):</w:t>
      </w:r>
    </w:p>
    <w:p>
      <w:pPr>
        <w:spacing w:after="0"/>
        <w:ind w:left="0"/>
        <w:jc w:val="both"/>
      </w:pPr>
      <w:r>
        <w:rPr>
          <w:rFonts w:ascii="Times New Roman"/>
          <w:b w:val="false"/>
          <w:i w:val="false"/>
          <w:color w:val="000000"/>
          <w:sz w:val="28"/>
        </w:rPr>
        <w:t>
      ПДКг = а ПДКсс (1.3)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ПДКг - среднегодовая предельно-допустимая концентрация;</w:t>
      </w:r>
    </w:p>
    <w:p>
      <w:pPr>
        <w:spacing w:after="0"/>
        <w:ind w:left="0"/>
        <w:jc w:val="both"/>
      </w:pPr>
      <w:r>
        <w:rPr>
          <w:rFonts w:ascii="Times New Roman"/>
          <w:b w:val="false"/>
          <w:i w:val="false"/>
          <w:color w:val="000000"/>
          <w:sz w:val="28"/>
        </w:rPr>
        <w:t>
      ПДКсс - среднесуточная предельно-допустимой концентрации.</w:t>
      </w:r>
    </w:p>
    <w:p>
      <w:pPr>
        <w:spacing w:after="0"/>
        <w:ind w:left="0"/>
        <w:jc w:val="both"/>
      </w:pPr>
      <w:r>
        <w:rPr>
          <w:rFonts w:ascii="Times New Roman"/>
          <w:b w:val="false"/>
          <w:i w:val="false"/>
          <w:color w:val="000000"/>
          <w:sz w:val="28"/>
        </w:rPr>
        <w:t xml:space="preserve">
      Значение коэффициентов "а" для различных веществ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xml:space="preserve">
      Степень загрязнения воздуха веществами разных классов опасности (КЗкл) определяется "приведением" их концентраций, нормированных по ПДК, к концентрациям веществ 3-го класса опасности согласно формуле (1.4): </w:t>
      </w:r>
    </w:p>
    <w:p>
      <w:pPr>
        <w:spacing w:after="0"/>
        <w:ind w:left="0"/>
        <w:jc w:val="both"/>
      </w:pPr>
      <w:r>
        <w:rPr>
          <w:rFonts w:ascii="Times New Roman"/>
          <w:b w:val="false"/>
          <w:i w:val="false"/>
          <w:color w:val="000000"/>
          <w:sz w:val="28"/>
        </w:rPr>
        <w:t>
      КЗкл = Кjn (1.4)</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коэффициент изоэффективности;</w:t>
      </w:r>
    </w:p>
    <w:p>
      <w:pPr>
        <w:spacing w:after="0"/>
        <w:ind w:left="0"/>
        <w:jc w:val="both"/>
      </w:pPr>
      <w:r>
        <w:rPr>
          <w:rFonts w:ascii="Times New Roman"/>
          <w:b w:val="false"/>
          <w:i w:val="false"/>
          <w:color w:val="000000"/>
          <w:sz w:val="28"/>
        </w:rPr>
        <w:t>
      j - класс опасности (n = 2,3 для j = 1; n = 1,3 для j = 2; п = 0,87 для j - 4). (При величинах, нормированных по ПДК концентраций выше 2,5 для 1-го класса, выше 5 для 2-го класса, выше 8 для 3-го класса и выше 11 для 4-го класса, "приведение" к 3-му классу осуществляется путем умножения значений нормированных по ПДК концентраций соответственно на 3,2; 1,6; 1 и 0,7).</w:t>
      </w:r>
    </w:p>
    <w:p>
      <w:pPr>
        <w:spacing w:after="0"/>
        <w:ind w:left="0"/>
        <w:jc w:val="both"/>
      </w:pPr>
      <w:r>
        <w:rPr>
          <w:rFonts w:ascii="Times New Roman"/>
          <w:b w:val="false"/>
          <w:i w:val="false"/>
          <w:color w:val="000000"/>
          <w:sz w:val="28"/>
        </w:rPr>
        <w:t>
      Если атмосферный воздух загрязнен веществами, относящимися к разным классам опасности, производится расчет комплексного показателя Р.</w:t>
      </w:r>
    </w:p>
    <w:p>
      <w:pPr>
        <w:spacing w:after="0"/>
        <w:ind w:left="0"/>
        <w:jc w:val="both"/>
      </w:pPr>
      <w:r>
        <w:rPr>
          <w:rFonts w:ascii="Times New Roman"/>
          <w:b w:val="false"/>
          <w:i w:val="false"/>
          <w:color w:val="000000"/>
          <w:sz w:val="28"/>
        </w:rPr>
        <w:t>
      Расчет комплексного показателя Р проводится по формуле (1.5):</w:t>
      </w:r>
    </w:p>
    <w:p>
      <w:pPr>
        <w:spacing w:after="0"/>
        <w:ind w:left="0"/>
        <w:jc w:val="both"/>
      </w:pPr>
      <w:r>
        <w:rPr>
          <w:rFonts w:ascii="Times New Roman"/>
          <w:b w:val="false"/>
          <w:i w:val="false"/>
          <w:color w:val="000000"/>
          <w:sz w:val="28"/>
        </w:rPr>
        <w:t>
      P = Sqrt (Sum (K^2j)) (1.5)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Sqrt (Sum (K^2j)) - корень квадратный из суммы квадратов нормированных по ПДК концентраций, приведенных к таковым концентрациям веществ 3-го класса;</w:t>
      </w:r>
    </w:p>
    <w:p>
      <w:pPr>
        <w:spacing w:after="0"/>
        <w:ind w:left="0"/>
        <w:jc w:val="both"/>
      </w:pPr>
      <w:r>
        <w:rPr>
          <w:rFonts w:ascii="Times New Roman"/>
          <w:b w:val="false"/>
          <w:i w:val="false"/>
          <w:color w:val="000000"/>
          <w:sz w:val="28"/>
        </w:rPr>
        <w:t>
      j - номер вещества.</w:t>
      </w:r>
    </w:p>
    <w:bookmarkStart w:name="z23" w:id="20"/>
    <w:p>
      <w:pPr>
        <w:spacing w:after="0"/>
        <w:ind w:left="0"/>
        <w:jc w:val="both"/>
      </w:pPr>
      <w:r>
        <w:rPr>
          <w:rFonts w:ascii="Times New Roman"/>
          <w:b w:val="false"/>
          <w:i w:val="false"/>
          <w:color w:val="000000"/>
          <w:sz w:val="28"/>
        </w:rPr>
        <w:t xml:space="preserve">
      14. Оценка степени суммарного загрязнения атмосферного воздуха по комплексному показателю для оценки среднегодового загрязнения атмосферного воздуха по комплексному показателю Р проводится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20"/>
    <w:bookmarkStart w:name="z24" w:id="21"/>
    <w:p>
      <w:pPr>
        <w:spacing w:after="0"/>
        <w:ind w:left="0"/>
        <w:jc w:val="both"/>
      </w:pPr>
      <w:r>
        <w:rPr>
          <w:rFonts w:ascii="Times New Roman"/>
          <w:b w:val="false"/>
          <w:i w:val="false"/>
          <w:color w:val="000000"/>
          <w:sz w:val="28"/>
        </w:rPr>
        <w:t>
      15. В случае если в комплексном показателе любое из веществ будет иметь значение, превышающее величину показателя для одного вещества, то оценка степени загрязнения осуществляется и по этому веществу.</w:t>
      </w:r>
    </w:p>
    <w:bookmarkEnd w:id="21"/>
    <w:bookmarkStart w:name="z25" w:id="22"/>
    <w:p>
      <w:pPr>
        <w:spacing w:after="0"/>
        <w:ind w:left="0"/>
        <w:jc w:val="left"/>
      </w:pPr>
      <w:r>
        <w:rPr>
          <w:rFonts w:ascii="Times New Roman"/>
          <w:b/>
          <w:i w:val="false"/>
          <w:color w:val="000000"/>
        </w:rPr>
        <w:t xml:space="preserve"> 3. Оценка санитарно-эпидемиологической ситуации, связанной с</w:t>
      </w:r>
      <w:r>
        <w:br/>
      </w:r>
      <w:r>
        <w:rPr>
          <w:rFonts w:ascii="Times New Roman"/>
          <w:b/>
          <w:i w:val="false"/>
          <w:color w:val="000000"/>
        </w:rPr>
        <w:t>питьевой и рекреационной водой централизованного водоснабжения</w:t>
      </w:r>
    </w:p>
    <w:bookmarkEnd w:id="22"/>
    <w:bookmarkStart w:name="z26" w:id="23"/>
    <w:p>
      <w:pPr>
        <w:spacing w:after="0"/>
        <w:ind w:left="0"/>
        <w:jc w:val="both"/>
      </w:pPr>
      <w:r>
        <w:rPr>
          <w:rFonts w:ascii="Times New Roman"/>
          <w:b w:val="false"/>
          <w:i w:val="false"/>
          <w:color w:val="000000"/>
          <w:sz w:val="28"/>
        </w:rPr>
        <w:t>
      16. Опасное для здоровья людей снижение качества питьевой воды, вследствие интенсивного загрязнения источников водоснабжения и санитарно-эпидемиологического состояния водных объектов рекреационного назначения, является важнейшим фактором изменения среды обитания человека и играет важную роль при определении степени экологического неблагополучия территорий.</w:t>
      </w:r>
    </w:p>
    <w:bookmarkEnd w:id="23"/>
    <w:bookmarkStart w:name="z27" w:id="24"/>
    <w:p>
      <w:pPr>
        <w:spacing w:after="0"/>
        <w:ind w:left="0"/>
        <w:jc w:val="both"/>
      </w:pPr>
      <w:r>
        <w:rPr>
          <w:rFonts w:ascii="Times New Roman"/>
          <w:b w:val="false"/>
          <w:i w:val="false"/>
          <w:color w:val="000000"/>
          <w:sz w:val="28"/>
        </w:rPr>
        <w:t xml:space="preserve">
      17. Результаты оценки степени санитарно-эпидемиологической ситуации выполняются на основании стабильного сохранения негативных значений основных показателей в течение достаточно длительного периода (не менее одного года). При этом, отклонения от норм должны наблюдаться по нескольким критериям, за исключением случаев загрязнения водоисточников и питьевой воды патогенными микроорганизмами и возбудителями паразитарных заболеваний, а также особо токсичными (чрезвычайно опасными) веществами, когда результаты оценки могут быть сделаны на основании одного критерия. Показатели, характеризующие загрязнение водоисточников и питьевой воды веществами, отнесенными к третьему и четвертому классам опасности, а также физико-химические свойства и органолептические характеристики воды относятся к дополнительным. Дополнительные показатели используются для подтверждения степени интенсивного антропогенного загрязнения водоисточников, определенного по основным показателям,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24"/>
    <w:bookmarkStart w:name="z28" w:id="25"/>
    <w:p>
      <w:pPr>
        <w:spacing w:after="0"/>
        <w:ind w:left="0"/>
        <w:jc w:val="left"/>
      </w:pPr>
      <w:r>
        <w:rPr>
          <w:rFonts w:ascii="Times New Roman"/>
          <w:b/>
          <w:i w:val="false"/>
          <w:color w:val="000000"/>
        </w:rPr>
        <w:t xml:space="preserve"> 4. Загрязнение почвы населенных мест</w:t>
      </w:r>
    </w:p>
    <w:bookmarkEnd w:id="25"/>
    <w:bookmarkStart w:name="z29" w:id="26"/>
    <w:p>
      <w:pPr>
        <w:spacing w:after="0"/>
        <w:ind w:left="0"/>
        <w:jc w:val="both"/>
      </w:pPr>
      <w:r>
        <w:rPr>
          <w:rFonts w:ascii="Times New Roman"/>
          <w:b w:val="false"/>
          <w:i w:val="false"/>
          <w:color w:val="000000"/>
          <w:sz w:val="28"/>
        </w:rPr>
        <w:t>
      18. Экологическая оценка радиоактивного загрязнения почв селитебных территорий проводится по основным показателям: мощности эквивалентной дозы на уровне 1 метра от поверхности почвы (микрозиверт в час - мкЗв/ч) и степени радиоактивного загрязнения по отдельным техногенным (искусственным радионуклидам) радиоизотопам (килобеккерель на квадратный метр - кБк/м</w:t>
      </w:r>
      <w:r>
        <w:rPr>
          <w:rFonts w:ascii="Times New Roman"/>
          <w:b w:val="false"/>
          <w:i w:val="false"/>
          <w:color w:val="000000"/>
          <w:vertAlign w:val="superscript"/>
        </w:rPr>
        <w:t>2</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энергетики РК от 07.12.2017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19. Химическое загрязнение почв оценивается по суммарному показателю химического загрязнения (Zc). Суммарный показатель химического загрязнения (Zc) характеризует степень химического загрязнения почв обследуемых территорий различных классов опасности и определяется по формуле (1.6):</w:t>
      </w:r>
    </w:p>
    <w:bookmarkEnd w:id="27"/>
    <w:p>
      <w:pPr>
        <w:spacing w:after="0"/>
        <w:ind w:left="0"/>
        <w:jc w:val="both"/>
      </w:pPr>
      <w:r>
        <w:rPr>
          <w:rFonts w:ascii="Times New Roman"/>
          <w:b w:val="false"/>
          <w:i w:val="false"/>
          <w:color w:val="000000"/>
          <w:sz w:val="28"/>
        </w:rPr>
        <w:t>
      Zc=Kci+…+Kcn-(n-1) (1.6)</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Zc – суммарный показатель химического загрязнения;</w:t>
      </w:r>
    </w:p>
    <w:p>
      <w:pPr>
        <w:spacing w:after="0"/>
        <w:ind w:left="0"/>
        <w:jc w:val="both"/>
      </w:pPr>
      <w:r>
        <w:rPr>
          <w:rFonts w:ascii="Times New Roman"/>
          <w:b w:val="false"/>
          <w:i w:val="false"/>
          <w:color w:val="000000"/>
          <w:sz w:val="28"/>
        </w:rPr>
        <w:t xml:space="preserve">
      п – число определяемых элементов; </w:t>
      </w:r>
    </w:p>
    <w:p>
      <w:pPr>
        <w:spacing w:after="0"/>
        <w:ind w:left="0"/>
        <w:jc w:val="both"/>
      </w:pPr>
      <w:r>
        <w:rPr>
          <w:rFonts w:ascii="Times New Roman"/>
          <w:b w:val="false"/>
          <w:i w:val="false"/>
          <w:color w:val="000000"/>
          <w:sz w:val="28"/>
        </w:rPr>
        <w:t>
      Kci - коэффициент концентрации i-гo загрязняющего компонента, равный частному от деления массовой доли i-го вещества в загрязненной и "фоновой" почве для тяжелых металлов.</w:t>
      </w:r>
    </w:p>
    <w:bookmarkStart w:name="z31" w:id="28"/>
    <w:p>
      <w:pPr>
        <w:spacing w:after="0"/>
        <w:ind w:left="0"/>
        <w:jc w:val="both"/>
      </w:pPr>
      <w:r>
        <w:rPr>
          <w:rFonts w:ascii="Times New Roman"/>
          <w:b w:val="false"/>
          <w:i w:val="false"/>
          <w:color w:val="000000"/>
          <w:sz w:val="28"/>
        </w:rPr>
        <w:t xml:space="preserve">
      20. Для загрязняющих веществ неприродного происхождения коэффициент концентрации определяют как частное от деления массовой доли загрязняющего вещества и его ПДК. К дополнительным показателям экологического состояния почв селитебных территорий относятся генотоксичность и показатели биологического загрязнения (число патогенных микроорганизмов, коли-титр и содержание яиц гельминтов), указанных в показателях для оценки санитарно-эпидемиологического состояния почвы населенных мест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28"/>
    <w:bookmarkStart w:name="z32" w:id="29"/>
    <w:p>
      <w:pPr>
        <w:spacing w:after="0"/>
        <w:ind w:left="0"/>
        <w:jc w:val="left"/>
      </w:pPr>
      <w:r>
        <w:rPr>
          <w:rFonts w:ascii="Times New Roman"/>
          <w:b/>
          <w:i w:val="false"/>
          <w:color w:val="000000"/>
        </w:rPr>
        <w:t xml:space="preserve"> 5. Показатели для оценки радиационной безопасности</w:t>
      </w:r>
    </w:p>
    <w:bookmarkEnd w:id="29"/>
    <w:bookmarkStart w:name="z33" w:id="30"/>
    <w:p>
      <w:pPr>
        <w:spacing w:after="0"/>
        <w:ind w:left="0"/>
        <w:jc w:val="both"/>
      </w:pPr>
      <w:r>
        <w:rPr>
          <w:rFonts w:ascii="Times New Roman"/>
          <w:b w:val="false"/>
          <w:i w:val="false"/>
          <w:color w:val="000000"/>
          <w:sz w:val="28"/>
        </w:rPr>
        <w:t>
      21. Основной критерий, характеризующий степень радиоэкологической безопасности человека, проживающего на загрязненной территории, - среднегодовое значение эффективной дозы от техногенных источников ионизирующих излучений. На дозы от природного и медицинского облучения, а также дозы вследствие радиационных аварий устанавливаются специальные ограничения.</w:t>
      </w:r>
    </w:p>
    <w:bookmarkEnd w:id="30"/>
    <w:p>
      <w:pPr>
        <w:spacing w:after="0"/>
        <w:ind w:left="0"/>
        <w:jc w:val="both"/>
      </w:pPr>
      <w:r>
        <w:rPr>
          <w:rFonts w:ascii="Times New Roman"/>
          <w:b w:val="false"/>
          <w:i w:val="false"/>
          <w:color w:val="000000"/>
          <w:sz w:val="28"/>
        </w:rPr>
        <w:t xml:space="preserve">
      Оценка радиационной загрязненности территории осуществляется согласно </w:t>
      </w:r>
      <w:r>
        <w:rPr>
          <w:rFonts w:ascii="Times New Roman"/>
          <w:b w:val="false"/>
          <w:i w:val="false"/>
          <w:color w:val="000000"/>
          <w:sz w:val="28"/>
        </w:rPr>
        <w:t>приложению 27</w:t>
      </w:r>
      <w:r>
        <w:rPr>
          <w:rFonts w:ascii="Times New Roman"/>
          <w:b w:val="false"/>
          <w:i w:val="false"/>
          <w:color w:val="000000"/>
          <w:sz w:val="28"/>
        </w:rPr>
        <w:t xml:space="preserve"> к Гигиеническим нормативам "Санитарно-эпидемиологические требования к обеспечению радиационной безопасности", утвержденным приказом Министра национальной экономики Республики Казахстан от 27 февраля 2015 года № 155 (зарегистрированный в Реестре государственной регистрации нормативных правовых актов за № 10671).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энергетики РК от 07.12.2017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22. Единицей эффективной дозы является зиверт (Зв.) Международная комиссия по радиационной защите рекомендовала в качестве предела дозы облучения населения - дозу, равную 1 мЗв/год (милизиверт в год) (0,1 бэр/год).</w:t>
      </w:r>
    </w:p>
    <w:bookmarkEnd w:id="31"/>
    <w:p>
      <w:pPr>
        <w:spacing w:after="0"/>
        <w:ind w:left="0"/>
        <w:jc w:val="both"/>
      </w:pPr>
      <w:r>
        <w:rPr>
          <w:rFonts w:ascii="Times New Roman"/>
          <w:b w:val="false"/>
          <w:i w:val="false"/>
          <w:color w:val="000000"/>
          <w:sz w:val="28"/>
        </w:rPr>
        <w:t>
      Территории, в пределах которых среднегодовые значения эффективной дозы облучения человека от техногенных радионуклидов не превышают 1 мЗв, (относятся к территориям с относительно удовлетворительной экологической ситуацией, со среднегодовым значением эффективной дозы облучения от 1 до 5 мЗв - к чрезвычайной экологической ситуации и более 5 мЗв - к экологическому бедствию.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и.о. Министра энергетики РК от 07.12.2017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6. Критерии изменения природной среды</w:t>
      </w:r>
    </w:p>
    <w:bookmarkEnd w:id="32"/>
    <w:bookmarkStart w:name="z36" w:id="33"/>
    <w:p>
      <w:pPr>
        <w:spacing w:after="0"/>
        <w:ind w:left="0"/>
        <w:jc w:val="both"/>
      </w:pPr>
      <w:r>
        <w:rPr>
          <w:rFonts w:ascii="Times New Roman"/>
          <w:b w:val="false"/>
          <w:i w:val="false"/>
          <w:color w:val="000000"/>
          <w:sz w:val="28"/>
        </w:rPr>
        <w:t>
      23. Критерии изменения природной среды следующие показатели:</w:t>
      </w:r>
    </w:p>
    <w:bookmarkEnd w:id="33"/>
    <w:p>
      <w:pPr>
        <w:spacing w:after="0"/>
        <w:ind w:left="0"/>
        <w:jc w:val="both"/>
      </w:pPr>
      <w:r>
        <w:rPr>
          <w:rFonts w:ascii="Times New Roman"/>
          <w:b w:val="false"/>
          <w:i w:val="false"/>
          <w:color w:val="000000"/>
          <w:sz w:val="28"/>
        </w:rPr>
        <w:t xml:space="preserve">
      1) показатели для оценки загрязнения атмосферного воздуха по веществам, влияющим на наземную растительность и водные экосистемы,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Критериям. </w:t>
      </w:r>
    </w:p>
    <w:p>
      <w:pPr>
        <w:spacing w:after="0"/>
        <w:ind w:left="0"/>
        <w:jc w:val="both"/>
      </w:pPr>
      <w:r>
        <w:rPr>
          <w:rFonts w:ascii="Times New Roman"/>
          <w:b w:val="false"/>
          <w:i w:val="false"/>
          <w:color w:val="000000"/>
          <w:sz w:val="28"/>
        </w:rPr>
        <w:t>
      Основными показателями загрязнения атмосферного воздуха, характеризующими воздействие на природную среду (растительность, почвы, поверхностные и подземные воды), являются критические нагрузки и критические уровни загрязняющих веществ. Под ними понимают максимальные значения выпадений или, соответственно, концентраций в атмосферном воздухе загрязняющих веществ, которые не приводят к вредным воздействиям на структуры и функции экосистем в долговременном плане.</w:t>
      </w:r>
    </w:p>
    <w:p>
      <w:pPr>
        <w:spacing w:after="0"/>
        <w:ind w:left="0"/>
        <w:jc w:val="both"/>
      </w:pPr>
      <w:r>
        <w:rPr>
          <w:rFonts w:ascii="Times New Roman"/>
          <w:b w:val="false"/>
          <w:i w:val="false"/>
          <w:color w:val="000000"/>
          <w:sz w:val="28"/>
        </w:rPr>
        <w:t>
      Критерием для выделения зон экологического бедствия может служить превышение в 10-15 раз критических уровней и нагрузок для различных ингредиентов и в зависимости от чувствительности экосистем.</w:t>
      </w:r>
    </w:p>
    <w:p>
      <w:pPr>
        <w:spacing w:after="0"/>
        <w:ind w:left="0"/>
        <w:jc w:val="both"/>
      </w:pPr>
      <w:r>
        <w:rPr>
          <w:rFonts w:ascii="Times New Roman"/>
          <w:b w:val="false"/>
          <w:i w:val="false"/>
          <w:color w:val="000000"/>
          <w:sz w:val="28"/>
        </w:rPr>
        <w:t>
      Для оценки состояния природных сред, измеренные значения концентраций загрязняющих веществ в атмосферном воздухе или измеренные значения интенсивности выпадений U следует сравнивать с соответствующими данными таблицы. Для кислотообразующих веществ измеренная величина U должна быть исправлена на значение доли, не нейтрализованной части суммы сильных кислот по соотношению:</w:t>
      </w:r>
    </w:p>
    <w:p>
      <w:pPr>
        <w:spacing w:after="0"/>
        <w:ind w:left="0"/>
        <w:jc w:val="both"/>
      </w:pPr>
      <w:r>
        <w:rPr>
          <w:rFonts w:ascii="Times New Roman"/>
          <w:b w:val="false"/>
          <w:i w:val="false"/>
          <w:color w:val="000000"/>
          <w:sz w:val="28"/>
        </w:rPr>
        <w:t>
      L = DU,</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L - значения атмосферных нагрузок, которые сравниваются с критическими нагрузками; </w:t>
      </w:r>
    </w:p>
    <w:p>
      <w:pPr>
        <w:spacing w:after="0"/>
        <w:ind w:left="0"/>
        <w:jc w:val="both"/>
      </w:pPr>
      <w:r>
        <w:rPr>
          <w:rFonts w:ascii="Times New Roman"/>
          <w:b w:val="false"/>
          <w:i w:val="false"/>
          <w:color w:val="000000"/>
          <w:sz w:val="28"/>
        </w:rPr>
        <w:t>
      D определяется, как</w:t>
      </w:r>
    </w:p>
    <w:p>
      <w:pPr>
        <w:spacing w:after="0"/>
        <w:ind w:left="0"/>
        <w:jc w:val="both"/>
      </w:pPr>
      <w:r>
        <w:rPr>
          <w:rFonts w:ascii="Times New Roman"/>
          <w:b w:val="false"/>
          <w:i w:val="false"/>
          <w:color w:val="000000"/>
          <w:sz w:val="28"/>
        </w:rPr>
        <w:t>
      D = 1 - R при 0 &lt; R &lt; 1</w:t>
      </w:r>
    </w:p>
    <w:p>
      <w:pPr>
        <w:spacing w:after="0"/>
        <w:ind w:left="0"/>
        <w:jc w:val="both"/>
      </w:pPr>
      <w:r>
        <w:rPr>
          <w:rFonts w:ascii="Times New Roman"/>
          <w:b w:val="false"/>
          <w:i w:val="false"/>
          <w:color w:val="000000"/>
          <w:sz w:val="28"/>
        </w:rPr>
        <w:t>
      D = 0 при R &gt; 1</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D - А/К - отношение суммы молярных концентраций анионов </w:t>
      </w:r>
    </w:p>
    <w:p>
      <w:pPr>
        <w:spacing w:after="0"/>
        <w:ind w:left="0"/>
        <w:jc w:val="both"/>
      </w:pPr>
      <w:r>
        <w:rPr>
          <w:rFonts w:ascii="Times New Roman"/>
          <w:b w:val="false"/>
          <w:i w:val="false"/>
          <w:color w:val="000000"/>
          <w:sz w:val="28"/>
        </w:rPr>
        <w:t>
                        _       _   2-</w:t>
      </w:r>
    </w:p>
    <w:p>
      <w:pPr>
        <w:spacing w:after="0"/>
        <w:ind w:left="0"/>
        <w:jc w:val="both"/>
      </w:pPr>
      <w:r>
        <w:rPr>
          <w:rFonts w:ascii="Times New Roman"/>
          <w:b w:val="false"/>
          <w:i w:val="false"/>
          <w:color w:val="000000"/>
          <w:sz w:val="28"/>
        </w:rPr>
        <w:t>
            А = [Cl] + [NO</w:t>
      </w:r>
      <w:r>
        <w:rPr>
          <w:rFonts w:ascii="Times New Roman"/>
          <w:b w:val="false"/>
          <w:i w:val="false"/>
          <w:color w:val="000000"/>
          <w:vertAlign w:val="subscript"/>
        </w:rPr>
        <w:t>3</w:t>
      </w:r>
      <w:r>
        <w:rPr>
          <w:rFonts w:ascii="Times New Roman"/>
          <w:b w:val="false"/>
          <w:i w:val="false"/>
          <w:color w:val="000000"/>
          <w:sz w:val="28"/>
        </w:rPr>
        <w:t xml:space="preserve"> ] + 2 [SO</w:t>
      </w:r>
      <w:r>
        <w:rPr>
          <w:rFonts w:ascii="Times New Roman"/>
          <w:b w:val="false"/>
          <w:i w:val="false"/>
          <w:color w:val="000000"/>
          <w:vertAlign w:val="subscript"/>
        </w:rPr>
        <w:t>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 сумме молярных концентраций катионов</w:t>
      </w:r>
    </w:p>
    <w:p>
      <w:pPr>
        <w:spacing w:after="0"/>
        <w:ind w:left="0"/>
        <w:jc w:val="both"/>
      </w:pPr>
      <w:r>
        <w:rPr>
          <w:rFonts w:ascii="Times New Roman"/>
          <w:b w:val="false"/>
          <w:i w:val="false"/>
          <w:color w:val="000000"/>
          <w:sz w:val="28"/>
        </w:rPr>
        <w:t xml:space="preserve">
                 +         +     +      2+      2+ </w:t>
      </w:r>
    </w:p>
    <w:p>
      <w:pPr>
        <w:spacing w:after="0"/>
        <w:ind w:left="0"/>
        <w:jc w:val="both"/>
      </w:pPr>
      <w:r>
        <w:rPr>
          <w:rFonts w:ascii="Times New Roman"/>
          <w:b w:val="false"/>
          <w:i w:val="false"/>
          <w:color w:val="000000"/>
          <w:sz w:val="28"/>
        </w:rPr>
        <w:t>
            K = [NH</w:t>
      </w:r>
      <w:r>
        <w:rPr>
          <w:rFonts w:ascii="Times New Roman"/>
          <w:b w:val="false"/>
          <w:i w:val="false"/>
          <w:color w:val="000000"/>
          <w:vertAlign w:val="subscript"/>
        </w:rPr>
        <w:t>4</w:t>
      </w:r>
      <w:r>
        <w:rPr>
          <w:rFonts w:ascii="Times New Roman"/>
          <w:b w:val="false"/>
          <w:i w:val="false"/>
          <w:color w:val="000000"/>
          <w:sz w:val="28"/>
        </w:rPr>
        <w:t xml:space="preserve"> ] + [K] + [Na] + 2[Ca] + 2[Mg];</w:t>
      </w:r>
    </w:p>
    <w:p>
      <w:pPr>
        <w:spacing w:after="0"/>
        <w:ind w:left="0"/>
        <w:jc w:val="both"/>
      </w:pPr>
      <w:r>
        <w:rPr>
          <w:rFonts w:ascii="Times New Roman"/>
          <w:b w:val="false"/>
          <w:i w:val="false"/>
          <w:color w:val="000000"/>
          <w:sz w:val="28"/>
        </w:rPr>
        <w:t xml:space="preserve">
      2) показатели для оценки степени химического загрязнения поверхностных вод,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В качестве основных показателей оценки состояния поверхностных вод выбраны токсичные, приоритетные загрязняющие вещества, в том числе обладающие кумулятивными свойствами накапливаться в органах и тканях гидробионтов.</w:t>
      </w:r>
    </w:p>
    <w:p>
      <w:pPr>
        <w:spacing w:after="0"/>
        <w:ind w:left="0"/>
        <w:jc w:val="both"/>
      </w:pPr>
      <w:r>
        <w:rPr>
          <w:rFonts w:ascii="Times New Roman"/>
          <w:b w:val="false"/>
          <w:i w:val="false"/>
          <w:color w:val="000000"/>
          <w:sz w:val="28"/>
        </w:rPr>
        <w:t>
      Для совокупной оценки опасных уровней загрязнения водных объектов при выделении зон чрезвычайной экологической ситуации и экологического бедствия предлагается использовать формализованный суммарный показатель химического загрязнения ПХЗ(10). Суммарный показатель химического загрязнения ПХЗ(10) особенно важен для территорий, где загрязнение химическими веществами наблюдается сразу по нескольким веществам, каждый из которых многократно превышает допустимый уровень (ПДК).</w:t>
      </w:r>
    </w:p>
    <w:p>
      <w:pPr>
        <w:spacing w:after="0"/>
        <w:ind w:left="0"/>
        <w:jc w:val="both"/>
      </w:pPr>
      <w:r>
        <w:rPr>
          <w:rFonts w:ascii="Times New Roman"/>
          <w:b w:val="false"/>
          <w:i w:val="false"/>
          <w:color w:val="000000"/>
          <w:sz w:val="28"/>
        </w:rPr>
        <w:t>
      В дополнительные показатели включены общепринятые физико-химические и биологические характеристики, дающие общее представление о составе и качестве вод. Эти показатели используются для дополнительной характеристики процессов, происходящих в водных объектах. В дополнительные характеристики включены показатели, учитывающие способность загрязняющих веществ накапливаться в донных отложениях коэффициент донной аккумуляции и гидробионтах (Км).</w:t>
      </w:r>
    </w:p>
    <w:p>
      <w:pPr>
        <w:spacing w:after="0"/>
        <w:ind w:left="0"/>
        <w:jc w:val="both"/>
      </w:pPr>
      <w:r>
        <w:rPr>
          <w:rFonts w:ascii="Times New Roman"/>
          <w:b w:val="false"/>
          <w:i w:val="false"/>
          <w:color w:val="000000"/>
          <w:sz w:val="28"/>
        </w:rPr>
        <w:t>
      Параметры показателей, предложенных для выделения зон, должны наблюдаться на данной территории постоянно на протяжении достаточно длительного времени с минимальным периодом не менее 3 лет. При использовании индексов сапробности по Пантле и Буку в модификации Сладечека, индикаторные значения видов могут быть различными в разных климатических зонах. При применении биотического индекса Вудивиса учитывается, учитываются региональные особенности, а весовые значения "таксономических групп" могут зависеть от состояния водных объектов в различных регионах.</w:t>
      </w:r>
    </w:p>
    <w:p>
      <w:pPr>
        <w:spacing w:after="0"/>
        <w:ind w:left="0"/>
        <w:jc w:val="both"/>
      </w:pPr>
      <w:r>
        <w:rPr>
          <w:rFonts w:ascii="Times New Roman"/>
          <w:b w:val="false"/>
          <w:i w:val="false"/>
          <w:color w:val="000000"/>
          <w:sz w:val="28"/>
        </w:rPr>
        <w:t xml:space="preserve">
      При оценке состояния водных экосистем важны показатели по ихтиофауне, особенно для уникальных, </w:t>
      </w:r>
      <w:r>
        <w:rPr>
          <w:rFonts w:ascii="Times New Roman"/>
          <w:b w:val="false"/>
          <w:i w:val="false"/>
          <w:color w:val="000000"/>
          <w:sz w:val="28"/>
        </w:rPr>
        <w:t>особо охраняемых</w:t>
      </w:r>
      <w:r>
        <w:rPr>
          <w:rFonts w:ascii="Times New Roman"/>
          <w:b w:val="false"/>
          <w:i w:val="false"/>
          <w:color w:val="000000"/>
          <w:sz w:val="28"/>
        </w:rPr>
        <w:t xml:space="preserve"> </w:t>
      </w:r>
      <w:r>
        <w:rPr>
          <w:rFonts w:ascii="Times New Roman"/>
          <w:b w:val="false"/>
          <w:i w:val="false"/>
          <w:color w:val="000000"/>
          <w:sz w:val="28"/>
        </w:rPr>
        <w:t>водных объектов</w:t>
      </w:r>
      <w:r>
        <w:rPr>
          <w:rFonts w:ascii="Times New Roman"/>
          <w:b w:val="false"/>
          <w:i w:val="false"/>
          <w:color w:val="000000"/>
          <w:sz w:val="28"/>
        </w:rPr>
        <w:t xml:space="preserve"> и водоемов первой и высшей рыбохозяйственной категории. Показатели, приведенные в таблице, рассматриваются с учетом региональных особенностей, категории и трофического статуса водоемов (водотоков).</w:t>
      </w:r>
    </w:p>
    <w:p>
      <w:pPr>
        <w:spacing w:after="0"/>
        <w:ind w:left="0"/>
        <w:jc w:val="both"/>
      </w:pPr>
      <w:r>
        <w:rPr>
          <w:rFonts w:ascii="Times New Roman"/>
          <w:b w:val="false"/>
          <w:i w:val="false"/>
          <w:color w:val="000000"/>
          <w:sz w:val="28"/>
        </w:rPr>
        <w:t>
      Рекомендуется использовать любые дополнительные показатели, не вошедшие в обязательный перечень, но дающие необходимые сведения для более полной характеристики состояния водных экосистем. Например, в качестве обобщенной оценки состояния сообществ планктонных и донных животных допускается использование такого показателя как отношение продукции сообщества (Рb) к суммарным тратам на обмен всеми животными, входящими в его состав (Rb). Данный показатель определяется как соотношение между полезной энергией на выходе из системы (сообщества животных) и энергии, рассеиваемой животными в процессах обмена в виде тепловой;</w:t>
      </w:r>
    </w:p>
    <w:p>
      <w:pPr>
        <w:spacing w:after="0"/>
        <w:ind w:left="0"/>
        <w:jc w:val="both"/>
      </w:pPr>
      <w:r>
        <w:rPr>
          <w:rFonts w:ascii="Times New Roman"/>
          <w:b w:val="false"/>
          <w:i w:val="false"/>
          <w:color w:val="000000"/>
          <w:sz w:val="28"/>
        </w:rPr>
        <w:t xml:space="preserve">
      3) показатели для оценки состояния водных экосистем, указанные в </w:t>
      </w:r>
      <w:r>
        <w:rPr>
          <w:rFonts w:ascii="Times New Roman"/>
          <w:b w:val="false"/>
          <w:i w:val="false"/>
          <w:color w:val="000000"/>
          <w:sz w:val="28"/>
        </w:rPr>
        <w:t>приложении 9</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xml:space="preserve">
      4) показатели для оценки истощения водных ресурсов, указанные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xml:space="preserve">
      Основным показателем оценки степени истощения водных ресурсов является норма безвозвратного изъятия поверхностного стока. За норму принят предельно допустимый объем безвозвратного изъятия поверхностного стока, составляющий 30 % от среднемноголетнего значения естественного стока. Безвозвратное изъятие поверхностного стока включает безвозвратное водопотребление в коммунальном хозяйстве, промышленности, теплоэнергетике, сельхозводоснабжении, орошении и промышленном рыбоводстве, с учетом потерь на испарение, межбассейновой переброски стока рек и другие. Оценка объема безвозвратного изъятия стока проводится для замыкающих створов водохозяйственных участков рек. Нормы предельно-допустимого изъятия поверхностного стока должны устанавливаться с целью сохранения экологически устойчивого состояния водных экосистем, за исключением малых водных объектов, использование которых возможно после специального изучения и при наличии положительного </w:t>
      </w:r>
      <w:r>
        <w:rPr>
          <w:rFonts w:ascii="Times New Roman"/>
          <w:b w:val="false"/>
          <w:i w:val="false"/>
          <w:color w:val="000000"/>
          <w:sz w:val="28"/>
        </w:rPr>
        <w:t>заключения</w:t>
      </w:r>
      <w:r>
        <w:rPr>
          <w:rFonts w:ascii="Times New Roman"/>
          <w:b w:val="false"/>
          <w:i w:val="false"/>
          <w:color w:val="000000"/>
          <w:sz w:val="28"/>
        </w:rPr>
        <w:t xml:space="preserve"> государственной экологической </w:t>
      </w:r>
      <w:r>
        <w:rPr>
          <w:rFonts w:ascii="Times New Roman"/>
          <w:b w:val="false"/>
          <w:i w:val="false"/>
          <w:color w:val="000000"/>
          <w:sz w:val="28"/>
        </w:rPr>
        <w:t>экспертизы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показатели для оценки экологического состояния морских акваторий, указанные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Выявление зон чрезвычайной экологической ситуации и зон экологического бедствия для морских акваторий проводится по основным химическим и биологическим показателям на основе анализа и обобщения результатов многолетних наблюдений. Для совокупной оценки опасных уровней химического загрязнения морских вод в случае выявления нескольких загрязняющих веществ в концентрациях, превышающих ПДК, предлагается применять, как и для пресных вод, формализованный суммарный показатель химического загрязнения – ПХЗ (10) (из 10 преобладающих по превышению ПДК загрязняющих веществ). Этот показатель применяется в случае выявления зон чрезвычайной экологической ситуации и зон экологического бедствия. К дополнительным показателям по химическому загрязнению отнесен Биологическое потребление кислорода-5 и растворенный кислород. Для оценки чрезвычайной экологической ситуации по биологическим показателям используются структурные и функциональные характеристики бактерио-, фито- и зоопланктона, бентоса и ихтиофауны, а также отдельных таксонов и видов гидробионтов.</w:t>
      </w:r>
    </w:p>
    <w:p>
      <w:pPr>
        <w:spacing w:after="0"/>
        <w:ind w:left="0"/>
        <w:jc w:val="both"/>
      </w:pPr>
      <w:r>
        <w:rPr>
          <w:rFonts w:ascii="Times New Roman"/>
          <w:b w:val="false"/>
          <w:i w:val="false"/>
          <w:color w:val="000000"/>
          <w:sz w:val="28"/>
        </w:rPr>
        <w:t>
      Экологическое бедствие в морской экосистеме характеризуется резким изменением численности и биомассы еще оставшихся в составе сообществ видов, а при эвтрофикации морских акваторий - мощным "цветением" водорослей (например, "красные приливы"), исчезновением донной флоры и фауны, резким увеличением концентраций индикаторных микроорганизмов. При снижении нагрузок продолжается процесс разрушения структурно-функциональных связей. Изменения в экосистемах приобретают необратимый характер. К дополнительным биологическим показателям оценки состояния морских экосистем отнесен показатель - "морфологические изменения гидробионтов".</w:t>
      </w:r>
    </w:p>
    <w:p>
      <w:pPr>
        <w:spacing w:after="0"/>
        <w:ind w:left="0"/>
        <w:jc w:val="both"/>
      </w:pPr>
      <w:r>
        <w:rPr>
          <w:rFonts w:ascii="Times New Roman"/>
          <w:b w:val="false"/>
          <w:i w:val="false"/>
          <w:color w:val="000000"/>
          <w:sz w:val="28"/>
        </w:rPr>
        <w:t>
      Рекомендуется использовать иные показатели, не вошедшие в основной перечень показателей, но дающие дополнительные сведения о характере, причинах и степени неблагоприятной ситуации. К числу рекомендуемых отнесены следующие:</w:t>
      </w:r>
    </w:p>
    <w:p>
      <w:pPr>
        <w:spacing w:after="0"/>
        <w:ind w:left="0"/>
        <w:jc w:val="both"/>
      </w:pPr>
      <w:r>
        <w:rPr>
          <w:rFonts w:ascii="Times New Roman"/>
          <w:b w:val="false"/>
          <w:i w:val="false"/>
          <w:color w:val="000000"/>
          <w:sz w:val="28"/>
        </w:rPr>
        <w:t>
      интегральная оценка загрязнения морских вод и донных отложений веществами, имеющими мутагенный эффект на тест-объектах (стандартные штаммы микроорганизмов). Мутагенный эффект выражается в процентах проб, вызывающих мутации стандартных штаммов. Относительно удовлетворительная ситуация характеризуется уровнем менее 5 %. Чрезвычайная экологическая ситуация - 20-30 %, экологическое бедствие - более 30 %. Оценка загрязнении донных отложений соединениями с мутагенной активностью отражает длительность экологической ситуации на акватории;</w:t>
      </w:r>
    </w:p>
    <w:p>
      <w:pPr>
        <w:spacing w:after="0"/>
        <w:ind w:left="0"/>
        <w:jc w:val="both"/>
      </w:pPr>
      <w:r>
        <w:rPr>
          <w:rFonts w:ascii="Times New Roman"/>
          <w:b w:val="false"/>
          <w:i w:val="false"/>
          <w:color w:val="000000"/>
          <w:sz w:val="28"/>
        </w:rPr>
        <w:t>
      критические концентрации воздействия загрязняющих веществ (КК). Значения КК характеризуют максимально допустимый уровень загрязнения (мкг/л) водной среды токсичными веществами. При чрезвычайной экологической ситуации, при которой изменения в функционировании морских экосистем являются еще обратимыми, КК от 1 до 2.</w:t>
      </w:r>
    </w:p>
    <w:p>
      <w:pPr>
        <w:spacing w:after="0"/>
        <w:ind w:left="0"/>
        <w:jc w:val="both"/>
      </w:pPr>
      <w:r>
        <w:rPr>
          <w:rFonts w:ascii="Times New Roman"/>
          <w:b w:val="false"/>
          <w:i w:val="false"/>
          <w:color w:val="000000"/>
          <w:sz w:val="28"/>
        </w:rPr>
        <w:t>
      При экологическом бедствии, выражающемся в резкой деградации морской экосистемы, КК более 2-3;</w:t>
      </w:r>
    </w:p>
    <w:p>
      <w:pPr>
        <w:spacing w:after="0"/>
        <w:ind w:left="0"/>
        <w:jc w:val="both"/>
      </w:pPr>
      <w:r>
        <w:rPr>
          <w:rFonts w:ascii="Times New Roman"/>
          <w:b w:val="false"/>
          <w:i w:val="false"/>
          <w:color w:val="000000"/>
          <w:sz w:val="28"/>
        </w:rPr>
        <w:t xml:space="preserve">
      6) показатели для оценки степени загрязнения подземных вод для участков хозяйственных объектов, указанные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Загрязнение подземных вод на участках зоны влияния хозяйственных объектов характеризуется концентрацией загрязняющих веществ и размером площади области загрязнения;</w:t>
      </w:r>
    </w:p>
    <w:p>
      <w:pPr>
        <w:spacing w:after="0"/>
        <w:ind w:left="0"/>
        <w:jc w:val="both"/>
      </w:pPr>
      <w:r>
        <w:rPr>
          <w:rFonts w:ascii="Times New Roman"/>
          <w:b w:val="false"/>
          <w:i w:val="false"/>
          <w:color w:val="000000"/>
          <w:sz w:val="28"/>
        </w:rPr>
        <w:t xml:space="preserve">
      7) показатели для оценки состояния почв, указанные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Выбор критериев экологической оценки состояния почв определяется спецификой их местоположения, генезисом, буферностью, а также разнообразием их использования. Выявление видов деятельности, вызывающих загрязнение почвы, дает полное представление о масштабе и степени загрязнения на обследуемой территории и позволяет значительно сузить и конкретизировать количество показателей.</w:t>
      </w:r>
    </w:p>
    <w:p>
      <w:pPr>
        <w:spacing w:after="0"/>
        <w:ind w:left="0"/>
        <w:jc w:val="both"/>
      </w:pPr>
      <w:r>
        <w:rPr>
          <w:rFonts w:ascii="Times New Roman"/>
          <w:b w:val="false"/>
          <w:i w:val="false"/>
          <w:color w:val="000000"/>
          <w:sz w:val="28"/>
        </w:rPr>
        <w:t>
      В оценке экологического состояния почв основными показателями степени экологического неблагополучия являются критерии физической деградации, химического и биологического загрязнений.</w:t>
      </w:r>
    </w:p>
    <w:p>
      <w:pPr>
        <w:spacing w:after="0"/>
        <w:ind w:left="0"/>
        <w:jc w:val="both"/>
      </w:pPr>
      <w:r>
        <w:rPr>
          <w:rFonts w:ascii="Times New Roman"/>
          <w:b w:val="false"/>
          <w:i w:val="false"/>
          <w:color w:val="000000"/>
          <w:sz w:val="28"/>
        </w:rPr>
        <w:t>
      В качестве критерия экологического состояния территории рекомендуется использовать площадь выведенных из землепользования угодий в результате деградации почв (эрозия, дефляция, вторичные засоление, осолонцевание, заболачивание). Целый ряд негативных процессов (механическое удаление почвенного покрова при открытой добыче полезных ископаемых, строительных работах; провоцируемые человеком водная эрозия и дефляция) приводит к разрушению почвенных горизонтов, степень которого также использована в качестве критерия деградации почв. Разрушение структуры почвы и развитие процессов слитизации характеризуются степенью увеличения плотности почвы, которая является важным показателем деградации почвы. Увеличение уровня грунтовых вод рекомендуется оценивать относительно критического значения, различного для каждого типа почв. Для экотоксикологической оценки почв целесообразно использовать кратность превышения ПДК конкретного загрязняющего вещества дифференцированно для веществ различного класса опасности. В связи с отсутствием для ряда загрязняющих веществ, утвержденных значений ПДК (например, для кадмия), рекомендуется использовать отношение содержания загрязняющих веществ в жидкой фазе почвы (почвенном растворе) к соответствующей величине ПДК для природных вод.</w:t>
      </w:r>
    </w:p>
    <w:p>
      <w:pPr>
        <w:spacing w:after="0"/>
        <w:ind w:left="0"/>
        <w:jc w:val="both"/>
      </w:pPr>
      <w:r>
        <w:rPr>
          <w:rFonts w:ascii="Times New Roman"/>
          <w:b w:val="false"/>
          <w:i w:val="false"/>
          <w:color w:val="000000"/>
          <w:sz w:val="28"/>
        </w:rPr>
        <w:t>
      За комплексный показатель загрязнения почвы принимают фитотоксичность - свойство загрязненной почвы подавлять прорастание семян, рост и развитие высших растений (тестовый показатель). Признаком биологической деградации почвы является снижение жизнедеятельности почвенных микроорганизмов установленое по уменьшению уровня активной микробной биомассы, а также по более распространенному, но менее точному показателю - дыханию почвы. Оценка экологического состояния почв на основании критериев и параметров проводится с учетом площади проявления рассматриваемого критерия, значимость которого определяется региональными особенностями. Кратность превышения предельно допустимых норм загрязняющих веществ в почве, прежде всего, следует оценивать по подвижным формам этих веществ.</w:t>
      </w:r>
    </w:p>
    <w:p>
      <w:pPr>
        <w:spacing w:after="0"/>
        <w:ind w:left="0"/>
        <w:jc w:val="both"/>
      </w:pPr>
      <w:r>
        <w:rPr>
          <w:rFonts w:ascii="Times New Roman"/>
          <w:b w:val="false"/>
          <w:i w:val="false"/>
          <w:color w:val="000000"/>
          <w:sz w:val="28"/>
        </w:rPr>
        <w:t>
      Одним из показателей экологического состояния почв служит биологическая продуктивность ценозов, характеризующая потенциальное плодородие. Для почв сельскохозяйственных территорий таким показателем является средняя урожайность. Рекомендуется для территории экологического бедствия применять снижение урожайности более чем на 75 %, и для территории чрезвычайной экологической ситуации - на 50-75 % при соответствии всего комплекса агротехнических и агрохимических мероприятий для данной местности и культуры. Дополнительным показателем, служащим индикатором степени загрязнения рассматриваемой территории (почвы, воздуха, поливных и грунтовых вод), является доля продукции, не соответствующая требованиям нормативно-технической документации на качество продукции (остаточное количество пестицидов, токсичных элементов, микотоксинов, нитратов, нитритов и др.).</w:t>
      </w:r>
    </w:p>
    <w:p>
      <w:pPr>
        <w:spacing w:after="0"/>
        <w:ind w:left="0"/>
        <w:jc w:val="both"/>
      </w:pPr>
      <w:r>
        <w:rPr>
          <w:rFonts w:ascii="Times New Roman"/>
          <w:b w:val="false"/>
          <w:i w:val="false"/>
          <w:color w:val="000000"/>
          <w:sz w:val="28"/>
        </w:rPr>
        <w:t>
      Данные о состоянии почв следует представлять в виде подробных тематических картографических материалов, включающих информацию по основным показателям и компонентному составу загрязняющих веществ;</w:t>
      </w:r>
    </w:p>
    <w:p>
      <w:pPr>
        <w:spacing w:after="0"/>
        <w:ind w:left="0"/>
        <w:jc w:val="both"/>
      </w:pPr>
      <w:r>
        <w:rPr>
          <w:rFonts w:ascii="Times New Roman"/>
          <w:b w:val="false"/>
          <w:i w:val="false"/>
          <w:color w:val="000000"/>
          <w:sz w:val="28"/>
        </w:rPr>
        <w:t xml:space="preserve">
      8) показатели для оценки экологической опасности деформаций и изменений геологической среды, указанные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Геодинамические показатели деформации геологической среды с экологическими последствиями допускается представлять в форме интенсивности и масштаба проявления современного напряженно-деформированного состояния верхних частей литосферы. Эти показатели определяются параметрами критических скоростей деформации и масштабом ожидаемого сейсмического эффекта. Если исходить из значения порога разрушения любых твердых тел порядка 0,0001 отн. ед., то в качестве предельного (критического) уровня геодинамического воздействия для всех типов объектов можно использовать величину деформации в 0,00001 отн. ед., которая применяется при оценке аномальных техногенных деформаций. Исходя из установленных фактов пространственно-временного изменения современных деформационных процессов в зонах разломов, предельный (критический) уровень деформации в 0,00001 достигается в локальных зонах в течение 15-30 лет. Эти сроки соизмеримы с минимальными сроками эксплуатации особо ответственных объектов и сооружений. Нарушение их функционирования приведет к критическим экологическим последствиям. Уровень деформации в 0,0001 отн. ед. приводит к таким нарушениям геологической среды, которые допускается отнести к зонам экологического бедствия.</w:t>
      </w:r>
    </w:p>
    <w:p>
      <w:pPr>
        <w:spacing w:after="0"/>
        <w:ind w:left="0"/>
        <w:jc w:val="both"/>
      </w:pPr>
      <w:r>
        <w:rPr>
          <w:rFonts w:ascii="Times New Roman"/>
          <w:b w:val="false"/>
          <w:i w:val="false"/>
          <w:color w:val="000000"/>
          <w:sz w:val="28"/>
        </w:rPr>
        <w:t>
      Проявление экзогенных геологических процессов может происходить независимо от деятельности человека. Техногенные факторы усиливают или ослабевают проявление экзогенных геологических процессов. Вмешательство человека в естественный ход развития экзогенных геологических процессов приводит к необратимому изменению природных ландшафтов (оползни, сели, карсты, оседание поверхности и другие);</w:t>
      </w:r>
    </w:p>
    <w:p>
      <w:pPr>
        <w:spacing w:after="0"/>
        <w:ind w:left="0"/>
        <w:jc w:val="both"/>
      </w:pPr>
      <w:r>
        <w:rPr>
          <w:rFonts w:ascii="Times New Roman"/>
          <w:b w:val="false"/>
          <w:i w:val="false"/>
          <w:color w:val="000000"/>
          <w:sz w:val="28"/>
        </w:rPr>
        <w:t xml:space="preserve">
      9) показатели для оценки деградации наземных экосистем, указанные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Оценка степени деградации экосистемы проводится по критериям, которые определяют негативные изменения в структуре и функционировании экосистем.</w:t>
      </w:r>
    </w:p>
    <w:p>
      <w:pPr>
        <w:spacing w:after="0"/>
        <w:ind w:left="0"/>
        <w:jc w:val="both"/>
      </w:pPr>
      <w:r>
        <w:rPr>
          <w:rFonts w:ascii="Times New Roman"/>
          <w:b w:val="false"/>
          <w:i w:val="false"/>
          <w:color w:val="000000"/>
          <w:sz w:val="28"/>
        </w:rPr>
        <w:t>
      Структурно-функциональные изменения в состоянии природных экосистем, несмотря на их различную степень устойчивости, характеризуются однотипными показателями. В зоне чрезвычайной экологической ситуации состояние экосистем характеризуется изменением в соотношении основных трофических групп при снижении (или увеличении) удельной массы одной из групп в пределах 20-50 %, при этом происходит нарушение взаимосвязей внутри экосистемы, но процессы деградации еще не принимают необратимый характер. В зонах экологического бедствия состояние экосистем характеризуется снижением (или увеличением) удельной массы одного из трофических звеньев более чем на 50 %. Нарушения взаимосвязей внутри экосистемы носят необратимый характер, экосистема теряет средо- и ресурсо воспроизводящие функции.</w:t>
      </w:r>
    </w:p>
    <w:p>
      <w:pPr>
        <w:spacing w:after="0"/>
        <w:ind w:left="0"/>
        <w:jc w:val="both"/>
      </w:pPr>
      <w:r>
        <w:rPr>
          <w:rFonts w:ascii="Times New Roman"/>
          <w:b w:val="false"/>
          <w:i w:val="false"/>
          <w:color w:val="000000"/>
          <w:sz w:val="28"/>
        </w:rPr>
        <w:t>
      При оценке экологического состояния территории учитывается как площадь проявления негативных изменений (так как при равной степени деградации участка территории возможность восстановления обратно пропорциональна его площади), так и пространственную неоднородность распределения участков разной степени деградации на исследуемой территории.</w:t>
      </w:r>
    </w:p>
    <w:p>
      <w:pPr>
        <w:spacing w:after="0"/>
        <w:ind w:left="0"/>
        <w:jc w:val="both"/>
      </w:pPr>
      <w:r>
        <w:rPr>
          <w:rFonts w:ascii="Times New Roman"/>
          <w:b w:val="false"/>
          <w:i w:val="false"/>
          <w:color w:val="000000"/>
          <w:sz w:val="28"/>
        </w:rPr>
        <w:t>
      Скорость деградации экосистем рассчитывается по 5-10-летним рядам наблюдений. Оцениватся направленность и скорость деградации экосистем при напряженной экологической ситуации для прогноза ухудшения экологической обстановки и проведения мероприятий по ее стабилизации и улучшению;</w:t>
      </w:r>
    </w:p>
    <w:p>
      <w:pPr>
        <w:spacing w:after="0"/>
        <w:ind w:left="0"/>
        <w:jc w:val="both"/>
      </w:pPr>
      <w:r>
        <w:rPr>
          <w:rFonts w:ascii="Times New Roman"/>
          <w:b w:val="false"/>
          <w:i w:val="false"/>
          <w:color w:val="000000"/>
          <w:sz w:val="28"/>
        </w:rPr>
        <w:t xml:space="preserve">
      10) показатели для оценки состояния растительности как индикатора экологического состояния территории, указанные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Растительность, как биотический компонент любой природной экосистемы, играет решающую роль в структурно-функциональной организации экосистемы и определении ее границ. Растительность не только весьма чувствительна к нарушениям окружающей среды, но и наиболее наглядно отражает изменения экологической обстановки территории в результате антропогенного воздействия. Критерии оценки состояния растительности различаются в зависимости от географических условий и типов экосистем. При этом учитываются негативные изменения как в структуре растительного покрова (уменьшение площади коренных ассоциаций, изменение лесистости), так и на уровне растительных сообществ и отдельных видов (популяций): изменение видового состава, ухудшение ассоциированности и возрастного спектра ценопопуляций доминантов.</w:t>
      </w:r>
    </w:p>
    <w:p>
      <w:pPr>
        <w:spacing w:after="0"/>
        <w:ind w:left="0"/>
        <w:jc w:val="both"/>
      </w:pPr>
      <w:r>
        <w:rPr>
          <w:rFonts w:ascii="Times New Roman"/>
          <w:b w:val="false"/>
          <w:i w:val="false"/>
          <w:color w:val="000000"/>
          <w:sz w:val="28"/>
        </w:rPr>
        <w:t>
      Плотность популяции видов-индикаторов - один из важнейших показателей состояния экосистемы, высокочувствительный к основным антропогенным факторам. В результате антропогенного воздействия плотность популяции отрицательных видов-индикаторов будет снижаться, а положительных видов-индикаторов - возрастать. Пороговым значением антропогенной нагрузки следует считать снижение (или повышение) плотности популяции вида-индикатора на 20 %, а критическим значением - на 50 %.</w:t>
      </w:r>
    </w:p>
    <w:p>
      <w:pPr>
        <w:spacing w:after="0"/>
        <w:ind w:left="0"/>
        <w:jc w:val="both"/>
      </w:pPr>
      <w:r>
        <w:rPr>
          <w:rFonts w:ascii="Times New Roman"/>
          <w:b w:val="false"/>
          <w:i w:val="false"/>
          <w:color w:val="000000"/>
          <w:sz w:val="28"/>
        </w:rPr>
        <w:t>
      Одним из существенных параметров ценопопуляций (ЦП) является возрастной аспект - доля участия в ЦП особей разных возрастных состояний. Возрастные состояния устанавливаются либо на основании комплекса морфологических признаков, либо на основе абсолютного возраста в тех случаях, когда его определение не представляет особых затруднений.</w:t>
      </w:r>
    </w:p>
    <w:p>
      <w:pPr>
        <w:spacing w:after="0"/>
        <w:ind w:left="0"/>
        <w:jc w:val="both"/>
      </w:pPr>
      <w:r>
        <w:rPr>
          <w:rFonts w:ascii="Times New Roman"/>
          <w:b w:val="false"/>
          <w:i w:val="false"/>
          <w:color w:val="000000"/>
          <w:sz w:val="28"/>
        </w:rPr>
        <w:t>
      Параметр реагирует на разные формы антропогенных воздействий как прямых (выпас, рубки, техногенные воздействия), так и опосредованно - через изменение экотопа.</w:t>
      </w:r>
    </w:p>
    <w:p>
      <w:pPr>
        <w:spacing w:after="0"/>
        <w:ind w:left="0"/>
        <w:jc w:val="both"/>
      </w:pPr>
      <w:r>
        <w:rPr>
          <w:rFonts w:ascii="Times New Roman"/>
          <w:b w:val="false"/>
          <w:i w:val="false"/>
          <w:color w:val="000000"/>
          <w:sz w:val="28"/>
        </w:rPr>
        <w:t>
      Состояние растительности можно рассматривать как индикатор уровня антропогенной нагрузки на природную среду обитания (повреждение древостоя или хвои техногенными выбросами, уменьшение проективного покрытия и продуктивности пастбищной растительности).</w:t>
      </w:r>
    </w:p>
    <w:p>
      <w:pPr>
        <w:spacing w:after="0"/>
        <w:ind w:left="0"/>
        <w:jc w:val="both"/>
      </w:pPr>
      <w:r>
        <w:rPr>
          <w:rFonts w:ascii="Times New Roman"/>
          <w:b w:val="false"/>
          <w:i w:val="false"/>
          <w:color w:val="000000"/>
          <w:sz w:val="28"/>
        </w:rPr>
        <w:t>
      Изменение проективного покрытия происходит в результате различных типов антропогенного воздействия на растительность, главными из которых являются механическое нарушение фитоценоза (выпас, рекреация и т.д.) и химическое воздействие, приводящее к изменению жизненного состояния видов популяций через изменение процессов метаболизма и водного баланса.</w:t>
      </w:r>
    </w:p>
    <w:p>
      <w:pPr>
        <w:spacing w:after="0"/>
        <w:ind w:left="0"/>
        <w:jc w:val="both"/>
      </w:pPr>
      <w:r>
        <w:rPr>
          <w:rFonts w:ascii="Times New Roman"/>
          <w:b w:val="false"/>
          <w:i w:val="false"/>
          <w:color w:val="000000"/>
          <w:sz w:val="28"/>
        </w:rPr>
        <w:t>
      Уменьшение запаса древесины основных лесообразующих пород свидетельствует о процессе деградации лесных экосистем в результате неудовлетворительной лесохозяйственной деятельности.</w:t>
      </w:r>
    </w:p>
    <w:p>
      <w:pPr>
        <w:spacing w:after="0"/>
        <w:ind w:left="0"/>
        <w:jc w:val="both"/>
      </w:pPr>
      <w:r>
        <w:rPr>
          <w:rFonts w:ascii="Times New Roman"/>
          <w:b w:val="false"/>
          <w:i w:val="false"/>
          <w:color w:val="000000"/>
          <w:sz w:val="28"/>
        </w:rPr>
        <w:t>
      Лесные пожары являются опасным фактором, приводящим к деградации значительных площадей лесных экосистем. Обширные гари, на которых не происходит восстановление леса в течение не менее 10 лет, являются признаком необратимых изменений в экосистеме. При оценке состояния лесных культур необходимо учитывать региональные особенности территории, прежде всего, возможность естественного возобновления леса.</w:t>
      </w:r>
    </w:p>
    <w:p>
      <w:pPr>
        <w:spacing w:after="0"/>
        <w:ind w:left="0"/>
        <w:jc w:val="both"/>
      </w:pPr>
      <w:r>
        <w:rPr>
          <w:rFonts w:ascii="Times New Roman"/>
          <w:b w:val="false"/>
          <w:i w:val="false"/>
          <w:color w:val="000000"/>
          <w:sz w:val="28"/>
        </w:rPr>
        <w:t>
      Некоторые критерии состояния агроценозов свидетельствуют о неблагополучной экологической обстановке территории в целом: развитие вредителей на посевах, гибель посевов и др. При использовании данных критериев необходимо обязательно указать причины гибели посевов и показать на карте ареалы негативных изменений.</w:t>
      </w:r>
    </w:p>
    <w:p>
      <w:pPr>
        <w:spacing w:after="0"/>
        <w:ind w:left="0"/>
        <w:jc w:val="both"/>
      </w:pPr>
      <w:r>
        <w:rPr>
          <w:rFonts w:ascii="Times New Roman"/>
          <w:b w:val="false"/>
          <w:i w:val="false"/>
          <w:color w:val="000000"/>
          <w:sz w:val="28"/>
        </w:rPr>
        <w:t>
      Повреждение растительности заповедников свидетельствует об изменениях в среде обитания, имеющих субрегиональный и региональный характер. Изменения качественных и количественных характеристик растительного покрова допускается объективно интерпретировать только в сравнении с естественным состоянием растительных сообществ. При этом под фоновыми понимаются относительно ненарушенные участки, аналогичные по своим природно-ландшафтным характеристикам исследуемой территории;</w:t>
      </w:r>
    </w:p>
    <w:p>
      <w:pPr>
        <w:spacing w:after="0"/>
        <w:ind w:left="0"/>
        <w:jc w:val="both"/>
      </w:pPr>
      <w:r>
        <w:rPr>
          <w:rFonts w:ascii="Times New Roman"/>
          <w:b w:val="false"/>
          <w:i w:val="false"/>
          <w:color w:val="000000"/>
          <w:sz w:val="28"/>
        </w:rPr>
        <w:t xml:space="preserve">
      11) показатели для оценки состояния фауны и изменения генофонда животных как индикатора экологического состояния территории, указанные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Критерии и показатели состояния животного мира рассматриваются на уровне зооценоза и отдельных видов животных (популяций).</w:t>
      </w:r>
    </w:p>
    <w:p>
      <w:pPr>
        <w:spacing w:after="0"/>
        <w:ind w:left="0"/>
        <w:jc w:val="both"/>
      </w:pPr>
      <w:r>
        <w:rPr>
          <w:rFonts w:ascii="Times New Roman"/>
          <w:b w:val="false"/>
          <w:i w:val="false"/>
          <w:color w:val="000000"/>
          <w:sz w:val="28"/>
        </w:rPr>
        <w:t>
      Изменение разнообразия, как критерий оценок состояния зооценоза в целом, необходимо рассчитывать, учитывая, что данный критерий связан с оценкой обилия, а численность многих животных подвержена циклическим изменениям.</w:t>
      </w:r>
    </w:p>
    <w:p>
      <w:pPr>
        <w:spacing w:after="0"/>
        <w:ind w:left="0"/>
        <w:jc w:val="both"/>
      </w:pPr>
      <w:r>
        <w:rPr>
          <w:rFonts w:ascii="Times New Roman"/>
          <w:b w:val="false"/>
          <w:i w:val="false"/>
          <w:color w:val="000000"/>
          <w:sz w:val="28"/>
        </w:rPr>
        <w:t>
      Необходимо определить временной шаг для оценки, сравнивая 10-летние периоды. Оценка разнообразия проводится по критерию Симпсона (D), который рассчитывается по формуле:</w:t>
      </w:r>
    </w:p>
    <w:p>
      <w:pPr>
        <w:spacing w:after="0"/>
        <w:ind w:left="0"/>
        <w:jc w:val="both"/>
      </w:pPr>
      <w:r>
        <w:rPr>
          <w:rFonts w:ascii="Times New Roman"/>
          <w:b w:val="false"/>
          <w:i w:val="false"/>
          <w:color w:val="000000"/>
          <w:sz w:val="28"/>
        </w:rPr>
        <w:t>
      D=1/P</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доля каждого вида в суммарном обилии, взятом за единицу. Для проведения данной оценки необязательно использовать данные по всей фауне, можно ограничиться анализом характерных групп видов, по которым имеется надежная информация.</w:t>
      </w:r>
    </w:p>
    <w:p>
      <w:pPr>
        <w:spacing w:after="0"/>
        <w:ind w:left="0"/>
        <w:jc w:val="both"/>
      </w:pPr>
      <w:r>
        <w:rPr>
          <w:rFonts w:ascii="Times New Roman"/>
          <w:b w:val="false"/>
          <w:i w:val="false"/>
          <w:color w:val="000000"/>
          <w:sz w:val="28"/>
        </w:rPr>
        <w:t>
      Изменения хозяйственно-значимых видов животных оцениваются с использованием данных по абсолютной численности в среднем за 10-летние периоды и требуют статистической обработки.</w:t>
      </w:r>
    </w:p>
    <w:p>
      <w:pPr>
        <w:spacing w:after="0"/>
        <w:ind w:left="0"/>
        <w:jc w:val="both"/>
      </w:pPr>
      <w:r>
        <w:rPr>
          <w:rFonts w:ascii="Times New Roman"/>
          <w:b w:val="false"/>
          <w:i w:val="false"/>
          <w:color w:val="000000"/>
          <w:sz w:val="28"/>
        </w:rPr>
        <w:t>
      При оценке изменения плотности популяции видов-индикаторов антропогенной нагрузки необходимо учитывать их различную реакцию на воздействие: популяции устойчивых видов будут увеличивать свою численность, а популяции видов, чувствительных к антропогенной нагрузке - уменьшать ее;</w:t>
      </w:r>
    </w:p>
    <w:p>
      <w:pPr>
        <w:spacing w:after="0"/>
        <w:ind w:left="0"/>
        <w:jc w:val="both"/>
      </w:pPr>
      <w:r>
        <w:rPr>
          <w:rFonts w:ascii="Times New Roman"/>
          <w:b w:val="false"/>
          <w:i w:val="false"/>
          <w:color w:val="000000"/>
          <w:sz w:val="28"/>
        </w:rPr>
        <w:t xml:space="preserve">
      12) биохимические показатели для оценки территорий, указанные в </w:t>
      </w:r>
      <w:r>
        <w:rPr>
          <w:rFonts w:ascii="Times New Roman"/>
          <w:b w:val="false"/>
          <w:i w:val="false"/>
          <w:color w:val="000000"/>
          <w:sz w:val="28"/>
        </w:rPr>
        <w:t>приложении 18</w:t>
      </w:r>
      <w:r>
        <w:rPr>
          <w:rFonts w:ascii="Times New Roman"/>
          <w:b w:val="false"/>
          <w:i w:val="false"/>
          <w:color w:val="000000"/>
          <w:sz w:val="28"/>
        </w:rPr>
        <w:t xml:space="preserve"> к настоящим Критериям.</w:t>
      </w:r>
    </w:p>
    <w:p>
      <w:pPr>
        <w:spacing w:after="0"/>
        <w:ind w:left="0"/>
        <w:jc w:val="both"/>
      </w:pPr>
      <w:r>
        <w:rPr>
          <w:rFonts w:ascii="Times New Roman"/>
          <w:b w:val="false"/>
          <w:i w:val="false"/>
          <w:color w:val="000000"/>
          <w:sz w:val="28"/>
        </w:rPr>
        <w:t>
      С биохимических позиций экологически неблагополучные территории можно рассматривать как биохимические провинции с резким изменением химического элементного состава компонентов окружающей природной среды. Эти провинции могут быть не только природного, но и техногенного происхождения.</w:t>
      </w:r>
    </w:p>
    <w:p>
      <w:pPr>
        <w:spacing w:after="0"/>
        <w:ind w:left="0"/>
        <w:jc w:val="both"/>
      </w:pPr>
      <w:r>
        <w:rPr>
          <w:rFonts w:ascii="Times New Roman"/>
          <w:b w:val="false"/>
          <w:i w:val="false"/>
          <w:color w:val="000000"/>
          <w:sz w:val="28"/>
        </w:rPr>
        <w:t>
      Для оценки экологического состояния территорий предлагается использовать показатели изменения соотношения содержания C:N, Ca:P; Ca:Sr в различных компонентах окружающей среды, а также уровни содержания токсичных и биологически активных микроэлементов в укосах растений с пробных площадок и в растительных кормах.</w:t>
      </w:r>
    </w:p>
    <w:bookmarkStart w:name="z37" w:id="34"/>
    <w:p>
      <w:pPr>
        <w:spacing w:after="0"/>
        <w:ind w:left="0"/>
        <w:jc w:val="left"/>
      </w:pPr>
      <w:r>
        <w:rPr>
          <w:rFonts w:ascii="Times New Roman"/>
          <w:b/>
          <w:i w:val="false"/>
          <w:color w:val="000000"/>
        </w:rPr>
        <w:t xml:space="preserve"> 7. Медико-демографические показатели для оценки</w:t>
      </w:r>
      <w:r>
        <w:br/>
      </w:r>
      <w:r>
        <w:rPr>
          <w:rFonts w:ascii="Times New Roman"/>
          <w:b/>
          <w:i w:val="false"/>
          <w:color w:val="000000"/>
        </w:rPr>
        <w:t>состояния здоровья населения, применяемые для оценки</w:t>
      </w:r>
      <w:r>
        <w:br/>
      </w:r>
      <w:r>
        <w:rPr>
          <w:rFonts w:ascii="Times New Roman"/>
          <w:b/>
          <w:i w:val="false"/>
          <w:color w:val="000000"/>
        </w:rPr>
        <w:t>экологической обстановки территории</w:t>
      </w:r>
    </w:p>
    <w:bookmarkEnd w:id="34"/>
    <w:bookmarkStart w:name="z38" w:id="35"/>
    <w:p>
      <w:pPr>
        <w:spacing w:after="0"/>
        <w:ind w:left="0"/>
        <w:jc w:val="both"/>
      </w:pPr>
      <w:r>
        <w:rPr>
          <w:rFonts w:ascii="Times New Roman"/>
          <w:b w:val="false"/>
          <w:i w:val="false"/>
          <w:color w:val="000000"/>
          <w:sz w:val="28"/>
        </w:rPr>
        <w:t xml:space="preserve">
      24. К основным медико-демографическим показателям относятся: заболеваемость, детская смертность, медико-генетические нарушения, специфические и онкологические заболевания, которые могут отражать воздействие окружающей среды. </w:t>
      </w:r>
    </w:p>
    <w:bookmarkEnd w:id="35"/>
    <w:bookmarkStart w:name="z39" w:id="36"/>
    <w:p>
      <w:pPr>
        <w:spacing w:after="0"/>
        <w:ind w:left="0"/>
        <w:jc w:val="both"/>
      </w:pPr>
      <w:r>
        <w:rPr>
          <w:rFonts w:ascii="Times New Roman"/>
          <w:b w:val="false"/>
          <w:i w:val="false"/>
          <w:color w:val="000000"/>
          <w:sz w:val="28"/>
        </w:rPr>
        <w:t>
      25. Медико-демографические показатели по экологически неблагоприятным территориям сравниваются с аналогичными показателями на контрольных (фоновых) территориях в этих же климатогеографических зонах. В качестве таких контрольных (фоновых) территорий принимаются населенные пункты или их отдельные части, на которых имеются аналогичные социально-экономические условия проживания, благоприятная экологическая ситуация, отсутствуют факторы, воздействующие на качество окружающей среды.</w:t>
      </w:r>
    </w:p>
    <w:bookmarkEnd w:id="36"/>
    <w:p>
      <w:pPr>
        <w:spacing w:after="0"/>
        <w:ind w:left="0"/>
        <w:jc w:val="both"/>
      </w:pPr>
      <w:r>
        <w:rPr>
          <w:rFonts w:ascii="Times New Roman"/>
          <w:b w:val="false"/>
          <w:i w:val="false"/>
          <w:color w:val="000000"/>
          <w:sz w:val="28"/>
        </w:rPr>
        <w:t xml:space="preserve">
      Определять такие показатели рекомендуется раздельно для городского и сельского населения. Средняя величина из нескольких минимальных показателей принимается в качестве контрольного (фонового) значения. В качестве контрольных величин не используется только средние показатели по республике и области, предпочтение отдается показателям, рассчитываемым за 10 лет, и (или) их динамика за этот период. В качестве исключения допускается использование относительно редко встречающихся заболеваний, а также специфических заболеваний и других нарушений состояния здоровья, этиологически связанных с факторами окружающей среды антропогенной нагрузки. В качестве контрольных цифр допускается использование данных по территории за предшествующие годы, при расчете медицинских показателей - использование данных государственной медицинской статистики, специальных информационных систем, регистров по отдельным заболеваниям, и как дополнение, результатов специально выполненных популяционных или когортных исследований (с учетом высокой степени достоверности представляемой информации). </w:t>
      </w:r>
    </w:p>
    <w:bookmarkStart w:name="z40" w:id="37"/>
    <w:p>
      <w:pPr>
        <w:spacing w:after="0"/>
        <w:ind w:left="0"/>
        <w:jc w:val="both"/>
      </w:pPr>
      <w:r>
        <w:rPr>
          <w:rFonts w:ascii="Times New Roman"/>
          <w:b w:val="false"/>
          <w:i w:val="false"/>
          <w:color w:val="000000"/>
          <w:sz w:val="28"/>
        </w:rPr>
        <w:t>
      26. При подготовке материалов по медико-демографическим показателям представляется полный первичный материал, на основе которого ставится вопрос об отнесении территории к зонам экологического неблагополучия. Представляемые материалы включают полную информацию по приложению "Основные показатели" и, по возможности, - по приложению "Дополнительные показатели". Кроме указанных показателей по территории, уполномоченным государственным органам в области здравоохранения допукается представлять любые другие материалы, характеризующие состояние здоровья и влияние на него загрязнения окружающей природной среды.</w:t>
      </w:r>
    </w:p>
    <w:bookmarkEnd w:id="37"/>
    <w:p>
      <w:pPr>
        <w:spacing w:after="0"/>
        <w:ind w:left="0"/>
        <w:jc w:val="both"/>
      </w:pPr>
      <w:r>
        <w:rPr>
          <w:rFonts w:ascii="Times New Roman"/>
          <w:b w:val="false"/>
          <w:i w:val="false"/>
          <w:color w:val="000000"/>
          <w:sz w:val="28"/>
        </w:rPr>
        <w:t>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экологического неблагополучия (в том случае, если установлено экологическое неблагополучие).</w:t>
      </w:r>
    </w:p>
    <w:p>
      <w:pPr>
        <w:spacing w:after="0"/>
        <w:ind w:left="0"/>
        <w:jc w:val="both"/>
      </w:pPr>
      <w:r>
        <w:rPr>
          <w:rFonts w:ascii="Times New Roman"/>
          <w:b w:val="false"/>
          <w:i w:val="false"/>
          <w:color w:val="000000"/>
          <w:sz w:val="28"/>
        </w:rPr>
        <w:t xml:space="preserve">
      Медико-демографические показатели для оценки состояния здоровья населения, применяемые для оценки экологической обстановки территории указаны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Критериям.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42" w:id="38"/>
    <w:p>
      <w:pPr>
        <w:spacing w:after="0"/>
        <w:ind w:left="0"/>
        <w:jc w:val="left"/>
      </w:pPr>
      <w:r>
        <w:rPr>
          <w:rFonts w:ascii="Times New Roman"/>
          <w:b/>
          <w:i w:val="false"/>
          <w:color w:val="000000"/>
        </w:rPr>
        <w:t xml:space="preserve"> Критерии оценки степени загрязнения атмосферного</w:t>
      </w:r>
      <w:r>
        <w:br/>
      </w:r>
      <w:r>
        <w:rPr>
          <w:rFonts w:ascii="Times New Roman"/>
          <w:b/>
          <w:i w:val="false"/>
          <w:color w:val="000000"/>
        </w:rPr>
        <w:t>воздуха по среднесуточным концентрациям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859"/>
        <w:gridCol w:w="3357"/>
        <w:gridCol w:w="2505"/>
        <w:gridCol w:w="3358"/>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суток (N) с К</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p>
            <w:pPr>
              <w:spacing w:after="20"/>
              <w:ind w:left="20"/>
              <w:jc w:val="both"/>
            </w:pPr>
            <w:r>
              <w:rPr>
                <w:rFonts w:ascii="Times New Roman"/>
                <w:b w:val="false"/>
                <w:i w:val="false"/>
                <w:color w:val="000000"/>
                <w:sz w:val="20"/>
              </w:rPr>
              <w:t>
&gt;5</w:t>
            </w:r>
          </w:p>
          <w:p>
            <w:pPr>
              <w:spacing w:after="20"/>
              <w:ind w:left="20"/>
              <w:jc w:val="both"/>
            </w:pPr>
            <w:r>
              <w:rPr>
                <w:rFonts w:ascii="Times New Roman"/>
                <w:b w:val="false"/>
                <w:i w:val="false"/>
                <w:color w:val="000000"/>
                <w:sz w:val="20"/>
              </w:rPr>
              <w:t>
&gt;7,5</w:t>
            </w:r>
          </w:p>
          <w:p>
            <w:pPr>
              <w:spacing w:after="20"/>
              <w:ind w:left="20"/>
              <w:jc w:val="both"/>
            </w:pPr>
            <w:r>
              <w:rPr>
                <w:rFonts w:ascii="Times New Roman"/>
                <w:b w:val="false"/>
                <w:i w:val="false"/>
                <w:color w:val="000000"/>
                <w:sz w:val="20"/>
              </w:rPr>
              <w:t>
&gt;12</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7&lt;N&lt;20 подряд</w:t>
            </w:r>
          </w:p>
          <w:p>
            <w:pPr>
              <w:spacing w:after="20"/>
              <w:ind w:left="20"/>
              <w:jc w:val="both"/>
            </w:pPr>
            <w:r>
              <w:rPr>
                <w:rFonts w:ascii="Times New Roman"/>
                <w:b w:val="false"/>
                <w:i w:val="false"/>
                <w:color w:val="000000"/>
                <w:sz w:val="20"/>
              </w:rPr>
              <w:t>
7&lt;N&lt;20 подряд</w:t>
            </w:r>
          </w:p>
          <w:p>
            <w:pPr>
              <w:spacing w:after="20"/>
              <w:ind w:left="20"/>
              <w:jc w:val="both"/>
            </w:pPr>
            <w:r>
              <w:rPr>
                <w:rFonts w:ascii="Times New Roman"/>
                <w:b w:val="false"/>
                <w:i w:val="false"/>
                <w:color w:val="000000"/>
                <w:sz w:val="20"/>
              </w:rPr>
              <w:t>
&gt;30 подряд</w:t>
            </w:r>
          </w:p>
          <w:p>
            <w:pPr>
              <w:spacing w:after="20"/>
              <w:ind w:left="20"/>
              <w:jc w:val="both"/>
            </w:pPr>
            <w:r>
              <w:rPr>
                <w:rFonts w:ascii="Times New Roman"/>
                <w:b w:val="false"/>
                <w:i w:val="false"/>
                <w:color w:val="000000"/>
                <w:sz w:val="20"/>
              </w:rPr>
              <w:t>
&gt;30 подряд</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p>
            <w:pPr>
              <w:spacing w:after="20"/>
              <w:ind w:left="20"/>
              <w:jc w:val="both"/>
            </w:pPr>
            <w:r>
              <w:rPr>
                <w:rFonts w:ascii="Times New Roman"/>
                <w:b w:val="false"/>
                <w:i w:val="false"/>
                <w:color w:val="000000"/>
                <w:sz w:val="20"/>
              </w:rPr>
              <w:t>
4 - 5</w:t>
            </w:r>
          </w:p>
          <w:p>
            <w:pPr>
              <w:spacing w:after="20"/>
              <w:ind w:left="20"/>
              <w:jc w:val="both"/>
            </w:pPr>
            <w:r>
              <w:rPr>
                <w:rFonts w:ascii="Times New Roman"/>
                <w:b w:val="false"/>
                <w:i w:val="false"/>
                <w:color w:val="000000"/>
                <w:sz w:val="20"/>
              </w:rPr>
              <w:t>
5 - 7,5</w:t>
            </w:r>
          </w:p>
          <w:p>
            <w:pPr>
              <w:spacing w:after="20"/>
              <w:ind w:left="20"/>
              <w:jc w:val="both"/>
            </w:pPr>
            <w:r>
              <w:rPr>
                <w:rFonts w:ascii="Times New Roman"/>
                <w:b w:val="false"/>
                <w:i w:val="false"/>
                <w:color w:val="000000"/>
                <w:sz w:val="20"/>
              </w:rPr>
              <w:t>
8 - 12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7&lt;N&lt;20 подряд</w:t>
            </w:r>
          </w:p>
          <w:p>
            <w:pPr>
              <w:spacing w:after="20"/>
              <w:ind w:left="20"/>
              <w:jc w:val="both"/>
            </w:pPr>
            <w:r>
              <w:rPr>
                <w:rFonts w:ascii="Times New Roman"/>
                <w:b w:val="false"/>
                <w:i w:val="false"/>
                <w:color w:val="000000"/>
                <w:sz w:val="20"/>
              </w:rPr>
              <w:t>
7&lt;N&lt;20 подряд</w:t>
            </w:r>
          </w:p>
          <w:p>
            <w:pPr>
              <w:spacing w:after="20"/>
              <w:ind w:left="20"/>
              <w:jc w:val="both"/>
            </w:pPr>
            <w:r>
              <w:rPr>
                <w:rFonts w:ascii="Times New Roman"/>
                <w:b w:val="false"/>
                <w:i w:val="false"/>
                <w:color w:val="000000"/>
                <w:sz w:val="20"/>
              </w:rPr>
              <w:t>
&gt;30 подряд</w:t>
            </w:r>
          </w:p>
          <w:p>
            <w:pPr>
              <w:spacing w:after="20"/>
              <w:ind w:left="20"/>
              <w:jc w:val="both"/>
            </w:pPr>
            <w:r>
              <w:rPr>
                <w:rFonts w:ascii="Times New Roman"/>
                <w:b w:val="false"/>
                <w:i w:val="false"/>
                <w:color w:val="000000"/>
                <w:sz w:val="20"/>
              </w:rPr>
              <w:t>
&gt;30 подряд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4" w:id="39"/>
    <w:p>
      <w:pPr>
        <w:spacing w:after="0"/>
        <w:ind w:left="0"/>
        <w:jc w:val="left"/>
      </w:pPr>
      <w:r>
        <w:rPr>
          <w:rFonts w:ascii="Times New Roman"/>
          <w:b/>
          <w:i w:val="false"/>
          <w:color w:val="000000"/>
        </w:rPr>
        <w:t xml:space="preserve"> Оценка степени загрязнения атмосферного воздуха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293"/>
        <w:gridCol w:w="2057"/>
        <w:gridCol w:w="4126"/>
        <w:gridCol w:w="2058"/>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измерений выше К</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&gt;3 - 5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&gt;5 - 7,5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12,5 - 20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46" w:id="40"/>
    <w:p>
      <w:pPr>
        <w:spacing w:after="0"/>
        <w:ind w:left="0"/>
        <w:jc w:val="left"/>
      </w:pPr>
      <w:r>
        <w:rPr>
          <w:rFonts w:ascii="Times New Roman"/>
          <w:b/>
          <w:i w:val="false"/>
          <w:color w:val="000000"/>
        </w:rPr>
        <w:t xml:space="preserve"> Значение коэффициентов "а" для различных веществ: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7"/>
        <w:gridCol w:w="2433"/>
      </w:tblGrid>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азота оксид, азота диоксид, бензол, бенз/а/перен, марганца диоксид, озон, серы диоксид, сероуглерод, синтетические жирные кислоты, фенол, формальдегид, хлоропрен.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анилин, взвешенные вещества (пыль), углерода оксид, хлор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 серная кислота, фосфорный ангидрид, фториды (твердые)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втористый водород, хлористый водород, этилбензол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48" w:id="41"/>
    <w:p>
      <w:pPr>
        <w:spacing w:after="0"/>
        <w:ind w:left="0"/>
        <w:jc w:val="left"/>
      </w:pPr>
      <w:r>
        <w:rPr>
          <w:rFonts w:ascii="Times New Roman"/>
          <w:b/>
          <w:i w:val="false"/>
          <w:color w:val="000000"/>
        </w:rPr>
        <w:t xml:space="preserve"> Комплексный показатель для оценки среднегодового</w:t>
      </w:r>
      <w:r>
        <w:br/>
      </w:r>
      <w:r>
        <w:rPr>
          <w:rFonts w:ascii="Times New Roman"/>
          <w:b/>
          <w:i w:val="false"/>
          <w:color w:val="000000"/>
        </w:rPr>
        <w:t>загрязнения атмосферного воздуха по</w:t>
      </w:r>
      <w:r>
        <w:br/>
      </w:r>
      <w:r>
        <w:rPr>
          <w:rFonts w:ascii="Times New Roman"/>
          <w:b/>
          <w:i w:val="false"/>
          <w:color w:val="000000"/>
        </w:rPr>
        <w:t>комплексному показателю</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2455"/>
        <w:gridCol w:w="4065"/>
        <w:gridCol w:w="1343"/>
      </w:tblGrid>
      <w:tr>
        <w:trPr>
          <w:trHeight w:val="30" w:hRule="atLeast"/>
        </w:trPr>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val="false"/>
                <w:color w:val="000000"/>
                <w:sz w:val="20"/>
              </w:rPr>
              <w:t xml:space="preserve"> для количества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вещество</w:t>
            </w:r>
          </w:p>
          <w:p>
            <w:pPr>
              <w:spacing w:after="20"/>
              <w:ind w:left="20"/>
              <w:jc w:val="both"/>
            </w:pPr>
            <w:r>
              <w:rPr>
                <w:rFonts w:ascii="Times New Roman"/>
                <w:b w:val="false"/>
                <w:i w:val="false"/>
                <w:color w:val="000000"/>
                <w:sz w:val="20"/>
              </w:rPr>
              <w:t>
2-4 вещества</w:t>
            </w:r>
          </w:p>
          <w:p>
            <w:pPr>
              <w:spacing w:after="20"/>
              <w:ind w:left="20"/>
              <w:jc w:val="both"/>
            </w:pPr>
            <w:r>
              <w:rPr>
                <w:rFonts w:ascii="Times New Roman"/>
                <w:b w:val="false"/>
                <w:i w:val="false"/>
                <w:color w:val="000000"/>
                <w:sz w:val="20"/>
              </w:rPr>
              <w:t>
5-9 веществ</w:t>
            </w:r>
          </w:p>
          <w:p>
            <w:pPr>
              <w:spacing w:after="20"/>
              <w:ind w:left="20"/>
              <w:jc w:val="both"/>
            </w:pPr>
            <w:r>
              <w:rPr>
                <w:rFonts w:ascii="Times New Roman"/>
                <w:b w:val="false"/>
                <w:i w:val="false"/>
                <w:color w:val="000000"/>
                <w:sz w:val="20"/>
              </w:rPr>
              <w:t>
10-16 веществ</w:t>
            </w:r>
          </w:p>
          <w:p>
            <w:pPr>
              <w:spacing w:after="20"/>
              <w:ind w:left="20"/>
              <w:jc w:val="both"/>
            </w:pPr>
            <w:r>
              <w:rPr>
                <w:rFonts w:ascii="Times New Roman"/>
                <w:b w:val="false"/>
                <w:i w:val="false"/>
                <w:color w:val="000000"/>
                <w:sz w:val="20"/>
              </w:rPr>
              <w:t>
16-25 веществ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16</w:t>
            </w:r>
          </w:p>
          <w:p>
            <w:pPr>
              <w:spacing w:after="20"/>
              <w:ind w:left="20"/>
              <w:jc w:val="both"/>
            </w:pPr>
            <w:r>
              <w:rPr>
                <w:rFonts w:ascii="Times New Roman"/>
                <w:b w:val="false"/>
                <w:i w:val="false"/>
                <w:color w:val="000000"/>
                <w:sz w:val="20"/>
              </w:rPr>
              <w:t>
более 32</w:t>
            </w:r>
          </w:p>
          <w:p>
            <w:pPr>
              <w:spacing w:after="20"/>
              <w:ind w:left="20"/>
              <w:jc w:val="both"/>
            </w:pPr>
            <w:r>
              <w:rPr>
                <w:rFonts w:ascii="Times New Roman"/>
                <w:b w:val="false"/>
                <w:i w:val="false"/>
                <w:color w:val="000000"/>
                <w:sz w:val="20"/>
              </w:rPr>
              <w:t>
более 48</w:t>
            </w:r>
          </w:p>
          <w:p>
            <w:pPr>
              <w:spacing w:after="20"/>
              <w:ind w:left="20"/>
              <w:jc w:val="both"/>
            </w:pPr>
            <w:r>
              <w:rPr>
                <w:rFonts w:ascii="Times New Roman"/>
                <w:b w:val="false"/>
                <w:i w:val="false"/>
                <w:color w:val="000000"/>
                <w:sz w:val="20"/>
              </w:rPr>
              <w:t>
более 64</w:t>
            </w:r>
          </w:p>
          <w:p>
            <w:pPr>
              <w:spacing w:after="20"/>
              <w:ind w:left="20"/>
              <w:jc w:val="both"/>
            </w:pPr>
            <w:r>
              <w:rPr>
                <w:rFonts w:ascii="Times New Roman"/>
                <w:b w:val="false"/>
                <w:i w:val="false"/>
                <w:color w:val="000000"/>
                <w:sz w:val="20"/>
              </w:rPr>
              <w:t>
более 80</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16-32</w:t>
            </w:r>
          </w:p>
          <w:p>
            <w:pPr>
              <w:spacing w:after="20"/>
              <w:ind w:left="20"/>
              <w:jc w:val="both"/>
            </w:pPr>
            <w:r>
              <w:rPr>
                <w:rFonts w:ascii="Times New Roman"/>
                <w:b w:val="false"/>
                <w:i w:val="false"/>
                <w:color w:val="000000"/>
                <w:sz w:val="20"/>
              </w:rPr>
              <w:t>
32-48</w:t>
            </w:r>
          </w:p>
          <w:p>
            <w:pPr>
              <w:spacing w:after="20"/>
              <w:ind w:left="20"/>
              <w:jc w:val="both"/>
            </w:pPr>
            <w:r>
              <w:rPr>
                <w:rFonts w:ascii="Times New Roman"/>
                <w:b w:val="false"/>
                <w:i w:val="false"/>
                <w:color w:val="000000"/>
                <w:sz w:val="20"/>
              </w:rPr>
              <w:t>
48-64</w:t>
            </w:r>
          </w:p>
          <w:p>
            <w:pPr>
              <w:spacing w:after="20"/>
              <w:ind w:left="20"/>
              <w:jc w:val="both"/>
            </w:pPr>
            <w:r>
              <w:rPr>
                <w:rFonts w:ascii="Times New Roman"/>
                <w:b w:val="false"/>
                <w:i w:val="false"/>
                <w:color w:val="000000"/>
                <w:sz w:val="20"/>
              </w:rPr>
              <w:t>
64-80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50" w:id="42"/>
    <w:p>
      <w:pPr>
        <w:spacing w:after="0"/>
        <w:ind w:left="0"/>
        <w:jc w:val="left"/>
      </w:pPr>
      <w:r>
        <w:rPr>
          <w:rFonts w:ascii="Times New Roman"/>
          <w:b/>
          <w:i w:val="false"/>
          <w:color w:val="000000"/>
        </w:rPr>
        <w:t xml:space="preserve"> Показатели для оценки санитарно-эпидемиологической ситуации,</w:t>
      </w:r>
      <w:r>
        <w:br/>
      </w:r>
      <w:r>
        <w:rPr>
          <w:rFonts w:ascii="Times New Roman"/>
          <w:b/>
          <w:i w:val="false"/>
          <w:color w:val="000000"/>
        </w:rPr>
        <w:t>связанной с питьевой водой централизованного водоснабжения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84"/>
        <w:gridCol w:w="1935"/>
        <w:gridCol w:w="3361"/>
        <w:gridCol w:w="1712"/>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(число образующих колоний бактерий в 1 мл)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(число бактерий в 100 мл)</w:t>
            </w:r>
            <w:r>
              <w:rPr>
                <w:rFonts w:ascii="Times New Roman"/>
                <w:b w:val="false"/>
                <w:i w:val="false"/>
                <w:color w:val="000000"/>
                <w:vertAlign w:val="superscript"/>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 (число бактерий в 100 мл)</w:t>
            </w:r>
            <w:r>
              <w:rPr>
                <w:rFonts w:ascii="Times New Roman"/>
                <w:b w:val="false"/>
                <w:i w:val="false"/>
                <w:color w:val="000000"/>
                <w:vertAlign w:val="superscript"/>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 (число бляшкообразующих единиц (БОЕ) в 100 мл)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сульфитредуцирующих клостридий (число спор в 20 мл)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встречаемость</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лямблий (число цист в 50 л)</w:t>
            </w:r>
            <w:r>
              <w:rPr>
                <w:rFonts w:ascii="Times New Roman"/>
                <w:b w:val="false"/>
                <w:i w:val="false"/>
                <w:color w:val="000000"/>
                <w:vertAlign w:val="superscript"/>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Превышение норматива по общим колиформным бактериям не допускается в 95 %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При определении термотолерантных колиформных бактерий проводится трехкратное исследование по 100 мл отобранной пробы воды.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Определение спор сульфитредуцирующих клостридий проводится при оценке эффективности технологии обработки воды.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145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bookmarkStart w:name="z51" w:id="43"/>
    <w:p>
      <w:pPr>
        <w:spacing w:after="0"/>
        <w:ind w:left="0"/>
        <w:jc w:val="left"/>
      </w:pPr>
      <w:r>
        <w:rPr>
          <w:rFonts w:ascii="Times New Roman"/>
          <w:b/>
          <w:i w:val="false"/>
          <w:color w:val="000000"/>
        </w:rPr>
        <w:t xml:space="preserve">  Показатели для оценки санитарно-эпидемиологической</w:t>
      </w:r>
      <w:r>
        <w:br/>
      </w:r>
      <w:r>
        <w:rPr>
          <w:rFonts w:ascii="Times New Roman"/>
          <w:b/>
          <w:i w:val="false"/>
          <w:color w:val="000000"/>
        </w:rPr>
        <w:t>опасности загрязнения питьевой воды и источников</w:t>
      </w:r>
      <w:r>
        <w:br/>
      </w:r>
      <w:r>
        <w:rPr>
          <w:rFonts w:ascii="Times New Roman"/>
          <w:b/>
          <w:i w:val="false"/>
          <w:color w:val="000000"/>
        </w:rPr>
        <w:t>питьевого водоснабжения химическими веществами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4966"/>
        <w:gridCol w:w="1625"/>
        <w:gridCol w:w="2307"/>
        <w:gridCol w:w="2345"/>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Основные показатели</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токсических веществ первого класса опасности (чрезвычайно опасные вещества):</w:t>
            </w:r>
          </w:p>
          <w:p>
            <w:pPr>
              <w:spacing w:after="20"/>
              <w:ind w:left="20"/>
              <w:jc w:val="both"/>
            </w:pPr>
            <w:r>
              <w:rPr>
                <w:rFonts w:ascii="Times New Roman"/>
                <w:b w:val="false"/>
                <w:i w:val="false"/>
                <w:color w:val="000000"/>
                <w:sz w:val="20"/>
              </w:rPr>
              <w:t>
бериллий, ртуть, бенз(а)пирен, линдан, 3, 4, 7, 8 диоксин</w:t>
            </w:r>
            <w:r>
              <w:rPr>
                <w:rFonts w:ascii="Times New Roman"/>
                <w:b w:val="false"/>
                <w:i w:val="false"/>
                <w:color w:val="000000"/>
                <w:vertAlign w:val="superscript"/>
              </w:rPr>
              <w:t>2</w:t>
            </w:r>
            <w:r>
              <w:rPr>
                <w:rFonts w:ascii="Times New Roman"/>
                <w:b w:val="false"/>
                <w:i w:val="false"/>
                <w:color w:val="000000"/>
                <w:sz w:val="20"/>
              </w:rPr>
              <w:t>, дихлорэтилен, диэтилртуть, галлий, тетраэтилсвинец, тетраэтилолово, трихлорбифенил, кратных нормативам ПДК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второго класса опасности (высокоопасные вещества): - алюминий, барий, бор, кадмий, молибден, мышьяк, нитриты, свинец, селен, стронций, цианиды, в ПДК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 (ПДК)*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показатели</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токсичных веществ третьего и четвертого классов опасности (опасные и умеренно опасные вещества): аммоний, никель, нитраты, хром, медь, марганец, цинк, фенолы, нефтепродукты, фосфаты, (в ПДК)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гигиенических нормативов*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Физико-химические свойства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Фенольный индекс (мг/л)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0,75 - 0,25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Поверхностно-активные вещества (ПАВ), анионоактивные (мг/л)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(сухой остаток, мг/л)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5000 - 1000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(мт-экв./л)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альфа-радиоактивность (Бк/л)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бета-радиоактивность (Бк/л)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Органолептические характеристики</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 и привкус, баллы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w:t>
            </w:r>
          </w:p>
        </w:tc>
      </w:tr>
      <w:tr>
        <w:trPr>
          <w:trHeight w:val="30" w:hRule="atLeast"/>
        </w:trPr>
        <w:tc>
          <w:tcPr>
            <w:tcW w:w="0" w:type="auto"/>
            <w:vMerge/>
            <w:tcBorders>
              <w:top w:val="nil"/>
              <w:left w:val="single" w:color="cfcfcf" w:sz="5"/>
              <w:bottom w:val="single" w:color="cfcfcf" w:sz="5"/>
              <w:right w:val="single" w:color="cfcfcf" w:sz="5"/>
            </w:tcBorders>
          </w:tcP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(мг/л, по каолину)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(пленки, пятна масляные и др.)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до 2/3 обозримой площади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пятна тусклой окраски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Степень опасности загрязнения водоисточников питьевого назначения оценивается с учетом влияния пороговой концентрации веществ на санитарный режим водоемов и барьерной способности используемой технологической схемы водоочистки.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Для диоксинов допустимый уровень составляет 0,02 нг/л.</w:t>
            </w:r>
          </w:p>
          <w:p>
            <w:pPr>
              <w:spacing w:after="20"/>
              <w:ind w:left="20"/>
              <w:jc w:val="both"/>
            </w:pPr>
            <w:r>
              <w:rPr>
                <w:rFonts w:ascii="Times New Roman"/>
                <w:b w:val="false"/>
                <w:i w:val="false"/>
                <w:color w:val="000000"/>
                <w:sz w:val="20"/>
              </w:rPr>
              <w:t xml:space="preserve">
Разъяснение: оценка опасности загрязнения веществами, не указанными в приложении 5, производится в соответствии с санитарными нормами и правилами. </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145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bookmarkStart w:name="z52" w:id="44"/>
    <w:p>
      <w:pPr>
        <w:spacing w:after="0"/>
        <w:ind w:left="0"/>
        <w:jc w:val="left"/>
      </w:pPr>
      <w:r>
        <w:rPr>
          <w:rFonts w:ascii="Times New Roman"/>
          <w:b/>
          <w:i w:val="false"/>
          <w:color w:val="000000"/>
        </w:rPr>
        <w:t xml:space="preserve">  Показатели для оценки санитарно-эпидемиологической</w:t>
      </w:r>
      <w:r>
        <w:br/>
      </w:r>
      <w:r>
        <w:rPr>
          <w:rFonts w:ascii="Times New Roman"/>
          <w:b/>
          <w:i w:val="false"/>
          <w:color w:val="000000"/>
        </w:rPr>
        <w:t>ситуации, связанной с качеством воды водоисточников</w:t>
      </w:r>
      <w:r>
        <w:br/>
      </w:r>
      <w:r>
        <w:rPr>
          <w:rFonts w:ascii="Times New Roman"/>
          <w:b/>
          <w:i w:val="false"/>
          <w:color w:val="000000"/>
        </w:rPr>
        <w:t>питьевого и рекрационного назначения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2188"/>
        <w:gridCol w:w="1421"/>
        <w:gridCol w:w="2078"/>
        <w:gridCol w:w="6"/>
        <w:gridCol w:w="4430"/>
        <w:gridCol w:w="707"/>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 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Вода водоисточников</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патогенные простейшие:</w:t>
            </w:r>
          </w:p>
          <w:p>
            <w:pPr>
              <w:spacing w:after="20"/>
              <w:ind w:left="20"/>
              <w:jc w:val="both"/>
            </w:pPr>
            <w:r>
              <w:rPr>
                <w:rFonts w:ascii="Times New Roman"/>
                <w:b w:val="false"/>
                <w:i w:val="false"/>
                <w:color w:val="000000"/>
                <w:sz w:val="20"/>
              </w:rPr>
              <w:t>
цисты лямблий, дизентерийных амеб, эалантидий,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r>
              <w:rPr>
                <w:rFonts w:ascii="Times New Roman"/>
                <w:b w:val="false"/>
                <w:i w:val="false"/>
                <w:color w:val="000000"/>
                <w:vertAlign w:val="superscript"/>
              </w:rPr>
              <w:t>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аскарид, власоглавов, трихостронгилид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яйца тениид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Актиномицеты КОЕ/дм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 содержание колониальных единиц в 1 дм</w:t>
            </w:r>
            <w:r>
              <w:rPr>
                <w:rFonts w:ascii="Times New Roman"/>
                <w:b w:val="false"/>
                <w:i w:val="false"/>
                <w:color w:val="000000"/>
                <w:vertAlign w:val="superscript"/>
              </w:rPr>
              <w:t>3</w:t>
            </w:r>
            <w:r>
              <w:rPr>
                <w:rFonts w:ascii="Times New Roman"/>
                <w:b w:val="false"/>
                <w:i w:val="false"/>
                <w:color w:val="000000"/>
                <w:sz w:val="20"/>
              </w:rPr>
              <w:t xml:space="preserve">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10 000</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100 - 10 000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Рекреационные воды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патогенные простейшие:</w:t>
            </w:r>
          </w:p>
          <w:p>
            <w:pPr>
              <w:spacing w:after="20"/>
              <w:ind w:left="20"/>
              <w:jc w:val="both"/>
            </w:pPr>
            <w:r>
              <w:rPr>
                <w:rFonts w:ascii="Times New Roman"/>
                <w:b w:val="false"/>
                <w:i w:val="false"/>
                <w:color w:val="000000"/>
                <w:sz w:val="20"/>
              </w:rPr>
              <w:t>
- цисты лямблий, дизентерийных амеб, балантидий, криптоспоридий</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Геогельминты:</w:t>
            </w:r>
          </w:p>
          <w:p>
            <w:pPr>
              <w:spacing w:after="20"/>
              <w:ind w:left="20"/>
              <w:jc w:val="both"/>
            </w:pPr>
            <w:r>
              <w:rPr>
                <w:rFonts w:ascii="Times New Roman"/>
                <w:b w:val="false"/>
                <w:i w:val="false"/>
                <w:color w:val="000000"/>
                <w:sz w:val="20"/>
              </w:rPr>
              <w:t>
- яйца аскарид, власоглавов, трихостронгилид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описторхид, дифиллотриид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тениид</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шистосоматид (возбудители циркориозов)</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Актиномицеты КОЕ/дм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-содержание колониальных единиц в 1 дм</w:t>
            </w:r>
            <w:r>
              <w:rPr>
                <w:rFonts w:ascii="Times New Roman"/>
                <w:b w:val="false"/>
                <w:i w:val="false"/>
                <w:color w:val="000000"/>
                <w:vertAlign w:val="superscript"/>
              </w:rPr>
              <w:t>3</w:t>
            </w:r>
            <w:r>
              <w:rPr>
                <w:rFonts w:ascii="Times New Roman"/>
                <w:b w:val="false"/>
                <w:i w:val="false"/>
                <w:color w:val="000000"/>
                <w:sz w:val="20"/>
              </w:rPr>
              <w:t xml:space="preserve"> воды</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1000 - 1 000 000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единичная встречаемость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Число возбудителей (цисты, яйца) в 1 дм</w:t>
            </w:r>
            <w:r>
              <w:rPr>
                <w:rFonts w:ascii="Times New Roman"/>
                <w:b w:val="false"/>
                <w:i w:val="false"/>
                <w:color w:val="000000"/>
                <w:vertAlign w:val="superscript"/>
              </w:rPr>
              <w:t>3</w:t>
            </w:r>
            <w:r>
              <w:rPr>
                <w:rFonts w:ascii="Times New Roman"/>
                <w:b w:val="false"/>
                <w:i w:val="false"/>
                <w:color w:val="000000"/>
                <w:sz w:val="20"/>
              </w:rPr>
              <w:t xml:space="preserve"> воды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54" w:id="45"/>
    <w:p>
      <w:pPr>
        <w:spacing w:after="0"/>
        <w:ind w:left="0"/>
        <w:jc w:val="left"/>
      </w:pPr>
      <w:r>
        <w:rPr>
          <w:rFonts w:ascii="Times New Roman"/>
          <w:b/>
          <w:i w:val="false"/>
          <w:color w:val="000000"/>
        </w:rPr>
        <w:t xml:space="preserve"> Показатели для оценки санитарно-эпидемиологического</w:t>
      </w:r>
      <w:r>
        <w:br/>
      </w:r>
      <w:r>
        <w:rPr>
          <w:rFonts w:ascii="Times New Roman"/>
          <w:b/>
          <w:i w:val="false"/>
          <w:color w:val="000000"/>
        </w:rPr>
        <w:t>состояния почвы населенных мест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230"/>
        <w:gridCol w:w="2092"/>
        <w:gridCol w:w="4149"/>
        <w:gridCol w:w="3346"/>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яиц гельминтов в 1 кг почвы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анаэробов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0,01 - 0,001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личинок и куколок мух на участке 0,25 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загрязнения экзогенными химическими веществами - кратность превышения ПДК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самоочищения почвы - титр термофилов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0,00001 - 0,00002</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0,001 - 0,0002</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Хлебникова</w:t>
            </w:r>
            <w:r>
              <w:rPr>
                <w:rFonts w:ascii="Times New Roman"/>
                <w:b w:val="false"/>
                <w:i w:val="false"/>
                <w:color w:val="000000"/>
                <w:vertAlign w:val="superscript"/>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0,7 - 0,85</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"Санитарное число Хлебникова" - соотношение количества почвенного белкового азота (в миллиграммах на 100 грамм абсолютно сухой почвы) к количеству органического азота (в миллиграммах на 100 грамм абсолютно сухой почвы)</w:t>
            </w:r>
          </w:p>
          <w:p>
            <w:pPr>
              <w:spacing w:after="20"/>
              <w:ind w:left="20"/>
              <w:jc w:val="both"/>
            </w:pPr>
            <w:r>
              <w:rPr>
                <w:rFonts w:ascii="Times New Roman"/>
                <w:b w:val="false"/>
                <w:i w:val="false"/>
                <w:color w:val="000000"/>
                <w:sz w:val="20"/>
              </w:rPr>
              <w:t>
*В соответствии с санитарно-эпидемиологическими требованиями согласно </w:t>
            </w:r>
            <w:r>
              <w:rPr>
                <w:rFonts w:ascii="Times New Roman"/>
                <w:b w:val="false"/>
                <w:i w:val="false"/>
                <w:color w:val="000000"/>
                <w:sz w:val="20"/>
              </w:rPr>
              <w:t>статьи 145</w:t>
            </w:r>
            <w:r>
              <w:rPr>
                <w:rFonts w:ascii="Times New Roman"/>
                <w:b w:val="false"/>
                <w:i w:val="false"/>
                <w:color w:val="000000"/>
                <w:sz w:val="20"/>
              </w:rPr>
              <w:t xml:space="preserve"> Кодекса Республики Казахстан "О здоровье народа и системе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56" w:id="46"/>
    <w:p>
      <w:pPr>
        <w:spacing w:after="0"/>
        <w:ind w:left="0"/>
        <w:jc w:val="left"/>
      </w:pPr>
      <w:r>
        <w:rPr>
          <w:rFonts w:ascii="Times New Roman"/>
          <w:b/>
          <w:i w:val="false"/>
          <w:color w:val="000000"/>
        </w:rPr>
        <w:t xml:space="preserve"> Показатели для оценки загрязнения атмосферного</w:t>
      </w:r>
      <w:r>
        <w:br/>
      </w:r>
      <w:r>
        <w:rPr>
          <w:rFonts w:ascii="Times New Roman"/>
          <w:b/>
          <w:i w:val="false"/>
          <w:color w:val="000000"/>
        </w:rPr>
        <w:t>воздуха по веществам, влияющим на наземную</w:t>
      </w:r>
      <w:r>
        <w:br/>
      </w:r>
      <w:r>
        <w:rPr>
          <w:rFonts w:ascii="Times New Roman"/>
          <w:b/>
          <w:i w:val="false"/>
          <w:color w:val="000000"/>
        </w:rPr>
        <w:t>растительность и водные экосистемы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63"/>
        <w:gridCol w:w="3112"/>
        <w:gridCol w:w="1667"/>
        <w:gridCol w:w="15"/>
        <w:gridCol w:w="4345"/>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млг/м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уровни для наземной растительности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Долговременное воздействие</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 течение 1 часа</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 течение 3 часов</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300 - 500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между 9-16 часами каждого дня в период 1 апреля - 30 сентября ежегодно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нагрузки для лесных и водных экосистем</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серы, г/м</w:t>
            </w:r>
            <w:r>
              <w:rPr>
                <w:rFonts w:ascii="Times New Roman"/>
                <w:b w:val="false"/>
                <w:i w:val="false"/>
                <w:color w:val="000000"/>
                <w:vertAlign w:val="superscript"/>
              </w:rPr>
              <w:t>2</w:t>
            </w:r>
            <w:r>
              <w:rPr>
                <w:rFonts w:ascii="Times New Roman"/>
                <w:b w:val="false"/>
                <w:i w:val="false"/>
                <w:color w:val="000000"/>
                <w:sz w:val="20"/>
              </w:rPr>
              <w:t xml:space="preserve"> в год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азота, г/м</w:t>
            </w:r>
            <w:r>
              <w:rPr>
                <w:rFonts w:ascii="Times New Roman"/>
                <w:b w:val="false"/>
                <w:i w:val="false"/>
                <w:color w:val="000000"/>
                <w:vertAlign w:val="superscript"/>
              </w:rPr>
              <w:t>2</w:t>
            </w:r>
            <w:r>
              <w:rPr>
                <w:rFonts w:ascii="Times New Roman"/>
                <w:b w:val="false"/>
                <w:i w:val="false"/>
                <w:color w:val="000000"/>
                <w:sz w:val="20"/>
              </w:rPr>
              <w:t xml:space="preserve"> в год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Ионы водорода, кг/м</w:t>
            </w:r>
            <w:r>
              <w:rPr>
                <w:rFonts w:ascii="Times New Roman"/>
                <w:b w:val="false"/>
                <w:i w:val="false"/>
                <w:color w:val="000000"/>
                <w:vertAlign w:val="superscript"/>
              </w:rPr>
              <w:t>2</w:t>
            </w:r>
            <w:r>
              <w:rPr>
                <w:rFonts w:ascii="Times New Roman"/>
                <w:b w:val="false"/>
                <w:i w:val="false"/>
                <w:color w:val="000000"/>
                <w:sz w:val="20"/>
              </w:rPr>
              <w:t xml:space="preserve"> в год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и центральные районы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58" w:id="47"/>
    <w:p>
      <w:pPr>
        <w:spacing w:after="0"/>
        <w:ind w:left="0"/>
        <w:jc w:val="left"/>
      </w:pPr>
      <w:r>
        <w:rPr>
          <w:rFonts w:ascii="Times New Roman"/>
          <w:b/>
          <w:i w:val="false"/>
          <w:color w:val="000000"/>
        </w:rPr>
        <w:t xml:space="preserve"> Показатели для оценки степени химического</w:t>
      </w:r>
      <w:r>
        <w:br/>
      </w:r>
      <w:r>
        <w:rPr>
          <w:rFonts w:ascii="Times New Roman"/>
          <w:b/>
          <w:i w:val="false"/>
          <w:color w:val="000000"/>
        </w:rPr>
        <w:t>загрязнения поверхностных вод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2796"/>
        <w:gridCol w:w="2547"/>
        <w:gridCol w:w="3455"/>
        <w:gridCol w:w="2548"/>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ПДК 1</w:t>
            </w:r>
          </w:p>
          <w:p>
            <w:pPr>
              <w:spacing w:after="20"/>
              <w:ind w:left="20"/>
              <w:jc w:val="both"/>
            </w:pPr>
            <w:r>
              <w:rPr>
                <w:rFonts w:ascii="Times New Roman"/>
                <w:b w:val="false"/>
                <w:i w:val="false"/>
                <w:color w:val="000000"/>
                <w:sz w:val="20"/>
              </w:rPr>
              <w:t>
- 2 класс опасности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класс опасности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класс опасности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35 - 80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Запахи, привкусы, баллы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примеси: нефть и нефтепродукты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темной окраски, занимающая 2/3 обозримой площади</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Яркие полосы или тусклая окраска пятен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среды, рН</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5,7 - 6,5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 ХПК (антропогенная составляющая к фону), мг/дм3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процентов насыщения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Биогенные вещества: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(NO</w:t>
            </w:r>
            <w:r>
              <w:rPr>
                <w:rFonts w:ascii="Times New Roman"/>
                <w:b w:val="false"/>
                <w:i w:val="false"/>
                <w:color w:val="000000"/>
                <w:vertAlign w:val="subscript"/>
              </w:rPr>
              <w:t>2</w:t>
            </w:r>
            <w:r>
              <w:rPr>
                <w:rFonts w:ascii="Times New Roman"/>
                <w:b w:val="false"/>
                <w:i w:val="false"/>
                <w:color w:val="000000"/>
                <w:sz w:val="20"/>
              </w:rPr>
              <w:t>), ПДК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(NO</w:t>
            </w:r>
            <w:r>
              <w:rPr>
                <w:rFonts w:ascii="Times New Roman"/>
                <w:b w:val="false"/>
                <w:i w:val="false"/>
                <w:color w:val="000000"/>
                <w:vertAlign w:val="subscript"/>
              </w:rPr>
              <w:t>3</w:t>
            </w:r>
            <w:r>
              <w:rPr>
                <w:rFonts w:ascii="Times New Roman"/>
                <w:b w:val="false"/>
                <w:i w:val="false"/>
                <w:color w:val="000000"/>
                <w:sz w:val="20"/>
              </w:rPr>
              <w:t>), ПДК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аммония (NH</w:t>
            </w:r>
            <w:r>
              <w:rPr>
                <w:rFonts w:ascii="Times New Roman"/>
                <w:b w:val="false"/>
                <w:i w:val="false"/>
                <w:color w:val="000000"/>
                <w:vertAlign w:val="subscript"/>
              </w:rPr>
              <w:t>4</w:t>
            </w:r>
            <w:r>
              <w:rPr>
                <w:rFonts w:ascii="Times New Roman"/>
                <w:b w:val="false"/>
                <w:i w:val="false"/>
                <w:color w:val="000000"/>
                <w:sz w:val="20"/>
              </w:rPr>
              <w:t>), ПДК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(РО</w:t>
            </w:r>
            <w:r>
              <w:rPr>
                <w:rFonts w:ascii="Times New Roman"/>
                <w:b w:val="false"/>
                <w:i w:val="false"/>
                <w:color w:val="000000"/>
                <w:vertAlign w:val="subscript"/>
              </w:rPr>
              <w:t>4</w:t>
            </w:r>
            <w:r>
              <w:rPr>
                <w:rFonts w:ascii="Times New Roman"/>
                <w:b w:val="false"/>
                <w:i w:val="false"/>
                <w:color w:val="000000"/>
                <w:sz w:val="20"/>
              </w:rPr>
              <w:t>) мг/дм</w:t>
            </w:r>
            <w:r>
              <w:rPr>
                <w:rFonts w:ascii="Times New Roman"/>
                <w:b w:val="false"/>
                <w:i w:val="false"/>
                <w:color w:val="000000"/>
                <w:vertAlign w:val="superscript"/>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мг/дм</w:t>
            </w:r>
            <w:r>
              <w:rPr>
                <w:rFonts w:ascii="Times New Roman"/>
                <w:b w:val="false"/>
                <w:i w:val="false"/>
                <w:color w:val="000000"/>
                <w:vertAlign w:val="superscript"/>
              </w:rPr>
              <w:t>3</w:t>
            </w:r>
            <w:r>
              <w:rPr>
                <w:rFonts w:ascii="Times New Roman"/>
                <w:b w:val="false"/>
                <w:i w:val="false"/>
                <w:color w:val="000000"/>
                <w:sz w:val="20"/>
              </w:rPr>
              <w:t xml:space="preserve"> (превышение регионального уровня)</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уровень</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КДА (коэффициент донной аккумуляции)</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w:t>
            </w:r>
            <w:r>
              <w:rPr>
                <w:rFonts w:ascii="Times New Roman"/>
                <w:b w:val="false"/>
                <w:i w:val="false"/>
                <w:color w:val="000000"/>
                <w:vertAlign w:val="superscript"/>
              </w:rPr>
              <w:t>4</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3</w:t>
            </w:r>
            <w:r>
              <w:rPr>
                <w:rFonts w:ascii="Times New Roman"/>
                <w:b w:val="false"/>
                <w:i w:val="false"/>
                <w:color w:val="000000"/>
                <w:sz w:val="20"/>
              </w:rPr>
              <w:t>-n.10</w:t>
            </w:r>
            <w:r>
              <w:rPr>
                <w:rFonts w:ascii="Times New Roman"/>
                <w:b w:val="false"/>
                <w:i w:val="false"/>
                <w:color w:val="000000"/>
                <w:vertAlign w:val="superscript"/>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(коэффициент накопления в гидробионтах)</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n.10</w:t>
            </w:r>
            <w:r>
              <w:rPr>
                <w:rFonts w:ascii="Times New Roman"/>
                <w:b w:val="false"/>
                <w:i w:val="false"/>
                <w:color w:val="000000"/>
                <w:vertAlign w:val="superscript"/>
              </w:rPr>
              <w:t>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-n.10</w:t>
            </w:r>
            <w:r>
              <w:rPr>
                <w:rFonts w:ascii="Times New Roman"/>
                <w:b w:val="false"/>
                <w:i w:val="false"/>
                <w:color w:val="000000"/>
                <w:vertAlign w:val="superscript"/>
              </w:rPr>
              <w:t>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60" w:id="48"/>
    <w:p>
      <w:pPr>
        <w:spacing w:after="0"/>
        <w:ind w:left="0"/>
        <w:jc w:val="left"/>
      </w:pPr>
      <w:r>
        <w:rPr>
          <w:rFonts w:ascii="Times New Roman"/>
          <w:b/>
          <w:i w:val="false"/>
          <w:color w:val="000000"/>
        </w:rPr>
        <w:t xml:space="preserve">  Показатели для оценки состояния водных экосистем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881"/>
        <w:gridCol w:w="1688"/>
        <w:gridCol w:w="5729"/>
        <w:gridCol w:w="1398"/>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водорослей или единичные экз. видов</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сине-зеленых, пряди нитчатых водорослей, отдельные представители других групп водорослей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фитопланктона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хлорофилла "а", мкг/л</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Среднелетняя биомасса фитопланктона, мг/дм</w:t>
            </w:r>
            <w:r>
              <w:rPr>
                <w:rFonts w:ascii="Times New Roman"/>
                <w:b w:val="false"/>
                <w:i w:val="false"/>
                <w:color w:val="000000"/>
                <w:vertAlign w:val="superscript"/>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Фитомасса нитчатых водорослей, кг/м</w:t>
            </w:r>
            <w:r>
              <w:rPr>
                <w:rFonts w:ascii="Times New Roman"/>
                <w:b w:val="false"/>
                <w:i w:val="false"/>
                <w:color w:val="000000"/>
                <w:vertAlign w:val="superscript"/>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экземпляры панцирных коловраток, их зимние яйца</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снижение численности и разнообразия панцирных коловраток, единичные экземпляры низших ракообразных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зоопланктона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Присутствие только некоторых видов червей, не требовательных к кислороду (тубифицид)</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сокращение численности и разнообразия донных животных, присутствие тубифицид (олигохет) и таниподин (хирономид)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развитие зообентоса на региональном уровне</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Биотический индекс по Вудивису (с учетом региональных особенностей), баллы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Олигохетный индекс, отношение численности олигохет к численности всего зообентоса, процентов</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Хирономидный индекс по Балушкиной</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ценных и редких видов рыб;</w:t>
            </w:r>
          </w:p>
          <w:p>
            <w:pPr>
              <w:spacing w:after="20"/>
              <w:ind w:left="20"/>
              <w:jc w:val="both"/>
            </w:pPr>
            <w:r>
              <w:rPr>
                <w:rFonts w:ascii="Times New Roman"/>
                <w:b w:val="false"/>
                <w:i w:val="false"/>
                <w:color w:val="000000"/>
                <w:sz w:val="20"/>
              </w:rPr>
              <w:t>
Отсутствие запасов промысловых рыб</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 50 - 25 % ценных и редких видов рыб от их запасов, снижение на 50 - 25 % запасов промысловых рыб от их запасов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естественного состояния ихтиофауны;</w:t>
            </w:r>
          </w:p>
          <w:p>
            <w:pPr>
              <w:spacing w:after="20"/>
              <w:ind w:left="20"/>
              <w:jc w:val="both"/>
            </w:pPr>
            <w:r>
              <w:rPr>
                <w:rFonts w:ascii="Times New Roman"/>
                <w:b w:val="false"/>
                <w:i w:val="false"/>
                <w:color w:val="000000"/>
                <w:sz w:val="20"/>
              </w:rPr>
              <w:t>
Величина вылова не нарушает естественного воспроизводства рыб</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рыб, связанная с хроническим токсикозом (миопатия, язвенная болезнь и т.д.), % от годового улова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признаков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Интегральный показатель качества вод:</w:t>
            </w:r>
          </w:p>
          <w:p>
            <w:pPr>
              <w:spacing w:after="20"/>
              <w:ind w:left="20"/>
              <w:jc w:val="both"/>
            </w:pPr>
            <w:r>
              <w:rPr>
                <w:rFonts w:ascii="Times New Roman"/>
                <w:b w:val="false"/>
                <w:i w:val="false"/>
                <w:color w:val="000000"/>
                <w:sz w:val="20"/>
              </w:rPr>
              <w:t>
биотестирование на ракообразных (дафнии и цериодафнии), гибель 50 % и более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100 и более раз</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проявляется при кратности разбавления от 50 до 100 раз</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неразбавленной воде летальные действия</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рачков в течение 96 и 48 часов соответственно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более раз</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 100 раз</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сапробности планктона по Пантле и Буку (в модификации Сладечека)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Олегохетный индекс: по Цанеру, тыс. экз/м</w:t>
            </w:r>
            <w:r>
              <w:rPr>
                <w:rFonts w:ascii="Times New Roman"/>
                <w:b w:val="false"/>
                <w:i w:val="false"/>
                <w:color w:val="000000"/>
                <w:vertAlign w:val="superscript"/>
              </w:rPr>
              <w:t>2</w:t>
            </w:r>
            <w:r>
              <w:rPr>
                <w:rFonts w:ascii="Times New Roman"/>
                <w:b w:val="false"/>
                <w:i w:val="false"/>
                <w:color w:val="000000"/>
                <w:sz w:val="20"/>
              </w:rPr>
              <w:t>тубифициды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лимнобрилюсы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Пареле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62" w:id="49"/>
    <w:p>
      <w:pPr>
        <w:spacing w:after="0"/>
        <w:ind w:left="0"/>
        <w:jc w:val="left"/>
      </w:pPr>
      <w:r>
        <w:rPr>
          <w:rFonts w:ascii="Times New Roman"/>
          <w:b/>
          <w:i w:val="false"/>
          <w:color w:val="000000"/>
        </w:rPr>
        <w:t xml:space="preserve"> Показатели для оценки истощения водных ресурсов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318"/>
        <w:gridCol w:w="2319"/>
        <w:gridCol w:w="1815"/>
      </w:tblGrid>
      <w:tr>
        <w:trPr>
          <w:trHeight w:val="30" w:hRule="atLeast"/>
        </w:trPr>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Безвозвратное изъятие объема поверхностного стока, число раз от допустимой нормы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64" w:id="50"/>
    <w:p>
      <w:pPr>
        <w:spacing w:after="0"/>
        <w:ind w:left="0"/>
        <w:jc w:val="left"/>
      </w:pPr>
      <w:r>
        <w:rPr>
          <w:rFonts w:ascii="Times New Roman"/>
          <w:b/>
          <w:i w:val="false"/>
          <w:color w:val="000000"/>
        </w:rPr>
        <w:t xml:space="preserve"> Показатели для оценки экологического</w:t>
      </w:r>
      <w:r>
        <w:br/>
      </w:r>
      <w:r>
        <w:rPr>
          <w:rFonts w:ascii="Times New Roman"/>
          <w:b/>
          <w:i w:val="false"/>
          <w:color w:val="000000"/>
        </w:rPr>
        <w:t>состояния морских акваторий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466"/>
        <w:gridCol w:w="1919"/>
        <w:gridCol w:w="3779"/>
        <w:gridCol w:w="3332"/>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(концентрации даны в мг/дм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1-2 класс опасности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ПХЗ(10)</w:t>
            </w:r>
            <w:r>
              <w:rPr>
                <w:rFonts w:ascii="Times New Roman"/>
                <w:b w:val="false"/>
                <w:i w:val="false"/>
                <w:color w:val="000000"/>
                <w:vertAlign w:val="superscript"/>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 опасности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80 - 35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класс опасности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Биологическое потребление кислорода (БПК</w:t>
            </w:r>
            <w:r>
              <w:rPr>
                <w:rFonts w:ascii="Times New Roman"/>
                <w:b w:val="false"/>
                <w:i w:val="false"/>
                <w:color w:val="000000"/>
                <w:vertAlign w:val="subscript"/>
              </w:rPr>
              <w:t>5</w:t>
            </w:r>
            <w:r>
              <w:rPr>
                <w:rFonts w:ascii="Times New Roman"/>
                <w:b w:val="false"/>
                <w:i w:val="false"/>
                <w:color w:val="000000"/>
                <w:sz w:val="20"/>
              </w:rPr>
              <w: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растворенный, мг/дм</w:t>
            </w:r>
            <w:r>
              <w:rPr>
                <w:rFonts w:ascii="Times New Roman"/>
                <w:b w:val="false"/>
                <w:i w:val="false"/>
                <w:color w:val="000000"/>
                <w:vertAlign w:val="superscript"/>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2 - 3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ПХЗ (10)</w:t>
            </w:r>
            <w:r>
              <w:rPr>
                <w:rFonts w:ascii="Times New Roman"/>
                <w:b w:val="false"/>
                <w:i w:val="false"/>
                <w:color w:val="000000"/>
                <w:vertAlign w:val="superscript"/>
              </w:rPr>
              <w:t>1</w:t>
            </w:r>
            <w:r>
              <w:rPr>
                <w:rFonts w:ascii="Times New Roman"/>
                <w:b w:val="false"/>
                <w:i w:val="false"/>
                <w:color w:val="000000"/>
                <w:sz w:val="20"/>
              </w:rPr>
              <w:t xml:space="preserve"> - формализованный суммарный показатель химического загрязнения вод для 10 максимально превышающих ПДК загрязняющих веществ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66" w:id="51"/>
    <w:p>
      <w:pPr>
        <w:spacing w:after="0"/>
        <w:ind w:left="0"/>
        <w:jc w:val="left"/>
      </w:pPr>
      <w:r>
        <w:rPr>
          <w:rFonts w:ascii="Times New Roman"/>
          <w:b/>
          <w:i w:val="false"/>
          <w:color w:val="000000"/>
        </w:rPr>
        <w:t xml:space="preserve"> Показатели для оценки степени загрязнения подземных</w:t>
      </w:r>
      <w:r>
        <w:br/>
      </w:r>
      <w:r>
        <w:rPr>
          <w:rFonts w:ascii="Times New Roman"/>
          <w:b/>
          <w:i w:val="false"/>
          <w:color w:val="000000"/>
        </w:rPr>
        <w:t>вод для участков хозяйственных объектов.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447"/>
        <w:gridCol w:w="1768"/>
        <w:gridCol w:w="3070"/>
        <w:gridCol w:w="2250"/>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загрязняющих веществ (нитраты, фенолы, тяжелые металлы, синтетические поверхностно-активные вещества, нефть), ПДС</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Хлорорганические соединения, ПДК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Канцерогены, бенз(а)пирен, ПДК</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загрязнения, км</w:t>
            </w:r>
            <w:r>
              <w:rPr>
                <w:rFonts w:ascii="Times New Roman"/>
                <w:b w:val="false"/>
                <w:i w:val="false"/>
                <w:color w:val="000000"/>
                <w:vertAlign w:val="superscript"/>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г/л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Растворенный кислород, мг/дм</w:t>
            </w:r>
            <w:r>
              <w:rPr>
                <w:rFonts w:ascii="Times New Roman"/>
                <w:b w:val="false"/>
                <w:i w:val="false"/>
                <w:color w:val="000000"/>
                <w:vertAlign w:val="superscript"/>
              </w:rPr>
              <w:t>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68" w:id="52"/>
    <w:p>
      <w:pPr>
        <w:spacing w:after="0"/>
        <w:ind w:left="0"/>
        <w:jc w:val="left"/>
      </w:pPr>
      <w:r>
        <w:rPr>
          <w:rFonts w:ascii="Times New Roman"/>
          <w:b/>
          <w:i w:val="false"/>
          <w:color w:val="000000"/>
        </w:rPr>
        <w:t xml:space="preserve"> Показатели для оценки состояния почв</w:t>
      </w:r>
    </w:p>
    <w:bookmarkEnd w:id="52"/>
    <w:p>
      <w:pPr>
        <w:spacing w:after="0"/>
        <w:ind w:left="0"/>
        <w:jc w:val="both"/>
      </w:pPr>
      <w:r>
        <w:rPr>
          <w:rFonts w:ascii="Times New Roman"/>
          <w:b w:val="false"/>
          <w:i w:val="false"/>
          <w:color w:val="ff0000"/>
          <w:sz w:val="28"/>
        </w:rPr>
        <w:t xml:space="preserve">
      Сноска. Приложение 13 с изменениями, внесенными приказом и.о. Министра энергетики РК от 07.12.2017 </w:t>
      </w:r>
      <w:r>
        <w:rPr>
          <w:rFonts w:ascii="Times New Roman"/>
          <w:b w:val="false"/>
          <w:i w:val="false"/>
          <w:color w:val="ff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5480"/>
        <w:gridCol w:w="1732"/>
        <w:gridCol w:w="2767"/>
        <w:gridCol w:w="1407"/>
      </w:tblGrid>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(концентрации даны в мг/дм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выведенных из сельхозоборота земель вследствие их деградации, % от общей площади сельхозугодий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гумусового горизонта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Амах (А1)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 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Перекрытость поверхности почвы абиотическими наносами, см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плотности почвы, кратность равновесной пробы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грунтовых вод, % от критического значения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загрязнение (площадная активность), граничные значения, килобеккерель на квадратный метр (далее - кБк/м</w:t>
            </w:r>
            <w:r>
              <w:rPr>
                <w:rFonts w:ascii="Times New Roman"/>
                <w:b w:val="false"/>
                <w:i w:val="false"/>
                <w:color w:val="000000"/>
                <w:vertAlign w:val="superscript"/>
              </w:rPr>
              <w:t>2</w:t>
            </w: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630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(сумма изотопов)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2080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410</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гумуса в пахотных почвах за период 10 лет, в относительных процентах</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содержания легкорастворимых солей, г/100 г</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0,4</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обменного натрия, % от ЕКО</w:t>
            </w:r>
            <w:r>
              <w:rPr>
                <w:rFonts w:ascii="Times New Roman"/>
                <w:b w:val="false"/>
                <w:i w:val="false"/>
                <w:color w:val="000000"/>
                <w:vertAlign w:val="superscript"/>
              </w:rPr>
              <w:t>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ПДК химических веществ: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класс опасности (включая бенз(а)пирен, диоксины);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 класса опасности;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r>
      <w:tr>
        <w:trPr>
          <w:trHeight w:val="30" w:hRule="atLeast"/>
        </w:trPr>
        <w:tc>
          <w:tcPr>
            <w:tcW w:w="0" w:type="auto"/>
            <w:vMerge/>
            <w:tcBorders>
              <w:top w:val="nil"/>
              <w:left w:val="single" w:color="cfcfcf" w:sz="5"/>
              <w:bottom w:val="single" w:color="cfcfcf" w:sz="5"/>
              <w:right w:val="single" w:color="cfcfcf" w:sz="5"/>
            </w:tcBorders>
          </w:tcP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 класса опасности (включая нефть и нефтепродукты)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активной микробной массы, кратность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Фитотоксичность почвы (снижение числа проростков), кратность по сравнению с фоном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загрязненной основной с/х продукции, % от объема проверенной</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дополнительные показатели (таблица 2.10)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ЕКО - емкость катионного обмена</w:t>
            </w:r>
          </w:p>
        </w:tc>
      </w:tr>
    </w:tbl>
    <w:p>
      <w:pPr>
        <w:spacing w:after="0"/>
        <w:ind w:left="0"/>
        <w:jc w:val="both"/>
      </w:pPr>
      <w:r>
        <w:rPr>
          <w:rFonts w:ascii="Times New Roman"/>
          <w:b w:val="false"/>
          <w:i w:val="false"/>
          <w:color w:val="000000"/>
          <w:sz w:val="28"/>
        </w:rPr>
        <w:t>
      Примечание: Для перехода от площадной активности к удельной принимаются следующие параметры – слой почвы глубиной 5 см, плотность почвы – 1,3 кг/дм</w:t>
      </w:r>
      <w:r>
        <w:rPr>
          <w:rFonts w:ascii="Times New Roman"/>
          <w:b w:val="false"/>
          <w:i w:val="false"/>
          <w:color w:val="000000"/>
          <w:vertAlign w:val="superscript"/>
        </w:rPr>
        <w:t>3</w:t>
      </w:r>
      <w:r>
        <w:rPr>
          <w:rFonts w:ascii="Times New Roman"/>
          <w:b w:val="false"/>
          <w:i w:val="false"/>
          <w:color w:val="000000"/>
          <w:sz w:val="28"/>
        </w:rPr>
        <w:t>)</w:t>
      </w:r>
    </w:p>
    <w:bookmarkStart w:name="z25" w:id="53"/>
    <w:p>
      <w:pPr>
        <w:spacing w:after="0"/>
        <w:ind w:left="0"/>
        <w:jc w:val="both"/>
      </w:pPr>
      <w:r>
        <w:rPr>
          <w:rFonts w:ascii="Times New Roman"/>
          <w:b w:val="false"/>
          <w:i w:val="false"/>
          <w:color w:val="000000"/>
          <w:sz w:val="28"/>
        </w:rPr>
        <w:t>
      В случае наличия нескольких радионуклидов соблюдаются следующие условия:</w:t>
      </w:r>
    </w:p>
    <w:bookmarkEnd w:id="53"/>
    <w:bookmarkStart w:name="z2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178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78300" cy="698500"/>
                    </a:xfrm>
                    <a:prstGeom prst="rect">
                      <a:avLst/>
                    </a:prstGeom>
                  </pic:spPr>
                </pic:pic>
              </a:graphicData>
            </a:graphic>
          </wp:inline>
        </w:drawing>
      </w:r>
    </w:p>
    <w:p>
      <w:pPr>
        <w:spacing w:after="0"/>
        <w:ind w:left="0"/>
        <w:jc w:val="left"/>
      </w:pPr>
      <w:r>
        <w:rPr>
          <w:rFonts w:ascii="Times New Roman"/>
          <w:b w:val="false"/>
          <w:i w:val="false"/>
          <w:color w:val="000000"/>
          <w:sz w:val="28"/>
        </w:rPr>
        <w:t>- экологическое бедствие,</w:t>
      </w:r>
      <w:r>
        <w:br/>
      </w:r>
      <w:r>
        <w:rPr>
          <w:rFonts w:ascii="Times New Roman"/>
          <w:b w:val="false"/>
          <w:i w:val="false"/>
          <w:color w:val="000000"/>
          <w:sz w:val="28"/>
        </w:rPr>
        <w:t>
</w:t>
      </w:r>
    </w:p>
    <w:bookmarkStart w:name="z27"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39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94200" cy="647700"/>
                    </a:xfrm>
                    <a:prstGeom prst="rect">
                      <a:avLst/>
                    </a:prstGeom>
                  </pic:spPr>
                </pic:pic>
              </a:graphicData>
            </a:graphic>
          </wp:inline>
        </w:drawing>
      </w:r>
    </w:p>
    <w:p>
      <w:pPr>
        <w:spacing w:after="0"/>
        <w:ind w:left="0"/>
        <w:jc w:val="left"/>
      </w:pPr>
      <w:r>
        <w:rPr>
          <w:rFonts w:ascii="Times New Roman"/>
          <w:b w:val="false"/>
          <w:i w:val="false"/>
          <w:color w:val="000000"/>
          <w:sz w:val="28"/>
        </w:rPr>
        <w:t>- чрезвычайная экологическая ситуация</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4254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7239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относительно удовлетворительная ситуация, где:</w:t>
      </w:r>
      <w:r>
        <w:br/>
      </w:r>
      <w:r>
        <w:rPr>
          <w:rFonts w:ascii="Times New Roman"/>
          <w:b w:val="false"/>
          <w:i w:val="false"/>
          <w:color w:val="000000"/>
          <w:sz w:val="28"/>
        </w:rPr>
        <w:t>
</w:t>
      </w:r>
    </w:p>
    <w:bookmarkStart w:name="z29"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площадная активность (содержание в почве) радионуклида цезия-137;</w:t>
      </w:r>
      <w:r>
        <w:br/>
      </w:r>
      <w:r>
        <w:rPr>
          <w:rFonts w:ascii="Times New Roman"/>
          <w:b w:val="false"/>
          <w:i w:val="false"/>
          <w:color w:val="000000"/>
          <w:sz w:val="28"/>
        </w:rPr>
        <w:t>
</w:t>
      </w:r>
    </w:p>
    <w:bookmarkStart w:name="z30"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площадная активность (содержание в почве) радионуклида стронция-90;</w:t>
      </w:r>
      <w:r>
        <w:br/>
      </w:r>
      <w:r>
        <w:rPr>
          <w:rFonts w:ascii="Times New Roman"/>
          <w:b w:val="false"/>
          <w:i w:val="false"/>
          <w:color w:val="000000"/>
          <w:sz w:val="28"/>
        </w:rPr>
        <w:t>
</w:t>
      </w:r>
    </w:p>
    <w:bookmarkStart w:name="z3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площадная активность (содержание в почве) радионуклидов плутония-238 и плутония-(239+240) (сумма изотопов);</w:t>
      </w: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330200"/>
                    </a:xfrm>
                    <a:prstGeom prst="rect">
                      <a:avLst/>
                    </a:prstGeom>
                  </pic:spPr>
                </pic:pic>
              </a:graphicData>
            </a:graphic>
          </wp:inline>
        </w:drawing>
      </w:r>
    </w:p>
    <w:p>
      <w:pPr>
        <w:spacing w:after="0"/>
        <w:ind w:left="0"/>
        <w:jc w:val="left"/>
      </w:pPr>
      <w:r>
        <w:rPr>
          <w:rFonts w:ascii="Times New Roman"/>
          <w:b w:val="false"/>
          <w:i w:val="false"/>
          <w:color w:val="000000"/>
          <w:sz w:val="28"/>
        </w:rPr>
        <w:t>– площадная активность (содержание в почве) радионуклида америция-241;</w:t>
      </w:r>
      <w:r>
        <w:br/>
      </w:r>
      <w:r>
        <w:rPr>
          <w:rFonts w:ascii="Times New Roman"/>
          <w:b w:val="false"/>
          <w:i w:val="false"/>
          <w:color w:val="000000"/>
          <w:sz w:val="28"/>
        </w:rPr>
        <w:t>
</w:t>
      </w:r>
    </w:p>
    <w:bookmarkStart w:name="z3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граничные значения площадной активности (содержание в почве) радионуклида цезия-137, представленные в таблице;</w:t>
      </w:r>
      <w:r>
        <w:br/>
      </w:r>
      <w:r>
        <w:rPr>
          <w:rFonts w:ascii="Times New Roman"/>
          <w:b w:val="false"/>
          <w:i w:val="false"/>
          <w:color w:val="000000"/>
          <w:sz w:val="28"/>
        </w:rPr>
        <w:t>
</w:t>
      </w:r>
    </w:p>
    <w:bookmarkStart w:name="z3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81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3683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граничные значения площадной активности (содержание в почве) радионуклида стронция-90, представленные в таблице;</w:t>
      </w:r>
      <w:r>
        <w:br/>
      </w:r>
      <w:r>
        <w:rPr>
          <w:rFonts w:ascii="Times New Roman"/>
          <w:b w:val="false"/>
          <w:i w:val="false"/>
          <w:color w:val="000000"/>
          <w:sz w:val="28"/>
        </w:rPr>
        <w:t>
</w:t>
      </w:r>
    </w:p>
    <w:bookmarkStart w:name="z3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71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1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граничные значения площадной активности (содержание в почве) радионуклидов плутония-238 и плутония-(239+240) (сумма изотопов), представленные в таблице;</w:t>
      </w:r>
      <w:r>
        <w:br/>
      </w:r>
      <w:r>
        <w:rPr>
          <w:rFonts w:ascii="Times New Roman"/>
          <w:b w:val="false"/>
          <w:i w:val="false"/>
          <w:color w:val="000000"/>
          <w:sz w:val="28"/>
        </w:rPr>
        <w:t>
</w:t>
      </w:r>
      <w:r>
        <w:br/>
      </w:r>
    </w:p>
    <w:p>
      <w:pPr>
        <w:spacing w:after="0"/>
        <w:ind w:left="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граничные значения площадной активности (содержание в почве) радионуклида америция-241, представленные в таблице.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70" w:id="64"/>
    <w:p>
      <w:pPr>
        <w:spacing w:after="0"/>
        <w:ind w:left="0"/>
        <w:jc w:val="left"/>
      </w:pPr>
      <w:r>
        <w:rPr>
          <w:rFonts w:ascii="Times New Roman"/>
          <w:b/>
          <w:i w:val="false"/>
          <w:color w:val="000000"/>
        </w:rPr>
        <w:t xml:space="preserve"> Показатели для оценки экологической опасности</w:t>
      </w:r>
      <w:r>
        <w:br/>
      </w:r>
      <w:r>
        <w:rPr>
          <w:rFonts w:ascii="Times New Roman"/>
          <w:b/>
          <w:i w:val="false"/>
          <w:color w:val="000000"/>
        </w:rPr>
        <w:t>деформаций и изменений геологической среды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283"/>
        <w:gridCol w:w="1740"/>
        <w:gridCol w:w="3613"/>
        <w:gridCol w:w="2199"/>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Аномальные техногенные деформации горного массива (более 0,00001 отн.ед) и индуцированная сейсмичность, в процентах от площади территории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40 - 50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нарушения горного массива при недропользовании, ведущие к загрязнению геологической среды, аномальные деформации горных пород, отн.ед.</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0,0001 - 0,00001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0,000001</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Просадки земной поверхности, оползни, сели, карсты, обусловленные техногенной нагрузкой, % территории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72" w:id="65"/>
    <w:p>
      <w:pPr>
        <w:spacing w:after="0"/>
        <w:ind w:left="0"/>
        <w:jc w:val="left"/>
      </w:pPr>
      <w:r>
        <w:rPr>
          <w:rFonts w:ascii="Times New Roman"/>
          <w:b/>
          <w:i w:val="false"/>
          <w:color w:val="000000"/>
        </w:rPr>
        <w:t xml:space="preserve"> Показатели для оценки деградации наземных экосистем</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839"/>
        <w:gridCol w:w="3877"/>
        <w:gridCol w:w="3878"/>
        <w:gridCol w:w="1035"/>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Пространственные признаки</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деградированных территорий,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представляющие непосредственной угрозы человеку (отвалы нетоксичных пород; карьеры, деградирование с/х и лесные угодья)</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Представляющие угрозу разрушения зданий и сооружений (антропогенные просадки, оползни, разломы, военные полигоны и др.)</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токсичных пород, изолированные от грунтовых вод, с возможностью переноса частиц по воздуху, посредством стока в поверхностные водоемы и водотоки</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Карьерные выемки и отвалы токсичных пород с угрозой загрязнения грунтовых вод (грунтовые воды не защищены)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Расчлененность территории оврагами, км/км</w:t>
            </w:r>
            <w:r>
              <w:rPr>
                <w:rFonts w:ascii="Times New Roman"/>
                <w:b w:val="false"/>
                <w:i w:val="false"/>
                <w:color w:val="000000"/>
                <w:vertAlign w:val="superscript"/>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2,5 - 0,7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признаки</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деградации наземных экосистем; % площади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сбитых пастбищ, % площади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годовой продукции растительности, %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уменьшения содержания органического вещества почвы, %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сработки (минерализации) торфа, мм/год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засоленных почв, %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эродированных почв, % площади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площади подвижных песков, % площади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увеличения относительной площади земель с неблагоприятными агромелиоративными условиями, % от площади ценных сельскохозяйственных угодий в год</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Структурно-функциональные характеристики состояния экосистем</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Необратимое нарушение взаимосвязи внутри экосистем</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структуры сообществ без необратимых процессов в экосистемах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отдельные признаки деградации ряда компонентов в экосистемах</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Трофическая структура - изменение удельной массы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50 %, уменьшение удельной массы зоофагов и сапрофагов на 50 %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удельной массы фитофагов на 20 %, уменьшение удельной массы зоофагов и сапрофагов на 20 %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(колебания в пределах нормы)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74" w:id="66"/>
    <w:p>
      <w:pPr>
        <w:spacing w:after="0"/>
        <w:ind w:left="0"/>
        <w:jc w:val="left"/>
      </w:pPr>
      <w:r>
        <w:rPr>
          <w:rFonts w:ascii="Times New Roman"/>
          <w:b/>
          <w:i w:val="false"/>
          <w:color w:val="000000"/>
        </w:rPr>
        <w:t xml:space="preserve"> Показатели для оценки состояния растительности</w:t>
      </w:r>
      <w:r>
        <w:br/>
      </w:r>
      <w:r>
        <w:rPr>
          <w:rFonts w:ascii="Times New Roman"/>
          <w:b/>
          <w:i w:val="false"/>
          <w:color w:val="000000"/>
        </w:rPr>
        <w:t>как индикатора экологического состояния территории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071"/>
        <w:gridCol w:w="1932"/>
        <w:gridCol w:w="3312"/>
        <w:gridCol w:w="1932"/>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(индекс разнообразия Симпсона, в % от нормы)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20 - 50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(менее) 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коренных (или квазикоренных) ассоциаций, % от общей площади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5 - 80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Видовой состав естественной травянистой растительности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обилия вторичных видов</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Господствующие виды сменились на вторичные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Естественная смена доминантов, субдоминантов и характерных видов</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спектр ценопопуляции доминантов, возобновление в относит, ед.</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Лесистость, % от оптимальной (зональной)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древесины основных лесообразующих пород, % от нормального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древостоя техногенными выбросами, % от общей площади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хвойных пород техногенными выбросами (повреждение хвои),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древостоя,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лесных культур, % от площади, лесокультурных работ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гари, не облесившейся в течение не менее 10 лет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тыс. га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 тыс. га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посевов, поврежденных вредителями, % от общей площади и болезнями растений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Гибель посевов, % от общей площади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Проективное покрытие пастбищной сухостепной и полупустынной растительности, % от нормальной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 пастбищной растительности, % от потенциальной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ареалов редких видов</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Исчезновение ареала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 сокращение площади ареала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растительности заповедников</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формаций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Вызывающие смены ассоциаций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не вызывающие смены ассоциаций</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зеленых насаждений (на человека в крупных городах и промышленных центрах), % от нормативного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76" w:id="67"/>
    <w:p>
      <w:pPr>
        <w:spacing w:after="0"/>
        <w:ind w:left="0"/>
        <w:jc w:val="left"/>
      </w:pPr>
      <w:r>
        <w:rPr>
          <w:rFonts w:ascii="Times New Roman"/>
          <w:b/>
          <w:i w:val="false"/>
          <w:color w:val="000000"/>
        </w:rPr>
        <w:t xml:space="preserve"> Показатели для оценки состояния фауны и изменения генофонда</w:t>
      </w:r>
      <w:r>
        <w:br/>
      </w:r>
      <w:r>
        <w:rPr>
          <w:rFonts w:ascii="Times New Roman"/>
          <w:b/>
          <w:i w:val="false"/>
          <w:color w:val="000000"/>
        </w:rPr>
        <w:t>животных как индикатора экологического состояния территории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586"/>
        <w:gridCol w:w="1926"/>
        <w:gridCol w:w="3774"/>
        <w:gridCol w:w="1927"/>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удовлетворительная ситуация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биоразнообразия, % от исходного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популяции вида-индикатора антропогенной нагрузки,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78" w:id="68"/>
    <w:p>
      <w:pPr>
        <w:spacing w:after="0"/>
        <w:ind w:left="0"/>
        <w:jc w:val="left"/>
      </w:pPr>
      <w:r>
        <w:rPr>
          <w:rFonts w:ascii="Times New Roman"/>
          <w:b/>
          <w:i w:val="false"/>
          <w:color w:val="000000"/>
        </w:rPr>
        <w:t xml:space="preserve"> Биохимические показатели для оценки территорий</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382"/>
        <w:gridCol w:w="3459"/>
        <w:gridCol w:w="3971"/>
      </w:tblGrid>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бедствие</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экологическая ситуация</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C:N в почвах</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поверхностных водах</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20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4 - 8 или</w:t>
            </w:r>
          </w:p>
          <w:p>
            <w:pPr>
              <w:spacing w:after="20"/>
              <w:ind w:left="20"/>
              <w:jc w:val="both"/>
            </w:pPr>
            <w:r>
              <w:rPr>
                <w:rFonts w:ascii="Times New Roman"/>
                <w:b w:val="false"/>
                <w:i w:val="false"/>
                <w:color w:val="000000"/>
                <w:sz w:val="20"/>
              </w:rPr>
              <w:t>
20 - 16</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растениях</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растительных кормах</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более 16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или 8 - 16</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химических элементов в укосах растений и растительных кормах: ртуть, кадмий, свинец, мышьяк, сурьма, никель, хром, по превышению МДУ;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воздушно-сухого вещества;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0,02 или более 0,5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воздушно-сухого вещества;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 или более 200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или 50 - 200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мг/кг воздушно-сухого вещества;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или более 100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или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по превышению фона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Са:Р в кормах (числитель) с учетом площади аномального ландшафта % (знаменатель)</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 или &gt; 10 &gt;20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или 5 -10&gt;20</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Ca:Sr в растениях и кормах (числитель) с учетом площади аномального ландшафта, % (знаменатель)</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&lt;1&gt;20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10 - 1&gt;20</w:t>
            </w:r>
          </w:p>
        </w:tc>
      </w:tr>
      <w:tr>
        <w:trPr>
          <w:trHeight w:val="3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содержания биологически важных микроэлементов в укосах растений и растительных кормах, в мг/кг воздушносухого вещества: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или более 500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 или 100 - 500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 или более 500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 или 200 - 500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0,2 более 50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0,2 - 2 или более 10 - 50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50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5 - 50</w:t>
            </w:r>
          </w:p>
        </w:tc>
      </w:tr>
      <w:tr>
        <w:trPr>
          <w:trHeight w:val="30" w:hRule="atLeast"/>
        </w:trPr>
        <w:tc>
          <w:tcPr>
            <w:tcW w:w="0" w:type="auto"/>
            <w:vMerge/>
            <w:tcBorders>
              <w:top w:val="nil"/>
              <w:left w:val="single" w:color="cfcfcf" w:sz="5"/>
              <w:bottom w:val="single" w:color="cfcfcf" w:sz="5"/>
              <w:right w:val="single" w:color="cfcfcf" w:sz="5"/>
            </w:tcBorders>
          </w:tcP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0,1 или более 300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0,1 - 0,3 или 30 - 300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w:t>
            </w:r>
            <w:r>
              <w:br/>
            </w:r>
            <w:r>
              <w:rPr>
                <w:rFonts w:ascii="Times New Roman"/>
                <w:b w:val="false"/>
                <w:i w:val="false"/>
                <w:color w:val="000000"/>
                <w:sz w:val="20"/>
              </w:rPr>
              <w:t>экологической обстановки</w:t>
            </w:r>
            <w:r>
              <w:br/>
            </w:r>
            <w:r>
              <w:rPr>
                <w:rFonts w:ascii="Times New Roman"/>
                <w:b w:val="false"/>
                <w:i w:val="false"/>
                <w:color w:val="000000"/>
                <w:sz w:val="20"/>
              </w:rPr>
              <w:t>территорий</w:t>
            </w:r>
          </w:p>
        </w:tc>
      </w:tr>
    </w:tbl>
    <w:bookmarkStart w:name="z80" w:id="69"/>
    <w:p>
      <w:pPr>
        <w:spacing w:after="0"/>
        <w:ind w:left="0"/>
        <w:jc w:val="left"/>
      </w:pPr>
      <w:r>
        <w:rPr>
          <w:rFonts w:ascii="Times New Roman"/>
          <w:b/>
          <w:i w:val="false"/>
          <w:color w:val="000000"/>
        </w:rPr>
        <w:t xml:space="preserve"> Медико-демографические показатели для оценки</w:t>
      </w:r>
      <w:r>
        <w:br/>
      </w:r>
      <w:r>
        <w:rPr>
          <w:rFonts w:ascii="Times New Roman"/>
          <w:b/>
          <w:i w:val="false"/>
          <w:color w:val="000000"/>
        </w:rPr>
        <w:t>состояния здоровья населения, применяемые для</w:t>
      </w:r>
      <w:r>
        <w:br/>
      </w:r>
      <w:r>
        <w:rPr>
          <w:rFonts w:ascii="Times New Roman"/>
          <w:b/>
          <w:i w:val="false"/>
          <w:color w:val="000000"/>
        </w:rPr>
        <w:t>оценки экологической обстановки территории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520"/>
        <w:gridCol w:w="1134"/>
        <w:gridCol w:w="1134"/>
        <w:gridCol w:w="1261"/>
        <w:gridCol w:w="1267"/>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чрезвычайной экологической ситуации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 изменение структуры детской смертности в возрасте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Младенческой смертности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 показатели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частоты врожденных пороков развития новорожденного и спонтанных выкидышей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заболеваемости детей и взрослых, увеличение распространенности в области болезней органов дыхания, болезней крови, кроветворных органов и иммунной системы, болезней органов пищеварения, болезней мочеполовой системы, болезней кожи и подкожной клетчатки по возрастным группам, изменение структуры заболеваемости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мужчин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заболеваемости для ведущих нозологий и онкологических заболеваний среди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у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нарушений репродуктивной функции женщин</w:t>
            </w:r>
            <w:r>
              <w:rPr>
                <w:rFonts w:ascii="Times New Roman"/>
                <w:b w:val="false"/>
                <w:i w:val="false"/>
                <w:color w:val="000000"/>
                <w:vertAlign w:val="superscript"/>
              </w:rPr>
              <w:t>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течения и исходов беременности (суммарное число случаев на 1000 беременных);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состояние доношенных новорожденных (оценка по АПГАР, число случаев на 1000 доношенных новорожденных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рождения детей с массой тела &lt; 2500 г </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тела, роста, окружности головы у новорожденных, изменение соотношения полов отклонение от аналогичных показателей на контрольных территориях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Отставание от аналогичных показателей на контрольных территориях, в годах: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15 лет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 детей: увеличение доли детей с отклонениями физического развития при их оценке по региональному стандарту 7-10-летний давности</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развитие детей: доля детей с отклонениями психического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нарушения: увеличение частоты генетических нарушений в клетках человека (хромосомные аберрации, разрывы ДНК) для территорий, на которых предварительно установлено значительное либо длительное превышение уровня загрязняющих веществ в пробах вохдуха, воды и других компонентов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раз</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иммунного статуса: увеличение числа людей с выраженными сдвигами в иммунограмме по морфологическим и гуморальным показателям для населения крупных урбанизированных городов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биосубстратах человека (кровь, моча, волосы, зубы, слюна, плацента, женское молоко и др.) токсичных химических веществ, превышение допустимых биологических уровней для населения крупных урбанихированных городов или геохимических провинций.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устанавливаются по экспертным оценкам с учетом степени выраженности изменений основных показателей.</w:t>
            </w:r>
          </w:p>
        </w:tc>
      </w:tr>
    </w:tbl>
    <w:p>
      <w:pPr>
        <w:spacing w:after="0"/>
        <w:ind w:left="0"/>
        <w:jc w:val="left"/>
      </w:pP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Примечания:</w:t>
      </w:r>
    </w:p>
    <w:bookmarkEnd w:id="70"/>
    <w:p>
      <w:pPr>
        <w:spacing w:after="0"/>
        <w:ind w:left="0"/>
        <w:jc w:val="both"/>
      </w:pPr>
      <w:r>
        <w:rPr>
          <w:rFonts w:ascii="Times New Roman"/>
          <w:b w:val="false"/>
          <w:i w:val="false"/>
          <w:color w:val="000000"/>
          <w:sz w:val="28"/>
        </w:rPr>
        <w:t>
      примечание к пунктам 1, 2: превышение средних значений по</w:t>
      </w:r>
    </w:p>
    <w:p>
      <w:pPr>
        <w:spacing w:after="0"/>
        <w:ind w:left="0"/>
        <w:jc w:val="both"/>
      </w:pPr>
      <w:r>
        <w:rPr>
          <w:rFonts w:ascii="Times New Roman"/>
          <w:b w:val="false"/>
          <w:i w:val="false"/>
          <w:color w:val="000000"/>
          <w:sz w:val="28"/>
        </w:rPr>
        <w:t>
      сравнению с контрольными (фоновыми) на территории с населением не</w:t>
      </w:r>
    </w:p>
    <w:p>
      <w:pPr>
        <w:spacing w:after="0"/>
        <w:ind w:left="0"/>
        <w:jc w:val="both"/>
      </w:pPr>
      <w:r>
        <w:rPr>
          <w:rFonts w:ascii="Times New Roman"/>
          <w:b w:val="false"/>
          <w:i w:val="false"/>
          <w:color w:val="000000"/>
          <w:sz w:val="28"/>
        </w:rPr>
        <w:t>
      менее 30 тыс. человек по данным за 5 лет и не менее 50 тыс. человек -</w:t>
      </w:r>
    </w:p>
    <w:p>
      <w:pPr>
        <w:spacing w:after="0"/>
        <w:ind w:left="0"/>
        <w:jc w:val="both"/>
      </w:pPr>
      <w:r>
        <w:rPr>
          <w:rFonts w:ascii="Times New Roman"/>
          <w:b w:val="false"/>
          <w:i w:val="false"/>
          <w:color w:val="000000"/>
          <w:sz w:val="28"/>
        </w:rPr>
        <w:t>
      за 3 года, отдельно для городского и сельского населения;</w:t>
      </w:r>
    </w:p>
    <w:p>
      <w:pPr>
        <w:spacing w:after="0"/>
        <w:ind w:left="0"/>
        <w:jc w:val="both"/>
      </w:pPr>
      <w:r>
        <w:rPr>
          <w:rFonts w:ascii="Times New Roman"/>
          <w:b w:val="false"/>
          <w:i w:val="false"/>
          <w:color w:val="000000"/>
          <w:sz w:val="28"/>
        </w:rPr>
        <w:t>
      примечание к пунктам 1, 2: учитывается также изменение</w:t>
      </w:r>
    </w:p>
    <w:p>
      <w:pPr>
        <w:spacing w:after="0"/>
        <w:ind w:left="0"/>
        <w:jc w:val="both"/>
      </w:pPr>
      <w:r>
        <w:rPr>
          <w:rFonts w:ascii="Times New Roman"/>
          <w:b w:val="false"/>
          <w:i w:val="false"/>
          <w:color w:val="000000"/>
          <w:sz w:val="28"/>
        </w:rPr>
        <w:t>
      традиционной структуры младенческой смертности;</w:t>
      </w:r>
    </w:p>
    <w:p>
      <w:pPr>
        <w:spacing w:after="0"/>
        <w:ind w:left="0"/>
        <w:jc w:val="both"/>
      </w:pPr>
      <w:r>
        <w:rPr>
          <w:rFonts w:ascii="Times New Roman"/>
          <w:b w:val="false"/>
          <w:i w:val="false"/>
          <w:color w:val="000000"/>
          <w:sz w:val="28"/>
        </w:rPr>
        <w:t>
      примечание к пункту 1 основных показателей: отношение числа</w:t>
      </w:r>
    </w:p>
    <w:p>
      <w:pPr>
        <w:spacing w:after="0"/>
        <w:ind w:left="0"/>
        <w:jc w:val="both"/>
      </w:pPr>
      <w:r>
        <w:rPr>
          <w:rFonts w:ascii="Times New Roman"/>
          <w:b w:val="false"/>
          <w:i w:val="false"/>
          <w:color w:val="000000"/>
          <w:sz w:val="28"/>
        </w:rPr>
        <w:t>
      родившихся мертвыми.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