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9d68" w14:textId="85d9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экологических критериев оценки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марта 2015 года № 188. Зарегистрирован в Министерстве юстиции Республики Казахстан 29 апреля 2015 года № 10887. Утратил силу приказом и.о. Министра экологии, геологии и природных ресурсов Республики Казахстан от 1 июля 2021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01.07.2021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экологические 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земель.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19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марта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188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критерии оценки земель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Экологические критерии в редакции приказа и.о. Министра энергетики РК от 02.08.2017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Критерии оценки загрязнения земель селитебных территорий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800"/>
        <w:gridCol w:w="2935"/>
        <w:gridCol w:w="1492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</w:p>
          <w:bookmarkEnd w:id="7"/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над фоном мощности эквивалентной дозы на уровне 1 метра (далее – м) от поверхности почвы от техногенных радионуклидов, микрозиверт в час (далее – мкЗв/ч)</w:t>
            </w:r>
          </w:p>
          <w:bookmarkEnd w:id="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0,57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0,57-0,11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0,11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*Радиоактивное загрязнение (площадная активность), граничные значения, кБк/м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цезий-137</w:t>
            </w:r>
          </w:p>
          <w:bookmarkEnd w:id="1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400-75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75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стронций-90</w:t>
            </w:r>
          </w:p>
          <w:bookmarkEnd w:id="1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630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630-120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120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плутоний-238, плутоний (239+240) (сумма изотопов)</w:t>
            </w:r>
          </w:p>
          <w:bookmarkEnd w:id="1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2080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2080-410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410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америций-241</w:t>
            </w:r>
          </w:p>
          <w:bookmarkEnd w:id="1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2500-490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490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Суммарный показатель химического загрязнения (далее –Z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показатели</w:t>
            </w:r>
          </w:p>
          <w:bookmarkEnd w:id="15"/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яиц гельминтов в 1 килограмме (далее – кг) почвы</w:t>
            </w:r>
          </w:p>
          <w:bookmarkEnd w:id="16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патогенных микроорганизмов в 1 грамме (далее – г) почвы</w:t>
            </w:r>
          </w:p>
          <w:bookmarkEnd w:id="17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**Коли-титр</w:t>
            </w:r>
          </w:p>
          <w:bookmarkEnd w:id="1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0,01</w:t>
            </w:r>
          </w:p>
        </w:tc>
      </w:tr>
    </w:tbl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перехода от площадной активности к удельной принимаются следующие параметры – слой почвы глубиной 5 см, плотность почвы – 1,3 кг/дм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нескольких радионуклидов должны соблюдаться условия: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118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экологическое бедствие,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422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чрезвычайная экологическая ситуация,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168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относительно удовлетворительная ситуация,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</w:t>
      </w:r>
      <w:r>
        <w:rPr>
          <w:rFonts w:ascii="Times New Roman"/>
          <w:b w:val="false"/>
          <w:i w:val="false"/>
          <w:color w:val="000000"/>
          <w:vertAlign w:val="subscript"/>
        </w:rPr>
        <w:t>s-137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радионуклида цезия137;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AS</w:t>
      </w:r>
      <w:r>
        <w:rPr>
          <w:rFonts w:ascii="Times New Roman"/>
          <w:b w:val="false"/>
          <w:i w:val="false"/>
          <w:color w:val="000000"/>
          <w:vertAlign w:val="subscript"/>
        </w:rPr>
        <w:t>r-90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радионуклида стронция-90;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Pu-</w:t>
      </w:r>
      <w:r>
        <w:rPr>
          <w:rFonts w:ascii="Times New Roman"/>
          <w:b w:val="false"/>
          <w:i w:val="false"/>
          <w:color w:val="000000"/>
          <w:vertAlign w:val="subscript"/>
        </w:rPr>
        <w:t>238,(</w:t>
      </w:r>
      <w:r>
        <w:rPr>
          <w:rFonts w:ascii="Times New Roman"/>
          <w:b w:val="false"/>
          <w:i w:val="false"/>
          <w:color w:val="000000"/>
          <w:vertAlign w:val="subscript"/>
        </w:rPr>
        <w:t>239+240)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радионуклидов плутония-238 и плутония-(239+240) (сумма изотопов);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Am-241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площадная активность (содержание в почве) радионуклида америция-241;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грCs-137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радионуклида цезия-137, указанные в таблице;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грSr-90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радионуклида стронция-90, указанные в таблице;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грPu-</w:t>
      </w:r>
      <w:r>
        <w:rPr>
          <w:rFonts w:ascii="Times New Roman"/>
          <w:b w:val="false"/>
          <w:i w:val="false"/>
          <w:color w:val="000000"/>
          <w:vertAlign w:val="subscript"/>
        </w:rPr>
        <w:t>238,(</w:t>
      </w:r>
      <w:r>
        <w:rPr>
          <w:rFonts w:ascii="Times New Roman"/>
          <w:b w:val="false"/>
          <w:i w:val="false"/>
          <w:color w:val="000000"/>
          <w:vertAlign w:val="subscript"/>
        </w:rPr>
        <w:t>239+240)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радионуклидов плутония-238 и плутония-(239+240) (сумма изотопов), указанные в таблице;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грAm-241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граничные значения площадной активности (содержания в почве) радионуклида америция-241, указанные в таблице.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коли-титр для почвы – наименьшая масса почвы в г, в которой содержится 1 кишечная палочка.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Критерии для выявления деградированных почв и земель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Нарушение земель.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нарушенных земель являются: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морфометрическая характеристика рельефа;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или высота относительно естественной поверхности (м);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откоса уступов (град.);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дитологического строения земель;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плодородного слоя и потенциально плодородных пород по мощности органогенного слоя и запасам гумуса в слое 0-30 см и 0-100 см;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перекрытость поверхности посторонними наносами.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поверхностных и грунтовых вод: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грунтовых вод (м);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вод (г/дм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затопления (мес.).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</w:t>
      </w:r>
      <w:r>
        <w:rPr>
          <w:rFonts w:ascii="Times New Roman"/>
          <w:b/>
          <w:i w:val="false"/>
          <w:color w:val="000000"/>
          <w:sz w:val="28"/>
        </w:rPr>
        <w:t xml:space="preserve"> Физическая (земледельческая) деградация.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деградация оценивается по следующим основным критериям: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гранулометрический состав;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равновесная плотность сложения пахотного (гумусового) слоя почвы,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текстурная (внутриагрегатная) пористость,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/г;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стабильная структурная (межагрегатная без учета трещин) пористость,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/г.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пахотного (гумусового) слоя почвы: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агрономически ценных и водопрочных агрегатов;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и свойства структурных отдельностей.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Водно-физические параметры почв:</w:t>
      </w:r>
    </w:p>
    <w:bookmarkEnd w:id="56"/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водопроницаемость и коэффициент фильтрации почв (м/сут.);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гидрологические константы (ВЗ, НВ) и порозность аэрации;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набухаемость.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Агроистощение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агроистощения являются балансовые характеристики почвы (органического вещества, питательных элементов, катионно-анионного состава):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запасов гумуса в профиле почвы (А+В) в % от исходного;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% от исходного рН;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содержания физической глины (%);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гумуса;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валового запаса основных элементов питания;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растений подвижными формами элементов питания;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катионного обмена, степень насыщенности почв основаниями, состав поглощенных оснований.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агроистощения являются: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минералогический состав илистой фракции;</w:t>
      </w:r>
    </w:p>
    <w:bookmarkEnd w:id="70"/>
    <w:bookmarkStart w:name="z11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активной микробной биомассы (число раз);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фитотоксичность;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ферментативной активности почв;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биомасса почвенной мезофауны;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биоразнообразия (индекс Симпсона, % от нормы);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сработка торфа (мм/год).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Эрозия.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эрозии используются статические или динамические критерии, последние могут отражать как состояние почвенного покрова, так и ландшафтов.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Водная эрозия: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Плоскостная эрозия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плоскостной водной эрозии являются: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мощности почвенного профиля (А+В), %;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запасов гумуса в профиле почвы (А+В), % от фонового;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гранулометрического состава верхнего горизонта почв;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почвенной массы, т/га/год;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обнаженной почвообразующей породы (С) или подстилающей породы (D), % от общей площади;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эродированных почв, % в год.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являются: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мощности гумусового (пахотного) горизонта (см);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запасов питательных веществ;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смыва;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уклоны поверхности и опасность развития эрозионных процессов.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водная эрозия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линейной водной эрозии являются: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расчлененность территории оврагами (км/км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размывов относительно поверхности, см;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почвенной массы (т/га/год);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новых оврагов и рост существующих.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являются: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оврага;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оврагов на единицу площади;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оврагов на единицу площади;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характеристики водосборной площади оврагов.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Ветровая эрозия: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ветровой эрозии, кроме перечисленных, являются: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дефляционный нанос неплодородного слоя, см;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выведенных из землепользования угодий (лишенная растительности на естественных угодьях), % от общей площади;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проективное покрытие пастбищной растительности, % от зонального;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роста площади деградированных пастбищ, % в год;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подвижных песков, % от общей площади;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подвижных песков, % в год.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дополнительных параметров используются критерии: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дефляции или скорость дефляции;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"уменьшение мощности гумусового горизонта А+В";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облегчение гранулометрического состава;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изреженности травостоя и посевов.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</w:t>
      </w:r>
      <w:r>
        <w:rPr>
          <w:rFonts w:ascii="Times New Roman"/>
          <w:b/>
          <w:i w:val="false"/>
          <w:color w:val="000000"/>
          <w:sz w:val="28"/>
        </w:rPr>
        <w:t xml:space="preserve"> Засоление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степени засоленности являются: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содержание токсичных солей в верхнем плодородном слое (%);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токсичной щелочности (при переходе нейтрального типа засоления в щелочной), мг-экв/100 г почв;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площади засоленных почв, % в год;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среды (рН солевой и водной вытяжки).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критериев используются данные об уровне и минерализации грунтовых вод.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6) </w:t>
      </w:r>
      <w:r>
        <w:rPr>
          <w:rFonts w:ascii="Times New Roman"/>
          <w:b/>
          <w:i w:val="false"/>
          <w:color w:val="000000"/>
          <w:sz w:val="28"/>
        </w:rPr>
        <w:t>Осолонцевание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критериями осолонцеватости являются: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содержания обменного натрия (в % от емкости катионного обмена (ЕКО));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содержания обменного магния (в % от ЕКО);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среды (рН).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Дополнительными критериями осолонцевания являются показатели физических свойств и особенно структуры почвы.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7)</w:t>
      </w:r>
      <w:r>
        <w:rPr>
          <w:rFonts w:ascii="Times New Roman"/>
          <w:b/>
          <w:i w:val="false"/>
          <w:color w:val="000000"/>
          <w:sz w:val="28"/>
        </w:rPr>
        <w:t xml:space="preserve"> Заболачивание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Диагностическими критериями являются: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уровня грунтовых вод, м;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затопления (месяц);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минерализация грунтовых вод (г/дм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могут использоваться характеристики морфологического строения профиля (признаки гидроморфизма).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Критерии определения степени деградации почв и земель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1"/>
        <w:gridCol w:w="1196"/>
        <w:gridCol w:w="1644"/>
        <w:gridCol w:w="1866"/>
        <w:gridCol w:w="1866"/>
        <w:gridCol w:w="1197"/>
      </w:tblGrid>
      <w:tr>
        <w:trPr>
          <w:trHeight w:val="30" w:hRule="atLeast"/>
        </w:trPr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деградации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(очень слабая)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(слабая)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(средняя)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(повышенная)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(высокая)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абиотического наноса, см</w:t>
            </w:r>
          </w:p>
          <w:bookmarkEnd w:id="13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провалов (см) относительно поверхности (без разрыва сплошности)</w:t>
            </w:r>
          </w:p>
          <w:bookmarkEnd w:id="14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содержания физической глины на величину, % от исходного*</w:t>
            </w:r>
          </w:p>
          <w:bookmarkEnd w:id="14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&gt;32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равновесной плотности сложения пахотного слоя почвы, % от исходного*</w:t>
            </w:r>
          </w:p>
          <w:bookmarkEnd w:id="14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Стабильная структурная (межагрегатная, без учета трещин) пористость,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</w:t>
            </w:r>
          </w:p>
          <w:bookmarkEnd w:id="14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Текстурная пористость (внутриагрегатная),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</w:t>
            </w:r>
          </w:p>
          <w:bookmarkEnd w:id="14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0,3-0,26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0,19-0,17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&lt;0,17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фильтрации, м/сут.</w:t>
            </w:r>
          </w:p>
          <w:bookmarkEnd w:id="14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0,29-0,1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0,09-0,01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&lt;0,01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Каменистость, % покрытия</w:t>
            </w:r>
          </w:p>
          <w:bookmarkEnd w:id="14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 почвенного профиля (А+В), % от исходного*</w:t>
            </w:r>
          </w:p>
          <w:bookmarkEnd w:id="14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 гумусового горизонта А+В профиле почвы (А+В), % от исходного*</w:t>
            </w:r>
          </w:p>
          <w:bookmarkEnd w:id="14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содержания микроэлементов (Мn, Со, Мо, В, Сu, Fe, Zn), % от средней степени обеспеченности</w:t>
            </w:r>
          </w:p>
          <w:bookmarkEnd w:id="14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содержания подвижного фосфора, % от средней степени обеспеченности</w:t>
            </w:r>
          </w:p>
          <w:bookmarkEnd w:id="15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содержания обменного калия в % от средней степени обеспеченности</w:t>
            </w:r>
          </w:p>
          <w:bookmarkEnd w:id="15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РН почвенной среды, % от среднего показателя</w:t>
            </w:r>
          </w:p>
          <w:bookmarkEnd w:id="15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почвенной массы, т/га/год</w:t>
            </w:r>
          </w:p>
          <w:bookmarkEnd w:id="15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обнаженной почвообразующей породы (С) или подстилающей породы (D), % от общей площади</w:t>
            </w:r>
          </w:p>
          <w:bookmarkEnd w:id="15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эродированных почв, % в год</w:t>
            </w:r>
          </w:p>
          <w:bookmarkEnd w:id="15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размывов и водороин относительно поверхности, см</w:t>
            </w:r>
          </w:p>
          <w:bookmarkEnd w:id="15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41-100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Расчлененность территории оврагами, 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5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0,4-0,7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0,8-2,5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Дефляционный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нанос неплодородного слоя, см</w:t>
            </w:r>
          </w:p>
          <w:bookmarkEnd w:id="15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естественных угодий, выведенных из землепользования (лишенных растительности), % от общей площади</w:t>
            </w:r>
          </w:p>
          <w:bookmarkEnd w:id="15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Проективное покрытие пастбищной растительности, % от зонального</w:t>
            </w:r>
          </w:p>
          <w:bookmarkEnd w:id="16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90-71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роста площади деградированных пастбищ, % в год</w:t>
            </w:r>
          </w:p>
          <w:bookmarkEnd w:id="16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подвижных песков, % от общей площади</w:t>
            </w:r>
          </w:p>
          <w:bookmarkEnd w:id="16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подвижных песков, % в год</w:t>
            </w:r>
          </w:p>
          <w:bookmarkEnd w:id="16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2,1-4,0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суммы токсичных солей в верхнем плодородном слое (%):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участием соды</w:t>
            </w:r>
          </w:p>
          <w:bookmarkEnd w:id="16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0,21-0,3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0,31-0,5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сульфатном, хлоридно-сульфатном типе засоления</w:t>
            </w:r>
          </w:p>
          <w:bookmarkEnd w:id="16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0,3-0,6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хлоридном, сульфатно-хлоридном типе засоления</w:t>
            </w:r>
          </w:p>
          <w:bookmarkEnd w:id="16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0,71-1,0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содовом, хлоридно-содовом, сульфатно-содовом, содово-сульфатном, содово-хлоридном типе засоления</w:t>
            </w:r>
          </w:p>
          <w:bookmarkEnd w:id="16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0,41-0,6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0,61-0,8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других типов засоления</w:t>
            </w:r>
          </w:p>
          <w:bookmarkEnd w:id="16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0,1-0,25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0,26-0,5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0,51-0,8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&gt;0,8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токсичной щелочности (при переходе нейтрального типа засоления в щелочной), мг-экв/100 г почв</w:t>
            </w:r>
          </w:p>
          <w:bookmarkEnd w:id="16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засоленных почв, % в год</w:t>
            </w:r>
          </w:p>
          <w:bookmarkEnd w:id="17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0,51-1,0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2,1-5,0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содержания обменного натрия (в % от ЕКО): - для почв, содержащих &lt;1 % натрия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других почв</w:t>
            </w:r>
          </w:p>
          <w:bookmarkEnd w:id="17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&lt;5,0</w:t>
            </w:r>
          </w:p>
          <w:bookmarkEnd w:id="17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5,0-10,0</w:t>
            </w:r>
          </w:p>
          <w:bookmarkEnd w:id="173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10,1-15,0</w:t>
            </w:r>
          </w:p>
          <w:bookmarkEnd w:id="174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7,1-10,0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15,1-20,0</w:t>
            </w:r>
          </w:p>
          <w:bookmarkEnd w:id="17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  <w:bookmarkEnd w:id="176"/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содержания обменного магния (в % от ЕКО)</w:t>
            </w:r>
          </w:p>
          <w:bookmarkEnd w:id="17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грунтовых вод с минерализацией до 3 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в гумидной зоне</w:t>
            </w:r>
          </w:p>
          <w:bookmarkEnd w:id="17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1,0-0,81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0,80-0,61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0,60-0,30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полупустынной, пустынной зонах</w:t>
            </w:r>
          </w:p>
          <w:bookmarkEnd w:id="17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1,99-1,5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1,49-1,0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степной зоне</w:t>
            </w:r>
          </w:p>
          <w:bookmarkEnd w:id="18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4,0-3,1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минерализованных (&gt;3 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грунтовых вод, м</w:t>
            </w:r>
          </w:p>
          <w:bookmarkEnd w:id="18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7,0-5,1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5,0-3,1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</w:tr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затопления (поверхностное переувлажнение), месяц</w:t>
            </w:r>
          </w:p>
          <w:bookmarkEnd w:id="18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&gt;18</w:t>
            </w:r>
          </w:p>
        </w:tc>
      </w:tr>
    </w:tbl>
    <w:bookmarkStart w:name="z4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4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под исходным принимается состояние недеградированного аналога (нулевая степень деградации).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