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20ee" w14:textId="a952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регулированию естественных монополий от 17 июля 2013 года № 213-ОД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274. Зарегистрирован в Министерстве юстиции Республики Казахстан 29 апреля 2015 года № 10872.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17 июля 2013 года № 213-ОД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8625, опубликованный в газете "Казахстанская правда" от 20 ноября 2013 года № 319 (27593),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274</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17 июля 2013 года № 213-ОД</w:t>
            </w:r>
          </w:p>
        </w:tc>
      </w:tr>
    </w:tbl>
    <w:p>
      <w:pPr>
        <w:spacing w:after="0"/>
        <w:ind w:left="0"/>
        <w:jc w:val="left"/>
      </w:pPr>
      <w:r>
        <w:rPr>
          <w:rFonts w:ascii="Times New Roman"/>
          <w:b/>
          <w:i w:val="false"/>
          <w:color w:val="000000"/>
        </w:rPr>
        <w:t xml:space="preserve"> Правила утверждения предельного уровня тарифов (цен, ставок</w:t>
      </w:r>
      <w:r>
        <w:br/>
      </w:r>
      <w:r>
        <w:rPr>
          <w:rFonts w:ascii="Times New Roman"/>
          <w:b/>
          <w:i w:val="false"/>
          <w:color w:val="000000"/>
        </w:rPr>
        <w:t>сборов) и тарифных смет на регулируемые услуги (товары, работы)</w:t>
      </w:r>
      <w:r>
        <w:br/>
      </w:r>
      <w:r>
        <w:rPr>
          <w:rFonts w:ascii="Times New Roman"/>
          <w:b/>
          <w:i w:val="false"/>
          <w:color w:val="000000"/>
        </w:rPr>
        <w:t>субъектов естественных монополий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Правила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иными нормативными правовыми актами в сфере естественных монополий и регулируемых рынках.</w:t>
      </w:r>
    </w:p>
    <w:p>
      <w:pPr>
        <w:spacing w:after="0"/>
        <w:ind w:left="0"/>
        <w:jc w:val="both"/>
      </w:pPr>
      <w:r>
        <w:rPr>
          <w:rFonts w:ascii="Times New Roman"/>
          <w:b w:val="false"/>
          <w:i w:val="false"/>
          <w:color w:val="000000"/>
          <w:sz w:val="28"/>
        </w:rPr>
        <w:t>
      2. Настоящие Правила определяют порядок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Субъект).</w:t>
      </w:r>
    </w:p>
    <w:p>
      <w:pPr>
        <w:spacing w:after="0"/>
        <w:ind w:left="0"/>
        <w:jc w:val="both"/>
      </w:pPr>
      <w:r>
        <w:rPr>
          <w:rFonts w:ascii="Times New Roman"/>
          <w:b w:val="false"/>
          <w:i w:val="false"/>
          <w:color w:val="000000"/>
          <w:sz w:val="28"/>
        </w:rPr>
        <w:t>
      3. Проект предельного уровня тарифа (цен, ставок сборов) и тарифных смет на регулируемые услуги (товары, работы) формируется Субъектами с учетом параметров (показателей), предусматриваемых в проекте инвестиционных программ (проектов) субъектов естественных монополий.</w:t>
      </w:r>
    </w:p>
    <w:p>
      <w:pPr>
        <w:spacing w:after="0"/>
        <w:ind w:left="0"/>
        <w:jc w:val="both"/>
      </w:pPr>
      <w:r>
        <w:rPr>
          <w:rFonts w:ascii="Times New Roman"/>
          <w:b w:val="false"/>
          <w:i w:val="false"/>
          <w:color w:val="000000"/>
          <w:sz w:val="28"/>
        </w:rPr>
        <w:t>
      4. В настоящих Правилах используются следующие понятия:</w:t>
      </w:r>
    </w:p>
    <w:p>
      <w:pPr>
        <w:spacing w:after="0"/>
        <w:ind w:left="0"/>
        <w:jc w:val="both"/>
      </w:pPr>
      <w:r>
        <w:rPr>
          <w:rFonts w:ascii="Times New Roman"/>
          <w:b w:val="false"/>
          <w:i w:val="false"/>
          <w:color w:val="000000"/>
          <w:sz w:val="28"/>
        </w:rPr>
        <w:t xml:space="preserve">
      1) базовая тарифная смета – тарифная смета на первый год введения предельного уровня тарифов (цен, ставок сборов) Субъекта, сформированная в соответствии с требованиями </w:t>
      </w:r>
      <w:r>
        <w:rPr>
          <w:rFonts w:ascii="Times New Roman"/>
          <w:b w:val="false"/>
          <w:i w:val="false"/>
          <w:color w:val="000000"/>
          <w:sz w:val="28"/>
        </w:rPr>
        <w:t>Особого порядка</w:t>
      </w:r>
      <w:r>
        <w:rPr>
          <w:rFonts w:ascii="Times New Roman"/>
          <w:b w:val="false"/>
          <w:i w:val="false"/>
          <w:color w:val="000000"/>
          <w:sz w:val="28"/>
        </w:rPr>
        <w:t xml:space="preserve"> формирования затрат, применяемым при утверждении тарифов (цен, ставок сборов) на регулируемые услуги (товары, работы) субъектов естественных монополий (далее – Особый порядок), утвержденного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w:t>
      </w:r>
    </w:p>
    <w:p>
      <w:pPr>
        <w:spacing w:after="0"/>
        <w:ind w:left="0"/>
        <w:jc w:val="both"/>
      </w:pPr>
      <w:r>
        <w:rPr>
          <w:rFonts w:ascii="Times New Roman"/>
          <w:b w:val="false"/>
          <w:i w:val="false"/>
          <w:color w:val="000000"/>
          <w:sz w:val="28"/>
        </w:rPr>
        <w:t>
      2) прогнозируемая тарифная смета – тарифная смета на последующие годы среднесрочного или долгосрочного периода, сформированная с учетом показателей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4) тарифный доход – доход Субъекта от оказания регулируемых услуг (товаров, работ) по утвержденному ведомством уполномоченного органа предельному уровню тарифов (цен, ставок сборов);</w:t>
      </w:r>
    </w:p>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6) ведомство уполномоченного органа – Комитет по регулированию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7) корректировка тарифной сметы и (или) предельного уровня тарифа – корректировка показателей тарифной сметы и (или) предельного уровня тарифа без увеличения утвержденного предельного уровня тарифа.</w:t>
      </w:r>
    </w:p>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5. Формирование предельного уровня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 Субъекта.</w:t>
      </w:r>
    </w:p>
    <w:p>
      <w:pPr>
        <w:spacing w:after="0"/>
        <w:ind w:left="0"/>
        <w:jc w:val="both"/>
      </w:pPr>
      <w:r>
        <w:rPr>
          <w:rFonts w:ascii="Times New Roman"/>
          <w:b w:val="false"/>
          <w:i w:val="false"/>
          <w:color w:val="000000"/>
          <w:sz w:val="28"/>
        </w:rPr>
        <w:t>
      6. Затраты, учитываемые при формировании прогнозируемой тарифной сметы на регулируемые услуги (товары, работы)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7. Прогнозируемые показатели тарифной сметы основываются на определении тарифного дохода Субъекта на среднесрочный или долгосрочный период.</w:t>
      </w:r>
    </w:p>
    <w:p>
      <w:pPr>
        <w:spacing w:after="0"/>
        <w:ind w:left="0"/>
        <w:jc w:val="both"/>
      </w:pPr>
      <w:r>
        <w:rPr>
          <w:rFonts w:ascii="Times New Roman"/>
          <w:b w:val="false"/>
          <w:i w:val="false"/>
          <w:color w:val="000000"/>
          <w:sz w:val="28"/>
        </w:rPr>
        <w:t>
      Тарифный доход исчисляется отдельно на каждый год, входящий в среднесрочный или долгосрочный период. На основе тарифных доходов за весь период рассчитывается средневзвешенный тариф (цена, ставка сбора).</w:t>
      </w:r>
    </w:p>
    <w:p>
      <w:pPr>
        <w:spacing w:after="0"/>
        <w:ind w:left="0"/>
        <w:jc w:val="both"/>
      </w:pPr>
      <w:r>
        <w:rPr>
          <w:rFonts w:ascii="Times New Roman"/>
          <w:b w:val="false"/>
          <w:i w:val="false"/>
          <w:color w:val="000000"/>
          <w:sz w:val="28"/>
        </w:rPr>
        <w:t>
      Тарифный доход определяется исходя из прогнозируемых объемов затрат на оказание регулируемых услуг (товаров, работ), расходов периода, а также допустимого уровня прибыли.</w:t>
      </w:r>
    </w:p>
    <w:p>
      <w:pPr>
        <w:spacing w:after="0"/>
        <w:ind w:left="0"/>
        <w:jc w:val="both"/>
      </w:pPr>
      <w:r>
        <w:rPr>
          <w:rFonts w:ascii="Times New Roman"/>
          <w:b w:val="false"/>
          <w:i w:val="false"/>
          <w:color w:val="000000"/>
          <w:sz w:val="28"/>
        </w:rPr>
        <w:t>
      8. При принятии решения ведомством уполномоченного органа об утверждении предельных уровней тарифов (цен, ставок сборов) в виде чрезвычайных регулирующих мер требования пунктов 22, 23, 26, 29 настоящих Правил не распространяются.</w:t>
      </w:r>
    </w:p>
    <w:p>
      <w:pPr>
        <w:spacing w:after="0"/>
        <w:ind w:left="0"/>
        <w:jc w:val="both"/>
      </w:pPr>
      <w:r>
        <w:rPr>
          <w:rFonts w:ascii="Times New Roman"/>
          <w:b w:val="false"/>
          <w:i w:val="false"/>
          <w:color w:val="000000"/>
          <w:sz w:val="28"/>
        </w:rPr>
        <w:t xml:space="preserve">
      9. В период действия предельного уровня тарифов (цен, ставок сборов) Субъекты предоставляют информацию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по формам, согласно приложениям 1, 2 к настоящим Правилам.</w:t>
      </w:r>
    </w:p>
    <w:p>
      <w:pPr>
        <w:spacing w:after="0"/>
        <w:ind w:left="0"/>
        <w:jc w:val="both"/>
      </w:pPr>
      <w:r>
        <w:rPr>
          <w:rFonts w:ascii="Times New Roman"/>
          <w:b w:val="false"/>
          <w:i w:val="false"/>
          <w:color w:val="000000"/>
          <w:sz w:val="28"/>
        </w:rPr>
        <w:t>
      10. В период действия предельного уровня тарифов ведомство уполномоченного органа не снижает предельный уровень тарифов (цен, ставок сборов), если Субъект снизил затратную часть предельного уровня тарифов (цен, ставок сборов). Средства, полученные от сокращения затрат (возникшие в результате оптимизации затрат или применения более эффективных методов и технологий предоставления регулируемых услуг), Субъект направляет на создание новых, расширение, восстановление, обновление, поддержку, реконструкцию и техническое перевооружение производственных активов.</w:t>
      </w:r>
    </w:p>
    <w:p>
      <w:pPr>
        <w:spacing w:after="0"/>
        <w:ind w:left="0"/>
        <w:jc w:val="both"/>
      </w:pPr>
      <w:r>
        <w:rPr>
          <w:rFonts w:ascii="Times New Roman"/>
          <w:b w:val="false"/>
          <w:i w:val="false"/>
          <w:color w:val="000000"/>
          <w:sz w:val="28"/>
        </w:rPr>
        <w:t>
      11. Расходы на оплату труда включаемые в предельный уровень тарифов (цен, ставок сборов) определяются исходя из утвержденной нормативной численности персонала Субъекта.</w:t>
      </w:r>
    </w:p>
    <w:p>
      <w:pPr>
        <w:spacing w:after="0"/>
        <w:ind w:left="0"/>
        <w:jc w:val="both"/>
      </w:pPr>
      <w:r>
        <w:rPr>
          <w:rFonts w:ascii="Times New Roman"/>
          <w:b w:val="false"/>
          <w:i w:val="false"/>
          <w:color w:val="000000"/>
          <w:sz w:val="28"/>
        </w:rPr>
        <w:t>
      Расходы на оплату труда, включаемые в предельный уровень тарифов (цен, ставок сборов) Субъектов в сфере водоснабжения и (или) водоотведения, производства, передачи тепловой энергии, а также на энергопроизводящие организации с комбинированным производством электрической и тепловой энергии определяются исходя из фактической численности, но не превышающей нормативной численности персонала Субъекта.</w:t>
      </w:r>
    </w:p>
    <w:p>
      <w:pPr>
        <w:spacing w:after="0"/>
        <w:ind w:left="0"/>
        <w:jc w:val="both"/>
      </w:pPr>
      <w:r>
        <w:rPr>
          <w:rFonts w:ascii="Times New Roman"/>
          <w:b w:val="false"/>
          <w:i w:val="false"/>
          <w:color w:val="000000"/>
          <w:sz w:val="28"/>
        </w:rPr>
        <w:t>
      12. В среднесрочный (долгосрочный) период допускается утверждение предельных уровней тарифов на каждый год.</w:t>
      </w:r>
    </w:p>
    <w:p>
      <w:pPr>
        <w:spacing w:after="0"/>
        <w:ind w:left="0"/>
        <w:jc w:val="left"/>
      </w:pPr>
      <w:r>
        <w:rPr>
          <w:rFonts w:ascii="Times New Roman"/>
          <w:b/>
          <w:i w:val="false"/>
          <w:color w:val="000000"/>
        </w:rPr>
        <w:t xml:space="preserve"> 2. Порядок представления и принятия заявки на утверждение</w:t>
      </w:r>
      <w:r>
        <w:br/>
      </w:r>
      <w:r>
        <w:rPr>
          <w:rFonts w:ascii="Times New Roman"/>
          <w:b/>
          <w:i w:val="false"/>
          <w:color w:val="000000"/>
        </w:rPr>
        <w:t>предельного уровня тарифов (цен, ставок сборов)</w:t>
      </w:r>
      <w:r>
        <w:br/>
      </w:r>
      <w:r>
        <w:rPr>
          <w:rFonts w:ascii="Times New Roman"/>
          <w:b/>
          <w:i w:val="false"/>
          <w:color w:val="000000"/>
        </w:rPr>
        <w:t>на регулируемые услуги (товары, работы) Субъектов</w:t>
      </w:r>
    </w:p>
    <w:p>
      <w:pPr>
        <w:spacing w:after="0"/>
        <w:ind w:left="0"/>
        <w:jc w:val="both"/>
      </w:pPr>
      <w:r>
        <w:rPr>
          <w:rFonts w:ascii="Times New Roman"/>
          <w:b w:val="false"/>
          <w:i w:val="false"/>
          <w:color w:val="000000"/>
          <w:sz w:val="28"/>
        </w:rPr>
        <w:t>
      13. Субъект представляет в ведомство уполномоченного органа заявку в произвольной форме на утверждение предельного уровня тарифов (цен, ставок сборов) за сто восемьдесят календарных дней до введения его в действие.</w:t>
      </w:r>
    </w:p>
    <w:p>
      <w:pPr>
        <w:spacing w:after="0"/>
        <w:ind w:left="0"/>
        <w:jc w:val="both"/>
      </w:pPr>
      <w:r>
        <w:rPr>
          <w:rFonts w:ascii="Times New Roman"/>
          <w:b w:val="false"/>
          <w:i w:val="false"/>
          <w:color w:val="000000"/>
          <w:sz w:val="28"/>
        </w:rPr>
        <w:t>
      В случае пересмотра предельного уровня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предельных уровней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w:t>
      </w:r>
    </w:p>
    <w:p>
      <w:pPr>
        <w:spacing w:after="0"/>
        <w:ind w:left="0"/>
        <w:jc w:val="both"/>
      </w:pPr>
      <w:r>
        <w:rPr>
          <w:rFonts w:ascii="Times New Roman"/>
          <w:b w:val="false"/>
          <w:i w:val="false"/>
          <w:color w:val="000000"/>
          <w:sz w:val="28"/>
        </w:rPr>
        <w:t>
      14. К заявке на утверждение предельного уровня тарифов (цен, ставок сборов) прилагаются:</w:t>
      </w:r>
    </w:p>
    <w:p>
      <w:pPr>
        <w:spacing w:after="0"/>
        <w:ind w:left="0"/>
        <w:jc w:val="both"/>
      </w:pPr>
      <w:r>
        <w:rPr>
          <w:rFonts w:ascii="Times New Roman"/>
          <w:b w:val="false"/>
          <w:i w:val="false"/>
          <w:color w:val="000000"/>
          <w:sz w:val="28"/>
        </w:rPr>
        <w:t>
      1) пояснительная записка о необходимости утверждения предельного уровня тарифов (цен, ставок сборов);</w:t>
      </w:r>
    </w:p>
    <w:p>
      <w:pPr>
        <w:spacing w:after="0"/>
        <w:ind w:left="0"/>
        <w:jc w:val="both"/>
      </w:pPr>
      <w:r>
        <w:rPr>
          <w:rFonts w:ascii="Times New Roman"/>
          <w:b w:val="false"/>
          <w:i w:val="false"/>
          <w:color w:val="000000"/>
          <w:sz w:val="28"/>
        </w:rPr>
        <w:t>
      2) проект инвестиционной программы (проекта) на пятилетний срок и более);</w:t>
      </w:r>
    </w:p>
    <w:p>
      <w:pPr>
        <w:spacing w:after="0"/>
        <w:ind w:left="0"/>
        <w:jc w:val="both"/>
      </w:pPr>
      <w:r>
        <w:rPr>
          <w:rFonts w:ascii="Times New Roman"/>
          <w:b w:val="false"/>
          <w:i w:val="false"/>
          <w:color w:val="000000"/>
          <w:sz w:val="28"/>
        </w:rPr>
        <w:t>
      3) проект предельного уровня тарифов (цен, ставок сборов) с прейскурантом с учетом отраслевых особенностей;</w:t>
      </w:r>
    </w:p>
    <w:p>
      <w:pPr>
        <w:spacing w:after="0"/>
        <w:ind w:left="0"/>
        <w:jc w:val="both"/>
      </w:pPr>
      <w:r>
        <w:rPr>
          <w:rFonts w:ascii="Times New Roman"/>
          <w:b w:val="false"/>
          <w:i w:val="false"/>
          <w:color w:val="000000"/>
          <w:sz w:val="28"/>
        </w:rPr>
        <w:t xml:space="preserve">
      4) бухгалтерский баланс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5) отчет о прибылях и убытках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6) отчет о движении денежных средств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7) отчет об инвестиционной деятельности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октября 2014 года № 27 (зарегистрированный в Реестре государственной регистрации нормативных правовых актов за № 9910);</w:t>
      </w:r>
    </w:p>
    <w:p>
      <w:pPr>
        <w:spacing w:after="0"/>
        <w:ind w:left="0"/>
        <w:jc w:val="both"/>
      </w:pPr>
      <w:r>
        <w:rPr>
          <w:rFonts w:ascii="Times New Roman"/>
          <w:b w:val="false"/>
          <w:i w:val="false"/>
          <w:color w:val="000000"/>
          <w:sz w:val="28"/>
        </w:rPr>
        <w:t xml:space="preserve">
      8) отчет по труду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9) отчет о размерах заработной платы работников по отдельным должностям и профессиям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11) отчет о состоянии основных фондов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12) проект тарифной сметы регулируемых услуг (товаров, работ), в соответствии с приложением 3 к настоящим Правилам;</w:t>
      </w:r>
    </w:p>
    <w:p>
      <w:pPr>
        <w:spacing w:after="0"/>
        <w:ind w:left="0"/>
        <w:jc w:val="both"/>
      </w:pPr>
      <w:r>
        <w:rPr>
          <w:rFonts w:ascii="Times New Roman"/>
          <w:b w:val="false"/>
          <w:i w:val="false"/>
          <w:color w:val="000000"/>
          <w:sz w:val="28"/>
        </w:rPr>
        <w:t>
      13) расшифровка дебиторской и кредиторской задолженности за два предшествующих календарных года;</w:t>
      </w:r>
    </w:p>
    <w:p>
      <w:pPr>
        <w:spacing w:after="0"/>
        <w:ind w:left="0"/>
        <w:jc w:val="both"/>
      </w:pPr>
      <w:r>
        <w:rPr>
          <w:rFonts w:ascii="Times New Roman"/>
          <w:b w:val="false"/>
          <w:i w:val="false"/>
          <w:color w:val="000000"/>
          <w:sz w:val="28"/>
        </w:rPr>
        <w:t>
      14) расшифровка прочих и других расходов за два предшествующих календарных года;</w:t>
      </w:r>
    </w:p>
    <w:p>
      <w:pPr>
        <w:spacing w:after="0"/>
        <w:ind w:left="0"/>
        <w:jc w:val="both"/>
      </w:pPr>
      <w:r>
        <w:rPr>
          <w:rFonts w:ascii="Times New Roman"/>
          <w:b w:val="false"/>
          <w:i w:val="false"/>
          <w:color w:val="000000"/>
          <w:sz w:val="28"/>
        </w:rPr>
        <w:t>
      15) проект на утверждение на пятилетний срок и более:</w:t>
      </w:r>
    </w:p>
    <w:p>
      <w:pPr>
        <w:spacing w:after="0"/>
        <w:ind w:left="0"/>
        <w:jc w:val="both"/>
      </w:pPr>
      <w:r>
        <w:rPr>
          <w:rFonts w:ascii="Times New Roman"/>
          <w:b w:val="false"/>
          <w:i w:val="false"/>
          <w:color w:val="000000"/>
          <w:sz w:val="28"/>
        </w:rPr>
        <w:t xml:space="preserve">
      нормативной численности персонала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xml:space="preserve">
      технических и технологических норм расхода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xml:space="preserve">
      нормативных технических потерь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16) утвержденная Субъектом и согласованная ведомством уполномоченного органа на пятилетний срок и более смета затрат, направляемая Субъектом на текущий и капитальный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17) решения конкурсных (тендерных) комиссий по закупке материальных, финансовых ресурсов, оборудования и услуг за предшествующий календарный год;</w:t>
      </w:r>
    </w:p>
    <w:p>
      <w:pPr>
        <w:spacing w:after="0"/>
        <w:ind w:left="0"/>
        <w:jc w:val="both"/>
      </w:pPr>
      <w:r>
        <w:rPr>
          <w:rFonts w:ascii="Times New Roman"/>
          <w:b w:val="false"/>
          <w:i w:val="false"/>
          <w:color w:val="000000"/>
          <w:sz w:val="28"/>
        </w:rPr>
        <w:t>
      18) расчет ставки прибыли на регулируемую базу задействованных активов;</w:t>
      </w:r>
    </w:p>
    <w:p>
      <w:pPr>
        <w:spacing w:after="0"/>
        <w:ind w:left="0"/>
        <w:jc w:val="both"/>
      </w:pPr>
      <w:r>
        <w:rPr>
          <w:rFonts w:ascii="Times New Roman"/>
          <w:b w:val="false"/>
          <w:i w:val="false"/>
          <w:color w:val="000000"/>
          <w:sz w:val="28"/>
        </w:rPr>
        <w:t>
      19) информация о начислении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среднесрочный или долгосрочный период с разбивкой по годам;</w:t>
      </w:r>
    </w:p>
    <w:p>
      <w:pPr>
        <w:spacing w:after="0"/>
        <w:ind w:left="0"/>
        <w:jc w:val="both"/>
      </w:pPr>
      <w:r>
        <w:rPr>
          <w:rFonts w:ascii="Times New Roman"/>
          <w:b w:val="false"/>
          <w:i w:val="false"/>
          <w:color w:val="000000"/>
          <w:sz w:val="28"/>
        </w:rPr>
        <w:t>
      20) условия финансирования и возмещения заемных ресурсов (проценты за кредиты, период финансирования, комиссионные выплаты, сроки погашения и другие);</w:t>
      </w:r>
    </w:p>
    <w:p>
      <w:pPr>
        <w:spacing w:after="0"/>
        <w:ind w:left="0"/>
        <w:jc w:val="both"/>
      </w:pPr>
      <w:r>
        <w:rPr>
          <w:rFonts w:ascii="Times New Roman"/>
          <w:b w:val="false"/>
          <w:i w:val="false"/>
          <w:color w:val="000000"/>
          <w:sz w:val="28"/>
        </w:rPr>
        <w:t>
      21)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p>
      <w:pPr>
        <w:spacing w:after="0"/>
        <w:ind w:left="0"/>
        <w:jc w:val="both"/>
      </w:pPr>
      <w:r>
        <w:rPr>
          <w:rFonts w:ascii="Times New Roman"/>
          <w:b w:val="false"/>
          <w:i w:val="false"/>
          <w:color w:val="000000"/>
          <w:sz w:val="28"/>
        </w:rPr>
        <w:t>
      Вместе с заявкой на утверждение предельного уровня тарифа (цены, ставки сбора) субъектом одновременно представляется на утверждение инвестиционная программа (проект).</w:t>
      </w:r>
    </w:p>
    <w:p>
      <w:pPr>
        <w:spacing w:after="0"/>
        <w:ind w:left="0"/>
        <w:jc w:val="both"/>
      </w:pPr>
      <w:r>
        <w:rPr>
          <w:rFonts w:ascii="Times New Roman"/>
          <w:b w:val="false"/>
          <w:i w:val="false"/>
          <w:color w:val="000000"/>
          <w:sz w:val="28"/>
        </w:rPr>
        <w:t>
      15. При изменении объемов оказанных услуг в связи с уменьшением количества потребителей без приборов учета субъект естественной монополии представляет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предельного уровня тарифа, утвержденного в соответствии с пунктом 14 настоящих Правил, с приложением обосновывающих материалов:</w:t>
      </w:r>
    </w:p>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предельного уровня тарифа, утвержденного в соответствии с пунктом 14 настоящих Правил;</w:t>
      </w:r>
    </w:p>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и прочим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16. Ведомство уполномоченного органа рассматривает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в течение двадцати календарных дней. Срок рассмотрения исчисляется с момента подачи заявки.</w:t>
      </w:r>
    </w:p>
    <w:p>
      <w:pPr>
        <w:spacing w:after="0"/>
        <w:ind w:left="0"/>
        <w:jc w:val="both"/>
      </w:pPr>
      <w:r>
        <w:rPr>
          <w:rFonts w:ascii="Times New Roman"/>
          <w:b w:val="false"/>
          <w:i w:val="false"/>
          <w:color w:val="000000"/>
          <w:sz w:val="28"/>
        </w:rPr>
        <w:t>
      17. Прилагаемые в соответствии с пунктом 14 настоящих Правил к заявке расчеты и обосновывающие материалы представляются с соблюдением следующих процедур:</w:t>
      </w:r>
    </w:p>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При этом, финансовые документы подписываются первым руководителем и главным бухгалтером Субъекта, либо лицами, замещающими их, и заверяются печатью Субъекта;</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сборов) в обоснование принимаются данные в расчете на год;</w:t>
      </w:r>
    </w:p>
    <w:p>
      <w:pPr>
        <w:spacing w:after="0"/>
        <w:ind w:left="0"/>
        <w:jc w:val="both"/>
      </w:pPr>
      <w:r>
        <w:rPr>
          <w:rFonts w:ascii="Times New Roman"/>
          <w:b w:val="false"/>
          <w:i w:val="false"/>
          <w:color w:val="000000"/>
          <w:sz w:val="28"/>
        </w:rPr>
        <w:t>
      4) при расчете проектов тарифов (цен, ставок сборов) за базу принимаются фактические объемы регулируемых услуг (товаров, работ) за предыдущий календарный год;</w:t>
      </w:r>
    </w:p>
    <w:p>
      <w:pPr>
        <w:spacing w:after="0"/>
        <w:ind w:left="0"/>
        <w:jc w:val="both"/>
      </w:pPr>
      <w:r>
        <w:rPr>
          <w:rFonts w:ascii="Times New Roman"/>
          <w:b w:val="false"/>
          <w:i w:val="false"/>
          <w:color w:val="000000"/>
          <w:sz w:val="28"/>
        </w:rPr>
        <w:t>
      5) при снижении объемов регулируемых услуг (товаров, работ) представляются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both"/>
      </w:pPr>
      <w:r>
        <w:rPr>
          <w:rFonts w:ascii="Times New Roman"/>
          <w:b w:val="false"/>
          <w:i w:val="false"/>
          <w:color w:val="000000"/>
          <w:sz w:val="28"/>
        </w:rPr>
        <w:t>
      18. К заявке на утверждение предельного уровня тарифа (цены, ставки сбора) и тарифной сметы в качестве чрезвычайной регулирующей меры прилагаются:</w:t>
      </w:r>
    </w:p>
    <w:p>
      <w:pPr>
        <w:spacing w:after="0"/>
        <w:ind w:left="0"/>
        <w:jc w:val="both"/>
      </w:pPr>
      <w:r>
        <w:rPr>
          <w:rFonts w:ascii="Times New Roman"/>
          <w:b w:val="false"/>
          <w:i w:val="false"/>
          <w:color w:val="000000"/>
          <w:sz w:val="28"/>
        </w:rPr>
        <w:t>
      1) пояснительная записка, с указанием причин утверждения предельного уровня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2) проект тарифной сметы в соответствии с требованиями Особого порядка по форме, указанной в приложении 3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3) документы, подтверждающие необходимость утверждения предельного уровня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предельного уровня тарифа (цены, ставки сбора) и тарифной сметы в качестве чрезвычайной регулирующей меры к заявке на утверждение предельного уровня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информация о наличии утвержденных на предстоящий период нормативных технических потерях, нормах расхода стратегического товара, изменение стоимости которого является причиной представления заявки на утверждение предельного уровня тарифа в качестве чрезвычайной регулирующей меры.</w:t>
      </w:r>
    </w:p>
    <w:p>
      <w:pPr>
        <w:spacing w:after="0"/>
        <w:ind w:left="0"/>
        <w:jc w:val="both"/>
      </w:pPr>
      <w:r>
        <w:rPr>
          <w:rFonts w:ascii="Times New Roman"/>
          <w:b w:val="false"/>
          <w:i w:val="false"/>
          <w:color w:val="000000"/>
          <w:sz w:val="28"/>
        </w:rPr>
        <w:t>
      19. Ведомство уполномоченного органа в течение семи рабочих дней со дня получения заявки проверяет полноту представленных обосновывающих материалов и в письменном виде уведомляет Субъекта о принятии заявки к рассмотрению или об отказе в принятии заявки к рассмотрению с указанием причин отказа,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пунктом 14 настоящих Правил.</w:t>
      </w:r>
    </w:p>
    <w:p>
      <w:pPr>
        <w:spacing w:after="0"/>
        <w:ind w:left="0"/>
        <w:jc w:val="both"/>
      </w:pPr>
      <w:r>
        <w:rPr>
          <w:rFonts w:ascii="Times New Roman"/>
          <w:b w:val="false"/>
          <w:i w:val="false"/>
          <w:color w:val="000000"/>
          <w:sz w:val="28"/>
        </w:rPr>
        <w:t>
      Ведомство уполномоченного органа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для принятия решения в качестве чрезвычайной регулирующей меры о принятии заявки к рассмотрению или об отказе в принятии заявки к рассмотрению с приведением причин отказа.</w:t>
      </w:r>
    </w:p>
    <w:p>
      <w:pPr>
        <w:spacing w:after="0"/>
        <w:ind w:left="0"/>
        <w:jc w:val="both"/>
      </w:pPr>
      <w:r>
        <w:rPr>
          <w:rFonts w:ascii="Times New Roman"/>
          <w:b w:val="false"/>
          <w:i w:val="false"/>
          <w:color w:val="000000"/>
          <w:sz w:val="28"/>
        </w:rPr>
        <w:t>
      20. Причинами отказа в принятии заявки Субъекта к рассмотрению являются:</w:t>
      </w:r>
    </w:p>
    <w:p>
      <w:pPr>
        <w:spacing w:after="0"/>
        <w:ind w:left="0"/>
        <w:jc w:val="both"/>
      </w:pPr>
      <w:r>
        <w:rPr>
          <w:rFonts w:ascii="Times New Roman"/>
          <w:b w:val="false"/>
          <w:i w:val="false"/>
          <w:color w:val="000000"/>
          <w:sz w:val="28"/>
        </w:rPr>
        <w:t>
      1) нарушение Субъектом сроков представления заявки;</w:t>
      </w:r>
    </w:p>
    <w:p>
      <w:pPr>
        <w:spacing w:after="0"/>
        <w:ind w:left="0"/>
        <w:jc w:val="both"/>
      </w:pPr>
      <w:r>
        <w:rPr>
          <w:rFonts w:ascii="Times New Roman"/>
          <w:b w:val="false"/>
          <w:i w:val="false"/>
          <w:color w:val="000000"/>
          <w:sz w:val="28"/>
        </w:rPr>
        <w:t>
      2) непредставление Субъектом документов, указанных в пунктах 14 и 18 настоящих Правил;</w:t>
      </w:r>
    </w:p>
    <w:p>
      <w:pPr>
        <w:spacing w:after="0"/>
        <w:ind w:left="0"/>
        <w:jc w:val="both"/>
      </w:pPr>
      <w:r>
        <w:rPr>
          <w:rFonts w:ascii="Times New Roman"/>
          <w:b w:val="false"/>
          <w:i w:val="false"/>
          <w:color w:val="000000"/>
          <w:sz w:val="28"/>
        </w:rPr>
        <w:t>
      3) несоответствие представленных документов подпунктам 1), 2) и 6) пункта 17 настоящих Правил.</w:t>
      </w:r>
    </w:p>
    <w:p>
      <w:pPr>
        <w:spacing w:after="0"/>
        <w:ind w:left="0"/>
        <w:jc w:val="left"/>
      </w:pPr>
      <w:r>
        <w:rPr>
          <w:rFonts w:ascii="Times New Roman"/>
          <w:b/>
          <w:i w:val="false"/>
          <w:color w:val="000000"/>
        </w:rPr>
        <w:t xml:space="preserve"> 3. Порядок утверждения проекта</w:t>
      </w:r>
      <w:r>
        <w:br/>
      </w:r>
      <w:r>
        <w:rPr>
          <w:rFonts w:ascii="Times New Roman"/>
          <w:b/>
          <w:i w:val="false"/>
          <w:color w:val="000000"/>
        </w:rPr>
        <w:t>предельного уровня (цен, ставок сборов)</w:t>
      </w:r>
    </w:p>
    <w:p>
      <w:pPr>
        <w:spacing w:after="0"/>
        <w:ind w:left="0"/>
        <w:jc w:val="both"/>
      </w:pPr>
      <w:r>
        <w:rPr>
          <w:rFonts w:ascii="Times New Roman"/>
          <w:b w:val="false"/>
          <w:i w:val="false"/>
          <w:color w:val="000000"/>
          <w:sz w:val="28"/>
        </w:rPr>
        <w:t>
      21. Проект предельного уровня тарифов (цен, ставок сборов) Субъекта рассматривается ведомством уполномоченного органа в течение ста сорока пяти календарных дней с момента подачи заявки при условии представления экономически обоснованных расчетов в соответствии с настоящими Правилами.</w:t>
      </w:r>
    </w:p>
    <w:p>
      <w:pPr>
        <w:spacing w:after="0"/>
        <w:ind w:left="0"/>
        <w:jc w:val="both"/>
      </w:pPr>
      <w:r>
        <w:rPr>
          <w:rFonts w:ascii="Times New Roman"/>
          <w:b w:val="false"/>
          <w:i w:val="false"/>
          <w:color w:val="000000"/>
          <w:sz w:val="28"/>
        </w:rPr>
        <w:t>
      Проекты предельных уровней тарифов (цен, ставок сборов)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ведомством уполномоченного органа в течение двадцати календарных дней.</w:t>
      </w:r>
    </w:p>
    <w:p>
      <w:pPr>
        <w:spacing w:after="0"/>
        <w:ind w:left="0"/>
        <w:jc w:val="both"/>
      </w:pPr>
      <w:r>
        <w:rPr>
          <w:rFonts w:ascii="Times New Roman"/>
          <w:b w:val="false"/>
          <w:i w:val="false"/>
          <w:color w:val="000000"/>
          <w:sz w:val="28"/>
        </w:rPr>
        <w:t>
      22. Ведомство уполномоченного органа проводит экспертизу проекта предельного уровня тарифов (цен, ставок сборов) и тарифных смет:</w:t>
      </w:r>
    </w:p>
    <w:p>
      <w:pPr>
        <w:spacing w:after="0"/>
        <w:ind w:left="0"/>
        <w:jc w:val="both"/>
      </w:pPr>
      <w:r>
        <w:rPr>
          <w:rFonts w:ascii="Times New Roman"/>
          <w:b w:val="false"/>
          <w:i w:val="false"/>
          <w:color w:val="000000"/>
          <w:sz w:val="28"/>
        </w:rPr>
        <w:t>
      1) на основе анализа представленных Субъектом с заявкой обосновывающих документов и расчетов, а также сравнительного анализа показателей деятельности Субъектов, занимающихся аналогичным видом деятельности;</w:t>
      </w:r>
    </w:p>
    <w:p>
      <w:pPr>
        <w:spacing w:after="0"/>
        <w:ind w:left="0"/>
        <w:jc w:val="both"/>
      </w:pPr>
      <w:r>
        <w:rPr>
          <w:rFonts w:ascii="Times New Roman"/>
          <w:b w:val="false"/>
          <w:i w:val="false"/>
          <w:color w:val="000000"/>
          <w:sz w:val="28"/>
        </w:rPr>
        <w:t>
      2) с привлечением для этого независимых экспертов, государственных органов, потребителей и их общественных объединений, Субъекта, представившего проект.</w:t>
      </w:r>
    </w:p>
    <w:p>
      <w:pPr>
        <w:spacing w:after="0"/>
        <w:ind w:left="0"/>
        <w:jc w:val="both"/>
      </w:pPr>
      <w:r>
        <w:rPr>
          <w:rFonts w:ascii="Times New Roman"/>
          <w:b w:val="false"/>
          <w:i w:val="false"/>
          <w:color w:val="000000"/>
          <w:sz w:val="28"/>
        </w:rPr>
        <w:t>
      23. Ведомство уполномоченного органа выносит предлагаемый Субъектом проект предельного уровня тарифов (цен, ставок сборов) на обсуждение при проведении публичных слушаний.</w:t>
      </w:r>
    </w:p>
    <w:p>
      <w:pPr>
        <w:spacing w:after="0"/>
        <w:ind w:left="0"/>
        <w:jc w:val="both"/>
      </w:pPr>
      <w:r>
        <w:rPr>
          <w:rFonts w:ascii="Times New Roman"/>
          <w:b w:val="false"/>
          <w:i w:val="false"/>
          <w:color w:val="000000"/>
          <w:sz w:val="28"/>
        </w:rPr>
        <w:t>
      24. Ведомство уполномоченного органа по результатам проведенной экспертизы принимает решение об утверждении предельного уровня тарифов (цен, ставок сборов) и тарифных смет с указанием срока его действия.</w:t>
      </w:r>
    </w:p>
    <w:p>
      <w:pPr>
        <w:spacing w:after="0"/>
        <w:ind w:left="0"/>
        <w:jc w:val="both"/>
      </w:pPr>
      <w:r>
        <w:rPr>
          <w:rFonts w:ascii="Times New Roman"/>
          <w:b w:val="false"/>
          <w:i w:val="false"/>
          <w:color w:val="000000"/>
          <w:sz w:val="28"/>
        </w:rPr>
        <w:t>
      Срок действия тарифов устанавливается на период не более, чем предусмотрено на реализацию Субъектом инвестиционной программы (проекта).</w:t>
      </w:r>
    </w:p>
    <w:p>
      <w:pPr>
        <w:spacing w:after="0"/>
        <w:ind w:left="0"/>
        <w:jc w:val="both"/>
      </w:pPr>
      <w:r>
        <w:rPr>
          <w:rFonts w:ascii="Times New Roman"/>
          <w:b w:val="false"/>
          <w:i w:val="false"/>
          <w:color w:val="000000"/>
          <w:sz w:val="28"/>
        </w:rPr>
        <w:t>
      25. Решение ведомства уполномоченного органа об утверждении предельного уровня тарифов (цен, ставок сборов) и тарифных смет на регулируемые услуги (товары, работы) или отказе в утверждении предельного уровня тарифов (цен, ставок сборов) и тарифных смет на регулируемые услуги (товары, работы) Субъекта оформляется приказом руководителя ведомства уполномоченного органа и направляется ведомством уполномоченного органа Субъекту не позднее тридцати пяти календарных дней до введения их в действие.</w:t>
      </w:r>
    </w:p>
    <w:p>
      <w:pPr>
        <w:spacing w:after="0"/>
        <w:ind w:left="0"/>
        <w:jc w:val="both"/>
      </w:pPr>
      <w:r>
        <w:rPr>
          <w:rFonts w:ascii="Times New Roman"/>
          <w:b w:val="false"/>
          <w:i w:val="false"/>
          <w:color w:val="000000"/>
          <w:sz w:val="28"/>
        </w:rPr>
        <w:t>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пунктом 14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p>
      <w:pPr>
        <w:spacing w:after="0"/>
        <w:ind w:left="0"/>
        <w:jc w:val="both"/>
      </w:pPr>
      <w:r>
        <w:rPr>
          <w:rFonts w:ascii="Times New Roman"/>
          <w:b w:val="false"/>
          <w:i w:val="false"/>
          <w:color w:val="000000"/>
          <w:sz w:val="28"/>
        </w:rPr>
        <w:t>
      26. Введение предельного уровня тарифов (цен, ставок сборов), осуществляется с первого числа второго месяца, следующего за месяцем утверждения предельного уровня тарифов (цен, ставок сборов).</w:t>
      </w:r>
    </w:p>
    <w:p>
      <w:pPr>
        <w:spacing w:after="0"/>
        <w:ind w:left="0"/>
        <w:jc w:val="both"/>
      </w:pPr>
      <w:r>
        <w:rPr>
          <w:rFonts w:ascii="Times New Roman"/>
          <w:b w:val="false"/>
          <w:i w:val="false"/>
          <w:color w:val="000000"/>
          <w:sz w:val="28"/>
        </w:rPr>
        <w:t>
      27. Субъект доводит до сведения потребителей информацию о введении предельного уровня тарифов (цен, ставок сборов)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В случае утверждения предельного уровня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w:t>
      </w:r>
    </w:p>
    <w:p>
      <w:pPr>
        <w:spacing w:after="0"/>
        <w:ind w:left="0"/>
        <w:jc w:val="both"/>
      </w:pPr>
      <w:r>
        <w:rPr>
          <w:rFonts w:ascii="Times New Roman"/>
          <w:b w:val="false"/>
          <w:i w:val="false"/>
          <w:color w:val="000000"/>
          <w:sz w:val="28"/>
        </w:rPr>
        <w:t>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пунктом 14 настоящих Правил не позднее, чем за десять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p>
      <w:pPr>
        <w:spacing w:after="0"/>
        <w:ind w:left="0"/>
        <w:jc w:val="both"/>
      </w:pPr>
      <w:r>
        <w:rPr>
          <w:rFonts w:ascii="Times New Roman"/>
          <w:b w:val="false"/>
          <w:i w:val="false"/>
          <w:color w:val="000000"/>
          <w:sz w:val="28"/>
        </w:rPr>
        <w:t>
      28. Субъект в течение пяти календарных дней представляет в ведомство уполномоченного органа информацию о факте уведомления потребителей о введении предельного уровня тарифов (цен, ставок сборов).</w:t>
      </w:r>
    </w:p>
    <w:p>
      <w:pPr>
        <w:spacing w:after="0"/>
        <w:ind w:left="0"/>
        <w:jc w:val="both"/>
      </w:pPr>
      <w:r>
        <w:rPr>
          <w:rFonts w:ascii="Times New Roman"/>
          <w:b w:val="false"/>
          <w:i w:val="false"/>
          <w:color w:val="000000"/>
          <w:sz w:val="28"/>
        </w:rPr>
        <w:t>
      29. Если субъект не уведомит потребителей о введении предельного уровня тарифов (цен, ставок сборов) в сроки, предусмотренные настоящими Правилами, то указанный предельный уровень тарифов (цен, ставок сборов) не вводится с даты указанной в решении ведомства уполномоченного органа. Введение утвержденного предельного уровня тарифов (цен, ставок сборов) осуществляется с первого числа третьего месяца, следующего за месяцем утверждения предельного уровня тарифов (цен, ставок сборов).</w:t>
      </w:r>
    </w:p>
    <w:p>
      <w:pPr>
        <w:spacing w:after="0"/>
        <w:ind w:left="0"/>
        <w:jc w:val="both"/>
      </w:pPr>
      <w:r>
        <w:rPr>
          <w:rFonts w:ascii="Times New Roman"/>
          <w:b w:val="false"/>
          <w:i w:val="false"/>
          <w:color w:val="000000"/>
          <w:sz w:val="28"/>
        </w:rPr>
        <w:t>
      30. Для корректировки тарифной сметы и (или) предельного уровня тарифа (цены, ставки сбора), утвержденных в соответствии с пунктом 12 настоящих Правил, субъект естественной монополии до конца текущего года обращается в уполномоченный орган с предложением о корректировке тарифной сметы и (или) предельного уровня тарифа (цены, ставки сбора).</w:t>
      </w:r>
    </w:p>
    <w:p>
      <w:pPr>
        <w:spacing w:after="0"/>
        <w:ind w:left="0"/>
        <w:jc w:val="both"/>
      </w:pPr>
      <w:r>
        <w:rPr>
          <w:rFonts w:ascii="Times New Roman"/>
          <w:b w:val="false"/>
          <w:i w:val="false"/>
          <w:color w:val="000000"/>
          <w:sz w:val="28"/>
        </w:rPr>
        <w:t>
      При обращении с предложением о корректировке тарифной сметы и (или) предельного уровня тарифа (цены, ставки сбора) субъект естественной монополии представляет в уполномоченный орган проект тарифа (цены, ставки сбора) и тарифной сметы с учетом корректировок и материалы, обосновывающие внесение корректировок.</w:t>
      </w:r>
    </w:p>
    <w:p>
      <w:pPr>
        <w:spacing w:after="0"/>
        <w:ind w:left="0"/>
        <w:jc w:val="both"/>
      </w:pPr>
      <w:r>
        <w:rPr>
          <w:rFonts w:ascii="Times New Roman"/>
          <w:b w:val="false"/>
          <w:i w:val="false"/>
          <w:color w:val="000000"/>
          <w:sz w:val="28"/>
        </w:rPr>
        <w:t>
      31. Прилагаемые к тарифной смете материалы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p>
      <w:pPr>
        <w:spacing w:after="0"/>
        <w:ind w:left="0"/>
        <w:jc w:val="both"/>
      </w:pPr>
      <w:r>
        <w:rPr>
          <w:rFonts w:ascii="Times New Roman"/>
          <w:b w:val="false"/>
          <w:i w:val="false"/>
          <w:color w:val="000000"/>
          <w:sz w:val="28"/>
        </w:rPr>
        <w:t>
      32. Ведомство уполномочнного органа рассматривает документы по корректировке тарифной сметы и (или) предельного уровня тарифа (цены, ставки сбора) в течение тридцати календарных дней с момента представления.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w:t>
            </w:r>
            <w:r>
              <w:br/>
            </w:r>
            <w:r>
              <w:rPr>
                <w:rFonts w:ascii="Times New Roman"/>
                <w:b w:val="false"/>
                <w:i w:val="false"/>
                <w:color w:val="000000"/>
                <w:sz w:val="20"/>
              </w:rPr>
              <w:t>предельного уровня тарифов</w:t>
            </w:r>
            <w:r>
              <w:br/>
            </w:r>
            <w:r>
              <w:rPr>
                <w:rFonts w:ascii="Times New Roman"/>
                <w:b w:val="false"/>
                <w:i w:val="false"/>
                <w:color w:val="000000"/>
                <w:sz w:val="20"/>
              </w:rPr>
              <w:t>(цен, ставок сборов) и тарифных</w:t>
            </w:r>
            <w:r>
              <w:br/>
            </w:r>
            <w:r>
              <w:rPr>
                <w:rFonts w:ascii="Times New Roman"/>
                <w:b w:val="false"/>
                <w:i w:val="false"/>
                <w:color w:val="000000"/>
                <w:sz w:val="20"/>
              </w:rPr>
              <w:t>смет на регулируемые услуги</w:t>
            </w:r>
            <w:r>
              <w:br/>
            </w:r>
            <w:r>
              <w:rPr>
                <w:rFonts w:ascii="Times New Roman"/>
                <w:b w:val="false"/>
                <w:i w:val="false"/>
                <w:color w:val="000000"/>
                <w:sz w:val="20"/>
              </w:rPr>
              <w:t>(товары, работы) субъектов</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Сведения об исполнении тарифной сметы на регулируемые услуги</w:t>
      </w:r>
    </w:p>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Индекс ИТС-1</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Представляют: субъекты естественной монополии, за исключением</w:t>
      </w:r>
    </w:p>
    <w:p>
      <w:pPr>
        <w:spacing w:after="0"/>
        <w:ind w:left="0"/>
        <w:jc w:val="both"/>
      </w:pPr>
      <w:r>
        <w:rPr>
          <w:rFonts w:ascii="Times New Roman"/>
          <w:b w:val="false"/>
          <w:i w:val="false"/>
          <w:color w:val="000000"/>
          <w:sz w:val="28"/>
        </w:rPr>
        <w:t>
      региональной электросетевой компании</w:t>
      </w:r>
    </w:p>
    <w:p>
      <w:pPr>
        <w:spacing w:after="0"/>
        <w:ind w:left="0"/>
        <w:jc w:val="both"/>
      </w:pPr>
      <w:r>
        <w:rPr>
          <w:rFonts w:ascii="Times New Roman"/>
          <w:b w:val="false"/>
          <w:i w:val="false"/>
          <w:color w:val="000000"/>
          <w:sz w:val="28"/>
        </w:rPr>
        <w:t>
      Куда представляется форма: Комитет по регулированию</w:t>
      </w:r>
    </w:p>
    <w:p>
      <w:pPr>
        <w:spacing w:after="0"/>
        <w:ind w:left="0"/>
        <w:jc w:val="both"/>
      </w:pPr>
      <w:r>
        <w:rPr>
          <w:rFonts w:ascii="Times New Roman"/>
          <w:b w:val="false"/>
          <w:i w:val="false"/>
          <w:color w:val="000000"/>
          <w:sz w:val="28"/>
        </w:rPr>
        <w:t>
      естественных монополий и защите конкуренции Министерства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Срок представления – ежегодно не позднее 1 мая года, следующего</w:t>
      </w:r>
    </w:p>
    <w:p>
      <w:pPr>
        <w:spacing w:after="0"/>
        <w:ind w:left="0"/>
        <w:jc w:val="both"/>
      </w:pPr>
      <w:r>
        <w:rPr>
          <w:rFonts w:ascii="Times New Roman"/>
          <w:b w:val="false"/>
          <w:i w:val="false"/>
          <w:color w:val="000000"/>
          <w:sz w:val="28"/>
        </w:rPr>
        <w:t>
      за отчетным периодом, за исключением региональной электросетевой</w:t>
      </w:r>
    </w:p>
    <w:p>
      <w:pPr>
        <w:spacing w:after="0"/>
        <w:ind w:left="0"/>
        <w:jc w:val="both"/>
      </w:pPr>
      <w:r>
        <w:rPr>
          <w:rFonts w:ascii="Times New Roman"/>
          <w:b w:val="false"/>
          <w:i w:val="false"/>
          <w:color w:val="000000"/>
          <w:sz w:val="28"/>
        </w:rPr>
        <w:t>
      компании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2606"/>
        <w:gridCol w:w="1851"/>
        <w:gridCol w:w="1189"/>
        <w:gridCol w:w="1960"/>
        <w:gridCol w:w="1190"/>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сложившиеся</w:t>
            </w:r>
          </w:p>
          <w:p>
            <w:pPr>
              <w:spacing w:after="20"/>
              <w:ind w:left="20"/>
              <w:jc w:val="both"/>
            </w:pPr>
            <w:r>
              <w:rPr>
                <w:rFonts w:ascii="Times New Roman"/>
                <w:b w:val="false"/>
                <w:i w:val="false"/>
                <w:color w:val="000000"/>
                <w:sz w:val="20"/>
              </w:rPr>
              <w:t>
показатели тарифной</w:t>
            </w:r>
          </w:p>
          <w:p>
            <w:pPr>
              <w:spacing w:after="20"/>
              <w:ind w:left="20"/>
              <w:jc w:val="both"/>
            </w:pPr>
            <w:r>
              <w:rPr>
                <w:rFonts w:ascii="Times New Roman"/>
                <w:b w:val="false"/>
                <w:i w:val="false"/>
                <w:color w:val="000000"/>
                <w:sz w:val="20"/>
              </w:rPr>
              <w:t>
сметы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w:t>
            </w:r>
          </w:p>
          <w:p>
            <w:pPr>
              <w:spacing w:after="20"/>
              <w:ind w:left="20"/>
              <w:jc w:val="both"/>
            </w:pPr>
            <w:r>
              <w:rPr>
                <w:rFonts w:ascii="Times New Roman"/>
                <w:b w:val="false"/>
                <w:i w:val="false"/>
                <w:color w:val="000000"/>
                <w:sz w:val="20"/>
              </w:rPr>
              <w:t xml:space="preserve">
производство товаров и </w:t>
            </w:r>
          </w:p>
          <w:p>
            <w:pPr>
              <w:spacing w:after="20"/>
              <w:ind w:left="20"/>
              <w:jc w:val="both"/>
            </w:pPr>
            <w:r>
              <w:rPr>
                <w:rFonts w:ascii="Times New Roman"/>
                <w:b w:val="false"/>
                <w:i w:val="false"/>
                <w:color w:val="000000"/>
                <w:sz w:val="20"/>
              </w:rPr>
              <w:t>
предоставление услуг, всего, в т. ч.</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оплату труда,</w:t>
            </w:r>
          </w:p>
          <w:p>
            <w:pPr>
              <w:spacing w:after="20"/>
              <w:ind w:left="20"/>
              <w:jc w:val="both"/>
            </w:pPr>
            <w:r>
              <w:rPr>
                <w:rFonts w:ascii="Times New Roman"/>
                <w:b w:val="false"/>
                <w:i w:val="false"/>
                <w:color w:val="000000"/>
                <w:sz w:val="20"/>
              </w:rPr>
              <w:t>
всего, в т. ч.</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 ч.</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p>
            <w:pPr>
              <w:spacing w:after="20"/>
              <w:ind w:left="20"/>
              <w:jc w:val="both"/>
            </w:pPr>
            <w:r>
              <w:rPr>
                <w:rFonts w:ascii="Times New Roman"/>
                <w:b w:val="false"/>
                <w:i w:val="false"/>
                <w:color w:val="000000"/>
                <w:sz w:val="20"/>
              </w:rPr>
              <w:t>
всего, в т.ч.</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 всего:</w:t>
            </w:r>
          </w:p>
          <w:p>
            <w:pPr>
              <w:spacing w:after="20"/>
              <w:ind w:left="20"/>
              <w:jc w:val="both"/>
            </w:pPr>
            <w:r>
              <w:rPr>
                <w:rFonts w:ascii="Times New Roman"/>
                <w:b w:val="false"/>
                <w:i w:val="false"/>
                <w:color w:val="000000"/>
                <w:sz w:val="20"/>
              </w:rPr>
              <w:t>
в том числе: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персонала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p>
            <w:pPr>
              <w:spacing w:after="20"/>
              <w:ind w:left="20"/>
              <w:jc w:val="both"/>
            </w:pPr>
            <w:r>
              <w:rPr>
                <w:rFonts w:ascii="Times New Roman"/>
                <w:b w:val="false"/>
                <w:i w:val="false"/>
                <w:color w:val="000000"/>
                <w:sz w:val="20"/>
              </w:rPr>
              <w:t>
(расшифровать)</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w:t>
            </w:r>
          </w:p>
          <w:p>
            <w:pPr>
              <w:spacing w:after="20"/>
              <w:ind w:left="20"/>
              <w:jc w:val="both"/>
            </w:pPr>
            <w:r>
              <w:rPr>
                <w:rFonts w:ascii="Times New Roman"/>
                <w:b w:val="false"/>
                <w:i w:val="false"/>
                <w:color w:val="000000"/>
                <w:sz w:val="20"/>
              </w:rPr>
              <w:t>
вознаграждений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w:t>
            </w:r>
          </w:p>
          <w:p>
            <w:pPr>
              <w:spacing w:after="20"/>
              <w:ind w:left="20"/>
              <w:jc w:val="both"/>
            </w:pPr>
            <w:r>
              <w:rPr>
                <w:rFonts w:ascii="Times New Roman"/>
                <w:b w:val="false"/>
                <w:i w:val="false"/>
                <w:color w:val="000000"/>
                <w:sz w:val="20"/>
              </w:rPr>
              <w:t>
услуг</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w:t>
            </w:r>
          </w:p>
          <w:p>
            <w:pPr>
              <w:spacing w:after="20"/>
              <w:ind w:left="20"/>
              <w:jc w:val="both"/>
            </w:pPr>
            <w:r>
              <w:rPr>
                <w:rFonts w:ascii="Times New Roman"/>
                <w:b w:val="false"/>
                <w:i w:val="false"/>
                <w:color w:val="000000"/>
                <w:sz w:val="20"/>
              </w:rPr>
              <w:t>
активов (РБА).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w:t>
            </w:r>
          </w:p>
          <w:p>
            <w:pPr>
              <w:spacing w:after="20"/>
              <w:ind w:left="20"/>
              <w:jc w:val="both"/>
            </w:pPr>
            <w:r>
              <w:rPr>
                <w:rFonts w:ascii="Times New Roman"/>
                <w:b w:val="false"/>
                <w:i w:val="false"/>
                <w:color w:val="000000"/>
                <w:sz w:val="20"/>
              </w:rPr>
              <w:t>
услуг (товаров, работ)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натуральных </w:t>
            </w:r>
          </w:p>
          <w:p>
            <w:pPr>
              <w:spacing w:after="20"/>
              <w:ind w:left="20"/>
              <w:jc w:val="both"/>
            </w:pPr>
            <w:r>
              <w:rPr>
                <w:rFonts w:ascii="Times New Roman"/>
                <w:b w:val="false"/>
                <w:i w:val="false"/>
                <w:color w:val="000000"/>
                <w:sz w:val="20"/>
              </w:rPr>
              <w:t>
показателях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w:t>
            </w:r>
          </w:p>
          <w:p>
            <w:pPr>
              <w:spacing w:after="20"/>
              <w:ind w:left="20"/>
              <w:jc w:val="both"/>
            </w:pPr>
            <w:r>
              <w:rPr>
                <w:rFonts w:ascii="Times New Roman"/>
                <w:b w:val="false"/>
                <w:i w:val="false"/>
                <w:color w:val="000000"/>
                <w:sz w:val="20"/>
              </w:rPr>
              <w:t>
оказываемых услуг (товаров,</w:t>
            </w:r>
          </w:p>
          <w:p>
            <w:pPr>
              <w:spacing w:after="20"/>
              <w:ind w:left="20"/>
              <w:jc w:val="both"/>
            </w:pPr>
            <w:r>
              <w:rPr>
                <w:rFonts w:ascii="Times New Roman"/>
                <w:b w:val="false"/>
                <w:i w:val="false"/>
                <w:color w:val="000000"/>
                <w:sz w:val="20"/>
              </w:rPr>
              <w:t>
работ)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Наименование организации ______________________________________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_________________________________</w:t>
      </w: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об исполнении тарифной сметы на регулируемые услуги</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за исключением региональной электросетевой компании, отчета об исполнении тарифной сметы на регулируемые услуги. Тарифная смета – это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ведомство уполномоченного органа и субъекты естественной монополии руководствуются Особым порядком, иными нормативными правовыми актами в сферах естественных монополий и на регулируемых рынках,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p>
    <w:p>
      <w:pPr>
        <w:spacing w:after="0"/>
        <w:ind w:left="0"/>
        <w:jc w:val="both"/>
      </w:pPr>
      <w:r>
        <w:rPr>
          <w:rFonts w:ascii="Times New Roman"/>
          <w:b w:val="false"/>
          <w:i w:val="false"/>
          <w:color w:val="000000"/>
          <w:sz w:val="28"/>
        </w:rPr>
        <w:t xml:space="preserve">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двенадцать месяцев, за исключением утверждения тарифов (цен, ставок сборов) и тарифных смет в качестве чрезвычайной регулирующей меры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9 июля 1998 года "О естественных монополиях и регулируемых рынках".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за исключением региональной электросетевой компании,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1 графа – указывается наименование показателей тарифной сметы,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2 графа – указывается единица измерения показателей тарифной сметы;</w:t>
      </w:r>
    </w:p>
    <w:p>
      <w:pPr>
        <w:spacing w:after="0"/>
        <w:ind w:left="0"/>
        <w:jc w:val="both"/>
      </w:pPr>
      <w:r>
        <w:rPr>
          <w:rFonts w:ascii="Times New Roman"/>
          <w:b w:val="false"/>
          <w:i w:val="false"/>
          <w:color w:val="000000"/>
          <w:sz w:val="28"/>
        </w:rPr>
        <w:t>
      3 графа – указывается предусмотренные в утвержденной тарифной смете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w:t>
      </w:r>
    </w:p>
    <w:p>
      <w:pPr>
        <w:spacing w:after="0"/>
        <w:ind w:left="0"/>
        <w:jc w:val="both"/>
      </w:pPr>
      <w:r>
        <w:rPr>
          <w:rFonts w:ascii="Times New Roman"/>
          <w:b w:val="false"/>
          <w:i w:val="false"/>
          <w:color w:val="000000"/>
          <w:sz w:val="28"/>
        </w:rPr>
        <w:t>
      4 графа – указываются фактически сложившиеся показатели тарифной сметы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за период предоставления отчета об исполнении тарифной сметы;</w:t>
      </w:r>
    </w:p>
    <w:p>
      <w:pPr>
        <w:spacing w:after="0"/>
        <w:ind w:left="0"/>
        <w:jc w:val="both"/>
      </w:pPr>
      <w:r>
        <w:rPr>
          <w:rFonts w:ascii="Times New Roman"/>
          <w:b w:val="false"/>
          <w:i w:val="false"/>
          <w:color w:val="000000"/>
          <w:sz w:val="28"/>
        </w:rPr>
        <w:t>
      5 графа – указывается процентное соотношение фактически сложившихся показателей тарифной сметы от утвержденных показателей тарифной смете;</w:t>
      </w:r>
    </w:p>
    <w:p>
      <w:pPr>
        <w:spacing w:after="0"/>
        <w:ind w:left="0"/>
        <w:jc w:val="both"/>
      </w:pPr>
      <w:r>
        <w:rPr>
          <w:rFonts w:ascii="Times New Roman"/>
          <w:b w:val="false"/>
          <w:i w:val="false"/>
          <w:color w:val="000000"/>
          <w:sz w:val="28"/>
        </w:rPr>
        <w:t>
      6 графа – указывается подробное описание причин отклонения показателей тарифной сметы.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w:t>
            </w:r>
            <w:r>
              <w:br/>
            </w:r>
            <w:r>
              <w:rPr>
                <w:rFonts w:ascii="Times New Roman"/>
                <w:b w:val="false"/>
                <w:i w:val="false"/>
                <w:color w:val="000000"/>
                <w:sz w:val="20"/>
              </w:rPr>
              <w:t>предельного уровня тарифов</w:t>
            </w:r>
            <w:r>
              <w:br/>
            </w:r>
            <w:r>
              <w:rPr>
                <w:rFonts w:ascii="Times New Roman"/>
                <w:b w:val="false"/>
                <w:i w:val="false"/>
                <w:color w:val="000000"/>
                <w:sz w:val="20"/>
              </w:rPr>
              <w:t>(цен, ставок сборов) и тарифных</w:t>
            </w:r>
            <w:r>
              <w:br/>
            </w:r>
            <w:r>
              <w:rPr>
                <w:rFonts w:ascii="Times New Roman"/>
                <w:b w:val="false"/>
                <w:i w:val="false"/>
                <w:color w:val="000000"/>
                <w:sz w:val="20"/>
              </w:rPr>
              <w:t>смет на регулируемые услуги</w:t>
            </w:r>
            <w:r>
              <w:br/>
            </w:r>
            <w:r>
              <w:rPr>
                <w:rFonts w:ascii="Times New Roman"/>
                <w:b w:val="false"/>
                <w:i w:val="false"/>
                <w:color w:val="000000"/>
                <w:sz w:val="20"/>
              </w:rPr>
              <w:t>(товары, работы) субъектов</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Сведения о фактической выплате наступивших обязательств по займам</w:t>
      </w:r>
    </w:p>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Индекс: ФВЗ-1</w:t>
      </w:r>
    </w:p>
    <w:p>
      <w:pPr>
        <w:spacing w:after="0"/>
        <w:ind w:left="0"/>
        <w:jc w:val="both"/>
      </w:pPr>
      <w:r>
        <w:rPr>
          <w:rFonts w:ascii="Times New Roman"/>
          <w:b w:val="false"/>
          <w:i w:val="false"/>
          <w:color w:val="000000"/>
          <w:sz w:val="28"/>
        </w:rPr>
        <w:t xml:space="preserve">
      Периодичность: квартальная </w:t>
      </w:r>
    </w:p>
    <w:p>
      <w:pPr>
        <w:spacing w:after="0"/>
        <w:ind w:left="0"/>
        <w:jc w:val="both"/>
      </w:pPr>
      <w:r>
        <w:rPr>
          <w:rFonts w:ascii="Times New Roman"/>
          <w:b w:val="false"/>
          <w:i w:val="false"/>
          <w:color w:val="000000"/>
          <w:sz w:val="28"/>
        </w:rPr>
        <w:t>
      Представляют: субъекты естественных монополий, имеющим</w:t>
      </w:r>
    </w:p>
    <w:p>
      <w:pPr>
        <w:spacing w:after="0"/>
        <w:ind w:left="0"/>
        <w:jc w:val="both"/>
      </w:pPr>
      <w:r>
        <w:rPr>
          <w:rFonts w:ascii="Times New Roman"/>
          <w:b w:val="false"/>
          <w:i w:val="false"/>
          <w:color w:val="000000"/>
          <w:sz w:val="28"/>
        </w:rPr>
        <w:t>
      инвестиционную программу (проект)</w:t>
      </w:r>
    </w:p>
    <w:p>
      <w:pPr>
        <w:spacing w:after="0"/>
        <w:ind w:left="0"/>
        <w:jc w:val="both"/>
      </w:pPr>
      <w:r>
        <w:rPr>
          <w:rFonts w:ascii="Times New Roman"/>
          <w:b w:val="false"/>
          <w:i w:val="false"/>
          <w:color w:val="000000"/>
          <w:sz w:val="28"/>
        </w:rPr>
        <w:t>
      Куда представляется форма: Комитет по регулированию</w:t>
      </w:r>
    </w:p>
    <w:p>
      <w:pPr>
        <w:spacing w:after="0"/>
        <w:ind w:left="0"/>
        <w:jc w:val="both"/>
      </w:pPr>
      <w:r>
        <w:rPr>
          <w:rFonts w:ascii="Times New Roman"/>
          <w:b w:val="false"/>
          <w:i w:val="false"/>
          <w:color w:val="000000"/>
          <w:sz w:val="28"/>
        </w:rPr>
        <w:t>
      естественных монополий и защите конкуренции Министерства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Срок представления: – ежеквартально до 25 числа, следующего за</w:t>
      </w:r>
    </w:p>
    <w:p>
      <w:pPr>
        <w:spacing w:after="0"/>
        <w:ind w:left="0"/>
        <w:jc w:val="both"/>
      </w:pPr>
      <w:r>
        <w:rPr>
          <w:rFonts w:ascii="Times New Roman"/>
          <w:b w:val="false"/>
          <w:i w:val="false"/>
          <w:color w:val="000000"/>
          <w:sz w:val="28"/>
        </w:rPr>
        <w:t>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510"/>
        <w:gridCol w:w="1522"/>
        <w:gridCol w:w="1522"/>
        <w:gridCol w:w="1522"/>
        <w:gridCol w:w="1522"/>
        <w:gridCol w:w="1849"/>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w:t>
            </w:r>
          </w:p>
          <w:p>
            <w:pPr>
              <w:spacing w:after="20"/>
              <w:ind w:left="20"/>
              <w:jc w:val="both"/>
            </w:pPr>
            <w:r>
              <w:rPr>
                <w:rFonts w:ascii="Times New Roman"/>
                <w:b w:val="false"/>
                <w:i w:val="false"/>
                <w:color w:val="000000"/>
                <w:sz w:val="20"/>
              </w:rPr>
              <w:t>
и т.д.</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w:t>
            </w:r>
          </w:p>
          <w:p>
            <w:pPr>
              <w:spacing w:after="20"/>
              <w:ind w:left="20"/>
              <w:jc w:val="both"/>
            </w:pPr>
            <w:r>
              <w:rPr>
                <w:rFonts w:ascii="Times New Roman"/>
                <w:b w:val="false"/>
                <w:i w:val="false"/>
                <w:color w:val="000000"/>
                <w:sz w:val="20"/>
              </w:rPr>
              <w:t>
фонд</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w:t>
            </w:r>
          </w:p>
          <w:p>
            <w:pPr>
              <w:spacing w:after="20"/>
              <w:ind w:left="20"/>
              <w:jc w:val="both"/>
            </w:pPr>
            <w:r>
              <w:rPr>
                <w:rFonts w:ascii="Times New Roman"/>
                <w:b w:val="false"/>
                <w:i w:val="false"/>
                <w:color w:val="000000"/>
                <w:sz w:val="20"/>
              </w:rPr>
              <w:t>
фонде на конец отчетного</w:t>
            </w:r>
          </w:p>
          <w:p>
            <w:pPr>
              <w:spacing w:after="20"/>
              <w:ind w:left="20"/>
              <w:jc w:val="both"/>
            </w:pPr>
            <w:r>
              <w:rPr>
                <w:rFonts w:ascii="Times New Roman"/>
                <w:b w:val="false"/>
                <w:i w:val="false"/>
                <w:color w:val="000000"/>
                <w:sz w:val="20"/>
              </w:rPr>
              <w:t>
периода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w:t>
            </w:r>
          </w:p>
          <w:p>
            <w:pPr>
              <w:spacing w:after="20"/>
              <w:ind w:left="20"/>
              <w:jc w:val="both"/>
            </w:pPr>
            <w:r>
              <w:rPr>
                <w:rFonts w:ascii="Times New Roman"/>
                <w:b w:val="false"/>
                <w:i w:val="false"/>
                <w:color w:val="000000"/>
                <w:sz w:val="20"/>
              </w:rPr>
              <w:t>
вознаграждения на накопленные средства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 Указывать курс тенге к доллару США.</w:t>
      </w:r>
    </w:p>
    <w:p>
      <w:pPr>
        <w:spacing w:after="0"/>
        <w:ind w:left="0"/>
        <w:jc w:val="both"/>
      </w:pPr>
      <w:r>
        <w:rPr>
          <w:rFonts w:ascii="Times New Roman"/>
          <w:b w:val="false"/>
          <w:i w:val="false"/>
          <w:color w:val="000000"/>
          <w:sz w:val="28"/>
        </w:rPr>
        <w:t>
      Наименование организации ______________________________________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_________________________________</w:t>
      </w: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
      Дата " " ______________ 20 года </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фактической выплате наступивших обязательств по</w:t>
      </w:r>
      <w:r>
        <w:br/>
      </w:r>
      <w:r>
        <w:rPr>
          <w:rFonts w:ascii="Times New Roman"/>
          <w:b/>
          <w:i w:val="false"/>
          <w:color w:val="000000"/>
        </w:rPr>
        <w:t>займам</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информации о фактической выплате наступивших обязательств по займам.</w:t>
      </w:r>
    </w:p>
    <w:p>
      <w:pPr>
        <w:spacing w:after="0"/>
        <w:ind w:left="0"/>
        <w:jc w:val="both"/>
      </w:pPr>
      <w:r>
        <w:rPr>
          <w:rFonts w:ascii="Times New Roman"/>
          <w:b w:val="false"/>
          <w:i w:val="false"/>
          <w:color w:val="000000"/>
          <w:sz w:val="28"/>
        </w:rPr>
        <w:t>
      Указанная информация представляется субъектами естественной монополии, имеющим инвестиционную программу (проект)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В предельный уровень тарифов (цен, ставок сборов) включаются затраты на выплату вознаграждений за кредиты для реализации инвестиционной программы (проекта). Изменение размера вознаграждений (проценты за кредиты, комиссионные выплаты) по полученным кредитам в период реализации инвестиционной программы (проекта) допускается только в сторону снижения.</w:t>
      </w:r>
    </w:p>
    <w:p>
      <w:pPr>
        <w:spacing w:after="0"/>
        <w:ind w:left="0"/>
        <w:jc w:val="both"/>
      </w:pPr>
      <w:r>
        <w:rPr>
          <w:rFonts w:ascii="Times New Roman"/>
          <w:b w:val="false"/>
          <w:i w:val="false"/>
          <w:color w:val="000000"/>
          <w:sz w:val="28"/>
        </w:rPr>
        <w:t>
      Вознаграждения за кредиты, полученные в иностранной валюте, включаются в предельный уровень тарифов (цен, ставок сборов)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1 графа – указывается наименование показателей на выплату вознаграждений за кредиты для реализации инвестиционной программы (проекта), по форме, утвержденной ведомством уполномоченного органа.</w:t>
      </w:r>
    </w:p>
    <w:p>
      <w:pPr>
        <w:spacing w:after="0"/>
        <w:ind w:left="0"/>
        <w:jc w:val="both"/>
      </w:pPr>
      <w:r>
        <w:rPr>
          <w:rFonts w:ascii="Times New Roman"/>
          <w:b w:val="false"/>
          <w:i w:val="false"/>
          <w:color w:val="000000"/>
          <w:sz w:val="28"/>
        </w:rPr>
        <w:t>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p>
      <w:pPr>
        <w:spacing w:after="0"/>
        <w:ind w:left="0"/>
        <w:jc w:val="both"/>
      </w:pPr>
      <w:r>
        <w:rPr>
          <w:rFonts w:ascii="Times New Roman"/>
          <w:b w:val="false"/>
          <w:i w:val="false"/>
          <w:color w:val="000000"/>
          <w:sz w:val="28"/>
        </w:rPr>
        <w:t>
      3 графа – указывается информация показателей на выплату вознаграждений за кредиты по кварталам соответствующего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w:t>
            </w:r>
            <w:r>
              <w:br/>
            </w:r>
            <w:r>
              <w:rPr>
                <w:rFonts w:ascii="Times New Roman"/>
                <w:b w:val="false"/>
                <w:i w:val="false"/>
                <w:color w:val="000000"/>
                <w:sz w:val="20"/>
              </w:rPr>
              <w:t>предельного уровня тарифов</w:t>
            </w:r>
            <w:r>
              <w:br/>
            </w:r>
            <w:r>
              <w:rPr>
                <w:rFonts w:ascii="Times New Roman"/>
                <w:b w:val="false"/>
                <w:i w:val="false"/>
                <w:color w:val="000000"/>
                <w:sz w:val="20"/>
              </w:rPr>
              <w:t>(цен, ставок сборов) и тарифных</w:t>
            </w:r>
            <w:r>
              <w:br/>
            </w:r>
            <w:r>
              <w:rPr>
                <w:rFonts w:ascii="Times New Roman"/>
                <w:b w:val="false"/>
                <w:i w:val="false"/>
                <w:color w:val="000000"/>
                <w:sz w:val="20"/>
              </w:rPr>
              <w:t>смет на регулируемые услуги</w:t>
            </w:r>
            <w:r>
              <w:br/>
            </w:r>
            <w:r>
              <w:rPr>
                <w:rFonts w:ascii="Times New Roman"/>
                <w:b w:val="false"/>
                <w:i w:val="false"/>
                <w:color w:val="000000"/>
                <w:sz w:val="20"/>
              </w:rPr>
              <w:t>(товары, работы) субъектов</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000000"/>
          <w:sz w:val="28"/>
        </w:rPr>
        <w:t>
      Тарифная смета ___________________ на</w:t>
      </w:r>
    </w:p>
    <w:p>
      <w:pPr>
        <w:spacing w:after="0"/>
        <w:ind w:left="0"/>
        <w:jc w:val="both"/>
      </w:pPr>
      <w:r>
        <w:rPr>
          <w:rFonts w:ascii="Times New Roman"/>
          <w:b w:val="false"/>
          <w:i w:val="false"/>
          <w:color w:val="000000"/>
          <w:sz w:val="28"/>
        </w:rPr>
        <w:t>
      (наименование СЕМ)</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вида регулируемых услуг (товаров,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2792"/>
        <w:gridCol w:w="2393"/>
        <w:gridCol w:w="285"/>
        <w:gridCol w:w="465"/>
        <w:gridCol w:w="1002"/>
        <w:gridCol w:w="823"/>
        <w:gridCol w:w="882"/>
        <w:gridCol w:w="1061"/>
        <w:gridCol w:w="1083"/>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действую</w:t>
            </w:r>
          </w:p>
          <w:p>
            <w:pPr>
              <w:spacing w:after="20"/>
              <w:ind w:left="20"/>
              <w:jc w:val="both"/>
            </w:pPr>
            <w:r>
              <w:rPr>
                <w:rFonts w:ascii="Times New Roman"/>
                <w:b w:val="false"/>
                <w:i w:val="false"/>
                <w:color w:val="000000"/>
                <w:sz w:val="20"/>
              </w:rPr>
              <w:t>
щей</w:t>
            </w:r>
          </w:p>
          <w:p>
            <w:pPr>
              <w:spacing w:after="20"/>
              <w:ind w:left="20"/>
              <w:jc w:val="both"/>
            </w:pPr>
            <w:r>
              <w:rPr>
                <w:rFonts w:ascii="Times New Roman"/>
                <w:b w:val="false"/>
                <w:i w:val="false"/>
                <w:color w:val="000000"/>
                <w:sz w:val="20"/>
              </w:rPr>
              <w:t>
тарифной</w:t>
            </w:r>
          </w:p>
          <w:p>
            <w:pPr>
              <w:spacing w:after="20"/>
              <w:ind w:left="20"/>
              <w:jc w:val="both"/>
            </w:pPr>
            <w:r>
              <w:rPr>
                <w:rFonts w:ascii="Times New Roman"/>
                <w:b w:val="false"/>
                <w:i w:val="false"/>
                <w:color w:val="000000"/>
                <w:sz w:val="20"/>
              </w:rPr>
              <w:t>
смете</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за предшествующий</w:t>
            </w:r>
          </w:p>
          <w:p>
            <w:pPr>
              <w:spacing w:after="20"/>
              <w:ind w:left="20"/>
              <w:jc w:val="both"/>
            </w:pPr>
            <w:r>
              <w:rPr>
                <w:rFonts w:ascii="Times New Roman"/>
                <w:b w:val="false"/>
                <w:i w:val="false"/>
                <w:color w:val="000000"/>
                <w:sz w:val="20"/>
              </w:rPr>
              <w:t>
законченный</w:t>
            </w:r>
          </w:p>
          <w:p>
            <w:pPr>
              <w:spacing w:after="20"/>
              <w:ind w:left="20"/>
              <w:jc w:val="both"/>
            </w:pPr>
            <w:r>
              <w:rPr>
                <w:rFonts w:ascii="Times New Roman"/>
                <w:b w:val="false"/>
                <w:i w:val="false"/>
                <w:color w:val="000000"/>
                <w:sz w:val="20"/>
              </w:rPr>
              <w:t>
год</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w:t>
            </w:r>
          </w:p>
          <w:p>
            <w:pPr>
              <w:spacing w:after="20"/>
              <w:ind w:left="20"/>
              <w:jc w:val="both"/>
            </w:pPr>
            <w:r>
              <w:rPr>
                <w:rFonts w:ascii="Times New Roman"/>
                <w:b w:val="false"/>
                <w:i w:val="false"/>
                <w:color w:val="000000"/>
                <w:sz w:val="20"/>
              </w:rPr>
              <w:t>
за предшествующие</w:t>
            </w:r>
          </w:p>
          <w:p>
            <w:pPr>
              <w:spacing w:after="20"/>
              <w:ind w:left="20"/>
              <w:jc w:val="both"/>
            </w:pPr>
            <w:r>
              <w:rPr>
                <w:rFonts w:ascii="Times New Roman"/>
                <w:b w:val="false"/>
                <w:i w:val="false"/>
                <w:color w:val="000000"/>
                <w:sz w:val="20"/>
              </w:rPr>
              <w:t>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xml:space="preserve">
реализации </w:t>
            </w:r>
          </w:p>
          <w:p>
            <w:pPr>
              <w:spacing w:after="20"/>
              <w:ind w:left="20"/>
              <w:jc w:val="both"/>
            </w:pPr>
            <w:r>
              <w:rPr>
                <w:rFonts w:ascii="Times New Roman"/>
                <w:b w:val="false"/>
                <w:i w:val="false"/>
                <w:color w:val="000000"/>
                <w:sz w:val="20"/>
              </w:rPr>
              <w:t>
проекта, в том</w:t>
            </w:r>
          </w:p>
          <w:p>
            <w:pPr>
              <w:spacing w:after="20"/>
              <w:ind w:left="20"/>
              <w:jc w:val="both"/>
            </w:pPr>
            <w:r>
              <w:rPr>
                <w:rFonts w:ascii="Times New Roman"/>
                <w:b w:val="false"/>
                <w:i w:val="false"/>
                <w:color w:val="000000"/>
                <w:sz w:val="20"/>
              </w:rPr>
              <w:t>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1-ый </w:t>
            </w:r>
          </w:p>
          <w:p>
            <w:pPr>
              <w:spacing w:after="20"/>
              <w:ind w:left="20"/>
              <w:jc w:val="both"/>
            </w:pPr>
            <w:r>
              <w:rPr>
                <w:rFonts w:ascii="Times New Roman"/>
                <w:b w:val="false"/>
                <w:i w:val="false"/>
                <w:color w:val="000000"/>
                <w:sz w:val="20"/>
              </w:rPr>
              <w:t>
(базовый)</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проекта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проекта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w:t>
            </w:r>
          </w:p>
          <w:p>
            <w:pPr>
              <w:spacing w:after="20"/>
              <w:ind w:left="20"/>
              <w:jc w:val="both"/>
            </w:pPr>
            <w:r>
              <w:rPr>
                <w:rFonts w:ascii="Times New Roman"/>
                <w:b w:val="false"/>
                <w:i w:val="false"/>
                <w:color w:val="000000"/>
                <w:sz w:val="20"/>
              </w:rPr>
              <w:t>
проекта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 всего, в т.ч.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w:t>
            </w:r>
          </w:p>
          <w:p>
            <w:pPr>
              <w:spacing w:after="20"/>
              <w:ind w:left="20"/>
              <w:jc w:val="both"/>
            </w:pPr>
            <w:r>
              <w:rPr>
                <w:rFonts w:ascii="Times New Roman"/>
                <w:b w:val="false"/>
                <w:i w:val="false"/>
                <w:color w:val="000000"/>
                <w:sz w:val="20"/>
              </w:rPr>
              <w:t>
персонала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p>
            <w:pPr>
              <w:spacing w:after="20"/>
              <w:ind w:left="20"/>
              <w:jc w:val="both"/>
            </w:pPr>
            <w:r>
              <w:rPr>
                <w:rFonts w:ascii="Times New Roman"/>
                <w:b w:val="false"/>
                <w:i w:val="false"/>
                <w:color w:val="000000"/>
                <w:sz w:val="20"/>
              </w:rPr>
              <w:t>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p>
            <w:pPr>
              <w:spacing w:after="20"/>
              <w:ind w:left="20"/>
              <w:jc w:val="both"/>
            </w:pPr>
            <w:r>
              <w:rPr>
                <w:rFonts w:ascii="Times New Roman"/>
                <w:b w:val="false"/>
                <w:i w:val="false"/>
                <w:color w:val="000000"/>
                <w:sz w:val="20"/>
              </w:rPr>
              <w:t>
ремонт, не</w:t>
            </w:r>
          </w:p>
          <w:p>
            <w:pPr>
              <w:spacing w:after="20"/>
              <w:ind w:left="20"/>
              <w:jc w:val="both"/>
            </w:pPr>
            <w:r>
              <w:rPr>
                <w:rFonts w:ascii="Times New Roman"/>
                <w:b w:val="false"/>
                <w:i w:val="false"/>
                <w:color w:val="000000"/>
                <w:sz w:val="20"/>
              </w:rPr>
              <w:t>
приводящий</w:t>
            </w:r>
          </w:p>
          <w:p>
            <w:pPr>
              <w:spacing w:after="20"/>
              <w:ind w:left="20"/>
              <w:jc w:val="both"/>
            </w:pPr>
            <w:r>
              <w:rPr>
                <w:rFonts w:ascii="Times New Roman"/>
                <w:b w:val="false"/>
                <w:i w:val="false"/>
                <w:color w:val="000000"/>
                <w:sz w:val="20"/>
              </w:rPr>
              <w:t>
к увеличению</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фондов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w:t>
            </w:r>
          </w:p>
          <w:p>
            <w:pPr>
              <w:spacing w:after="20"/>
              <w:ind w:left="20"/>
              <w:jc w:val="both"/>
            </w:pPr>
            <w:r>
              <w:rPr>
                <w:rFonts w:ascii="Times New Roman"/>
                <w:b w:val="false"/>
                <w:i w:val="false"/>
                <w:color w:val="000000"/>
                <w:sz w:val="20"/>
              </w:rPr>
              <w:t>
всего, в т.ч.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w:t>
            </w:r>
          </w:p>
          <w:p>
            <w:pPr>
              <w:spacing w:after="20"/>
              <w:ind w:left="20"/>
              <w:jc w:val="both"/>
            </w:pPr>
            <w:r>
              <w:rPr>
                <w:rFonts w:ascii="Times New Roman"/>
                <w:b w:val="false"/>
                <w:i w:val="false"/>
                <w:color w:val="000000"/>
                <w:sz w:val="20"/>
              </w:rPr>
              <w:t>
расходы, всего:</w:t>
            </w:r>
          </w:p>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персонала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p>
            <w:pPr>
              <w:spacing w:after="20"/>
              <w:ind w:left="20"/>
              <w:jc w:val="both"/>
            </w:pPr>
            <w:r>
              <w:rPr>
                <w:rFonts w:ascii="Times New Roman"/>
                <w:b w:val="false"/>
                <w:i w:val="false"/>
                <w:color w:val="000000"/>
                <w:sz w:val="20"/>
              </w:rPr>
              <w:t>
(расшифровать)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выплату</w:t>
            </w:r>
          </w:p>
          <w:p>
            <w:pPr>
              <w:spacing w:after="20"/>
              <w:ind w:left="20"/>
              <w:jc w:val="both"/>
            </w:pPr>
            <w:r>
              <w:rPr>
                <w:rFonts w:ascii="Times New Roman"/>
                <w:b w:val="false"/>
                <w:i w:val="false"/>
                <w:color w:val="000000"/>
                <w:sz w:val="20"/>
              </w:rPr>
              <w:t>
вознаграждений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w:t>
            </w:r>
          </w:p>
          <w:p>
            <w:pPr>
              <w:spacing w:after="20"/>
              <w:ind w:left="20"/>
              <w:jc w:val="both"/>
            </w:pPr>
            <w:r>
              <w:rPr>
                <w:rFonts w:ascii="Times New Roman"/>
                <w:b w:val="false"/>
                <w:i w:val="false"/>
                <w:color w:val="000000"/>
                <w:sz w:val="20"/>
              </w:rPr>
              <w:t>
предоставление услуг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w:t>
            </w:r>
          </w:p>
          <w:p>
            <w:pPr>
              <w:spacing w:after="20"/>
              <w:ind w:left="20"/>
              <w:jc w:val="both"/>
            </w:pPr>
            <w:r>
              <w:rPr>
                <w:rFonts w:ascii="Times New Roman"/>
                <w:b w:val="false"/>
                <w:i w:val="false"/>
                <w:color w:val="000000"/>
                <w:sz w:val="20"/>
              </w:rPr>
              <w:t>
задействованных</w:t>
            </w:r>
          </w:p>
          <w:p>
            <w:pPr>
              <w:spacing w:after="20"/>
              <w:ind w:left="20"/>
              <w:jc w:val="both"/>
            </w:pPr>
            <w:r>
              <w:rPr>
                <w:rFonts w:ascii="Times New Roman"/>
                <w:b w:val="false"/>
                <w:i w:val="false"/>
                <w:color w:val="000000"/>
                <w:sz w:val="20"/>
              </w:rPr>
              <w:t>
активов</w:t>
            </w:r>
          </w:p>
          <w:p>
            <w:pPr>
              <w:spacing w:after="20"/>
              <w:ind w:left="20"/>
              <w:jc w:val="both"/>
            </w:pPr>
            <w:r>
              <w:rPr>
                <w:rFonts w:ascii="Times New Roman"/>
                <w:b w:val="false"/>
                <w:i w:val="false"/>
                <w:color w:val="000000"/>
                <w:sz w:val="20"/>
              </w:rPr>
              <w:t>
(РБА).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w:t>
            </w:r>
          </w:p>
          <w:p>
            <w:pPr>
              <w:spacing w:after="20"/>
              <w:ind w:left="20"/>
              <w:jc w:val="both"/>
            </w:pPr>
            <w:r>
              <w:rPr>
                <w:rFonts w:ascii="Times New Roman"/>
                <w:b w:val="false"/>
                <w:i w:val="false"/>
                <w:color w:val="000000"/>
                <w:sz w:val="20"/>
              </w:rPr>
              <w:t>
услуг (товаров,</w:t>
            </w:r>
          </w:p>
          <w:p>
            <w:pPr>
              <w:spacing w:after="20"/>
              <w:ind w:left="20"/>
              <w:jc w:val="both"/>
            </w:pPr>
            <w:r>
              <w:rPr>
                <w:rFonts w:ascii="Times New Roman"/>
                <w:b w:val="false"/>
                <w:i w:val="false"/>
                <w:color w:val="000000"/>
                <w:sz w:val="20"/>
              </w:rPr>
              <w:t>
работ)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 (товаров, работ)</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6682"/>
        <w:gridCol w:w="2690"/>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 ч.</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