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20ee" w14:textId="a952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регулированию естественных монополий от 17 июля 2013 года № 213-ОД "Об утверждении Правил утверждения предельного уровня тарифов (цен, ставок сборов) и тарифных смет на регулируемые услуги (товары, работы)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27 марта 2015 года № 274. Зарегистрирован в Министерстве юстиции Республики Казахстан 29 апреля 2015 года № 10872.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14-1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17 июля 2013 года № 213-ОД "Об утверждении Правил утверждения предельного уровня тарифов (цен, ставок сборов) и тарифных смет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8625, опубликованный в газете "Казахстанская правда" от 20 ноября 2013 года № 319 (27593),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утверждения предельного уровня тарифов (цен, ставок сборов) и тарифных смет на регулируемые услуги (товары, работы) субъектов естественных монополий,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274</w:t>
            </w:r>
            <w:r>
              <w:br/>
            </w: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17 июля 2013 года № 213-ОД</w:t>
            </w:r>
          </w:p>
        </w:tc>
      </w:tr>
    </w:tbl>
    <w:p>
      <w:pPr>
        <w:spacing w:after="0"/>
        <w:ind w:left="0"/>
        <w:jc w:val="left"/>
      </w:pPr>
      <w:r>
        <w:rPr>
          <w:rFonts w:ascii="Times New Roman"/>
          <w:b/>
          <w:i w:val="false"/>
          <w:color w:val="000000"/>
        </w:rPr>
        <w:t xml:space="preserve"> Правила утверждения предельного уровня тарифов (цен, ставок</w:t>
      </w:r>
      <w:r>
        <w:br/>
      </w:r>
      <w:r>
        <w:rPr>
          <w:rFonts w:ascii="Times New Roman"/>
          <w:b/>
          <w:i w:val="false"/>
          <w:color w:val="000000"/>
        </w:rPr>
        <w:t>сборов) и тарифных смет на регулируемые услуги (товары, работы)</w:t>
      </w:r>
      <w:r>
        <w:br/>
      </w:r>
      <w:r>
        <w:rPr>
          <w:rFonts w:ascii="Times New Roman"/>
          <w:b/>
          <w:i w:val="false"/>
          <w:color w:val="000000"/>
        </w:rPr>
        <w:t>субъектов естественных монополий</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Правила утверждения предельного уровня тарифов (цен, ставок сборов) и тарифных смет на регулируемые услуги (товары, работы) субъектов естественных монополий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(далее – Закон) и иными нормативными правовыми актами в сфере естественных монополий и регулируемых рынках.</w:t>
      </w:r>
    </w:p>
    <w:p>
      <w:pPr>
        <w:spacing w:after="0"/>
        <w:ind w:left="0"/>
        <w:jc w:val="both"/>
      </w:pPr>
      <w:r>
        <w:rPr>
          <w:rFonts w:ascii="Times New Roman"/>
          <w:b w:val="false"/>
          <w:i w:val="false"/>
          <w:color w:val="000000"/>
          <w:sz w:val="28"/>
        </w:rPr>
        <w:t>
      2. Настоящие Правила определяют порядок утверждения предельного уровня тарифов (цен, ставок сборов) и тарифных смет на регулируемые услуги (товары, работы) субъектов естественных монополий (далее - Субъект).</w:t>
      </w:r>
    </w:p>
    <w:p>
      <w:pPr>
        <w:spacing w:after="0"/>
        <w:ind w:left="0"/>
        <w:jc w:val="both"/>
      </w:pPr>
      <w:r>
        <w:rPr>
          <w:rFonts w:ascii="Times New Roman"/>
          <w:b w:val="false"/>
          <w:i w:val="false"/>
          <w:color w:val="000000"/>
          <w:sz w:val="28"/>
        </w:rPr>
        <w:t>
      3. Проект предельного уровня тарифа (цен, ставок сборов) и тарифных смет на регулируемые услуги (товары, работы) формируется Субъектами с учетом параметров (показателей), предусматриваемых в проекте инвестиционных программ (проектов) субъектов естественных монополий.</w:t>
      </w:r>
    </w:p>
    <w:p>
      <w:pPr>
        <w:spacing w:after="0"/>
        <w:ind w:left="0"/>
        <w:jc w:val="both"/>
      </w:pPr>
      <w:r>
        <w:rPr>
          <w:rFonts w:ascii="Times New Roman"/>
          <w:b w:val="false"/>
          <w:i w:val="false"/>
          <w:color w:val="000000"/>
          <w:sz w:val="28"/>
        </w:rPr>
        <w:t>
      4. В настоящих Правилах используются следующие понятия:</w:t>
      </w:r>
    </w:p>
    <w:p>
      <w:pPr>
        <w:spacing w:after="0"/>
        <w:ind w:left="0"/>
        <w:jc w:val="both"/>
      </w:pPr>
      <w:r>
        <w:rPr>
          <w:rFonts w:ascii="Times New Roman"/>
          <w:b w:val="false"/>
          <w:i w:val="false"/>
          <w:color w:val="000000"/>
          <w:sz w:val="28"/>
        </w:rPr>
        <w:t xml:space="preserve">
      1) базовая тарифная смета – тарифная смета на первый год введения предельного уровня тарифов (цен, ставок сборов) Субъекта, сформированная в соответствии с требованиями </w:t>
      </w:r>
      <w:r>
        <w:rPr>
          <w:rFonts w:ascii="Times New Roman"/>
          <w:b w:val="false"/>
          <w:i w:val="false"/>
          <w:color w:val="000000"/>
          <w:sz w:val="28"/>
        </w:rPr>
        <w:t>Особого порядка</w:t>
      </w:r>
      <w:r>
        <w:rPr>
          <w:rFonts w:ascii="Times New Roman"/>
          <w:b w:val="false"/>
          <w:i w:val="false"/>
          <w:color w:val="000000"/>
          <w:sz w:val="28"/>
        </w:rPr>
        <w:t xml:space="preserve"> формирования затрат, применяемым при утверждении тарифов (цен, ставок сборов) на регулируемые услуги (товары, работы) субъектов естественных монополий (далее – Особый порядок), утвержденного приказом Председателя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w:t>
      </w:r>
    </w:p>
    <w:p>
      <w:pPr>
        <w:spacing w:after="0"/>
        <w:ind w:left="0"/>
        <w:jc w:val="both"/>
      </w:pPr>
      <w:r>
        <w:rPr>
          <w:rFonts w:ascii="Times New Roman"/>
          <w:b w:val="false"/>
          <w:i w:val="false"/>
          <w:color w:val="000000"/>
          <w:sz w:val="28"/>
        </w:rPr>
        <w:t>
      2) прогнозируемая тарифная смета – тарифная смета на последующие годы среднесрочного или долгосрочного периода, сформированная с учетом показателей социально-экономического развития Республики Казахстан (инфляция);</w:t>
      </w:r>
    </w:p>
    <w:p>
      <w:pPr>
        <w:spacing w:after="0"/>
        <w:ind w:left="0"/>
        <w:jc w:val="both"/>
      </w:pPr>
      <w:r>
        <w:rPr>
          <w:rFonts w:ascii="Times New Roman"/>
          <w:b w:val="false"/>
          <w:i w:val="false"/>
          <w:color w:val="000000"/>
          <w:sz w:val="28"/>
        </w:rPr>
        <w:t>
      3) компетентный орган – государственный орган, осуществляющий руководство соответствующей отраслью (сферой) государственного управления;</w:t>
      </w:r>
    </w:p>
    <w:p>
      <w:pPr>
        <w:spacing w:after="0"/>
        <w:ind w:left="0"/>
        <w:jc w:val="both"/>
      </w:pPr>
      <w:r>
        <w:rPr>
          <w:rFonts w:ascii="Times New Roman"/>
          <w:b w:val="false"/>
          <w:i w:val="false"/>
          <w:color w:val="000000"/>
          <w:sz w:val="28"/>
        </w:rPr>
        <w:t>
      4) тарифный доход – доход Субъекта от оказания регулируемых услуг (товаров, работ) по утвержденному ведомством уполномоченного органа предельному уровню тарифов (цен, ставок сборов);</w:t>
      </w:r>
    </w:p>
    <w:p>
      <w:pPr>
        <w:spacing w:after="0"/>
        <w:ind w:left="0"/>
        <w:jc w:val="both"/>
      </w:pPr>
      <w:r>
        <w:rPr>
          <w:rFonts w:ascii="Times New Roman"/>
          <w:b w:val="false"/>
          <w:i w:val="false"/>
          <w:color w:val="000000"/>
          <w:sz w:val="28"/>
        </w:rPr>
        <w:t>
      5) уполномоченный орган – государственный орган, осуществляющий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6) ведомство уполномоченного органа – Комитет по регулированию естественных монополий и защите конкуренции Министерства национальной экономики Республики Казахстан;</w:t>
      </w:r>
    </w:p>
    <w:p>
      <w:pPr>
        <w:spacing w:after="0"/>
        <w:ind w:left="0"/>
        <w:jc w:val="both"/>
      </w:pPr>
      <w:r>
        <w:rPr>
          <w:rFonts w:ascii="Times New Roman"/>
          <w:b w:val="false"/>
          <w:i w:val="false"/>
          <w:color w:val="000000"/>
          <w:sz w:val="28"/>
        </w:rPr>
        <w:t>
      7) корректировка тарифной сметы и (или) предельного уровня тарифа – корректировка показателей тарифной сметы и (или) предельного уровня тарифа без увеличения утвержденного предельного уровня тарифа.</w:t>
      </w:r>
    </w:p>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5. Формирование предельного уровня тарифов (цен, ставок сборов) осуществляется на основании раздельного учета доходов, затрат и задействованных активов по каждому виду регулируемых услуг (товаров, работ) и в целом по иной деятельности Субъекта.</w:t>
      </w:r>
    </w:p>
    <w:p>
      <w:pPr>
        <w:spacing w:after="0"/>
        <w:ind w:left="0"/>
        <w:jc w:val="both"/>
      </w:pPr>
      <w:r>
        <w:rPr>
          <w:rFonts w:ascii="Times New Roman"/>
          <w:b w:val="false"/>
          <w:i w:val="false"/>
          <w:color w:val="000000"/>
          <w:sz w:val="28"/>
        </w:rPr>
        <w:t>
      6. Затраты, учитываемые при формировании прогнозируемой тарифной сметы на регулируемые услуги (товары, работы) должны соответствовать законодательству Республики Казахстан о бухгалтерском учете, налоговому и иному законодательству Республики Казахстан с учетом показателей прогноза социально-экономического развития Республики Казахстан (инфляция).</w:t>
      </w:r>
    </w:p>
    <w:p>
      <w:pPr>
        <w:spacing w:after="0"/>
        <w:ind w:left="0"/>
        <w:jc w:val="both"/>
      </w:pPr>
      <w:r>
        <w:rPr>
          <w:rFonts w:ascii="Times New Roman"/>
          <w:b w:val="false"/>
          <w:i w:val="false"/>
          <w:color w:val="000000"/>
          <w:sz w:val="28"/>
        </w:rPr>
        <w:t>
      7. Прогнозируемые показатели тарифной сметы основываются на определении тарифного дохода Субъекта на среднесрочный или долгосрочный период.</w:t>
      </w:r>
    </w:p>
    <w:p>
      <w:pPr>
        <w:spacing w:after="0"/>
        <w:ind w:left="0"/>
        <w:jc w:val="both"/>
      </w:pPr>
      <w:r>
        <w:rPr>
          <w:rFonts w:ascii="Times New Roman"/>
          <w:b w:val="false"/>
          <w:i w:val="false"/>
          <w:color w:val="000000"/>
          <w:sz w:val="28"/>
        </w:rPr>
        <w:t>
      Тарифный доход исчисляется отдельно на каждый год, входящий в среднесрочный или долгосрочный период. На основе тарифных доходов за весь период рассчитывается средневзвешенный тариф (цена, ставка сбора).</w:t>
      </w:r>
    </w:p>
    <w:p>
      <w:pPr>
        <w:spacing w:after="0"/>
        <w:ind w:left="0"/>
        <w:jc w:val="both"/>
      </w:pPr>
      <w:r>
        <w:rPr>
          <w:rFonts w:ascii="Times New Roman"/>
          <w:b w:val="false"/>
          <w:i w:val="false"/>
          <w:color w:val="000000"/>
          <w:sz w:val="28"/>
        </w:rPr>
        <w:t>
      Тарифный доход определяется исходя из прогнозируемых объемов затрат на оказание регулируемых услуг (товаров, работ), расходов периода, а также допустимого уровня прибыли.</w:t>
      </w:r>
    </w:p>
    <w:p>
      <w:pPr>
        <w:spacing w:after="0"/>
        <w:ind w:left="0"/>
        <w:jc w:val="both"/>
      </w:pPr>
      <w:r>
        <w:rPr>
          <w:rFonts w:ascii="Times New Roman"/>
          <w:b w:val="false"/>
          <w:i w:val="false"/>
          <w:color w:val="000000"/>
          <w:sz w:val="28"/>
        </w:rPr>
        <w:t>
      8. При принятии решения ведомством уполномоченного органа об утверждении предельных уровней тарифов (цен, ставок сборов) в виде чрезвычайных регулирующих мер требования пунктов 22, 23, 26, 29 настоящих Правил не распространяются.</w:t>
      </w:r>
    </w:p>
    <w:p>
      <w:pPr>
        <w:spacing w:after="0"/>
        <w:ind w:left="0"/>
        <w:jc w:val="both"/>
      </w:pPr>
      <w:r>
        <w:rPr>
          <w:rFonts w:ascii="Times New Roman"/>
          <w:b w:val="false"/>
          <w:i w:val="false"/>
          <w:color w:val="000000"/>
          <w:sz w:val="28"/>
        </w:rPr>
        <w:t xml:space="preserve">
      9. В период действия предельного уровня тарифов (цен, ставок сборов) Субъекты предоставляют информацию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7 Закона Республики Казахстан от 9 июля 1998 года "О естественных монополиях и регулируемых рынках" по формам, согласно приложениям 1, 2 к настоящим Правилам.</w:t>
      </w:r>
    </w:p>
    <w:p>
      <w:pPr>
        <w:spacing w:after="0"/>
        <w:ind w:left="0"/>
        <w:jc w:val="both"/>
      </w:pPr>
      <w:r>
        <w:rPr>
          <w:rFonts w:ascii="Times New Roman"/>
          <w:b w:val="false"/>
          <w:i w:val="false"/>
          <w:color w:val="000000"/>
          <w:sz w:val="28"/>
        </w:rPr>
        <w:t>
      10. В период действия предельного уровня тарифов ведомство уполномоченного органа не снижает предельный уровень тарифов (цен, ставок сборов), если Субъект снизил затратную часть предельного уровня тарифов (цен, ставок сборов). Средства, полученные от сокращения затрат (возникшие в результате оптимизации затрат или применения более эффективных методов и технологий предоставления регулируемых услуг), Субъект направляет на создание новых, расширение, восстановление, обновление, поддержку, реконструкцию и техническое перевооружение производственных активов.</w:t>
      </w:r>
    </w:p>
    <w:p>
      <w:pPr>
        <w:spacing w:after="0"/>
        <w:ind w:left="0"/>
        <w:jc w:val="both"/>
      </w:pPr>
      <w:r>
        <w:rPr>
          <w:rFonts w:ascii="Times New Roman"/>
          <w:b w:val="false"/>
          <w:i w:val="false"/>
          <w:color w:val="000000"/>
          <w:sz w:val="28"/>
        </w:rPr>
        <w:t>
      11. Расходы на оплату труда включаемые в предельный уровень тарифов (цен, ставок сборов) определяются исходя из утвержденной нормативной численности персонала Субъекта.</w:t>
      </w:r>
    </w:p>
    <w:p>
      <w:pPr>
        <w:spacing w:after="0"/>
        <w:ind w:left="0"/>
        <w:jc w:val="both"/>
      </w:pPr>
      <w:r>
        <w:rPr>
          <w:rFonts w:ascii="Times New Roman"/>
          <w:b w:val="false"/>
          <w:i w:val="false"/>
          <w:color w:val="000000"/>
          <w:sz w:val="28"/>
        </w:rPr>
        <w:t>
      Расходы на оплату труда, включаемые в предельный уровень тарифов (цен, ставок сборов) Субъектов в сфере водоснабжения и (или) водоотведения, производства, передачи тепловой энергии, а также на энергопроизводящие организации с комбинированным производством электрической и тепловой энергии определяются исходя из фактической численности, но не превышающей нормативной численности персонала Субъекта.</w:t>
      </w:r>
    </w:p>
    <w:p>
      <w:pPr>
        <w:spacing w:after="0"/>
        <w:ind w:left="0"/>
        <w:jc w:val="both"/>
      </w:pPr>
      <w:r>
        <w:rPr>
          <w:rFonts w:ascii="Times New Roman"/>
          <w:b w:val="false"/>
          <w:i w:val="false"/>
          <w:color w:val="000000"/>
          <w:sz w:val="28"/>
        </w:rPr>
        <w:t>
      12. В среднесрочный (долгосрочный) период допускается утверждение предельных уровней тарифов на каждый год.</w:t>
      </w:r>
    </w:p>
    <w:p>
      <w:pPr>
        <w:spacing w:after="0"/>
        <w:ind w:left="0"/>
        <w:jc w:val="left"/>
      </w:pPr>
      <w:r>
        <w:rPr>
          <w:rFonts w:ascii="Times New Roman"/>
          <w:b/>
          <w:i w:val="false"/>
          <w:color w:val="000000"/>
        </w:rPr>
        <w:t xml:space="preserve"> 2. Порядок представления и принятия заявки на утверждение</w:t>
      </w:r>
      <w:r>
        <w:br/>
      </w:r>
      <w:r>
        <w:rPr>
          <w:rFonts w:ascii="Times New Roman"/>
          <w:b/>
          <w:i w:val="false"/>
          <w:color w:val="000000"/>
        </w:rPr>
        <w:t>предельного уровня тарифов (цен, ставок сборов)</w:t>
      </w:r>
      <w:r>
        <w:br/>
      </w:r>
      <w:r>
        <w:rPr>
          <w:rFonts w:ascii="Times New Roman"/>
          <w:b/>
          <w:i w:val="false"/>
          <w:color w:val="000000"/>
        </w:rPr>
        <w:t>на регулируемые услуги (товары, работы) Субъектов</w:t>
      </w:r>
    </w:p>
    <w:p>
      <w:pPr>
        <w:spacing w:after="0"/>
        <w:ind w:left="0"/>
        <w:jc w:val="both"/>
      </w:pPr>
      <w:r>
        <w:rPr>
          <w:rFonts w:ascii="Times New Roman"/>
          <w:b w:val="false"/>
          <w:i w:val="false"/>
          <w:color w:val="000000"/>
          <w:sz w:val="28"/>
        </w:rPr>
        <w:t>
      13. Субъект представляет в ведомство уполномоченного органа заявку в произвольной форме на утверждение предельного уровня тарифов (цен, ставок сборов) за сто восемьдесят календарных дней до введения его в действие.</w:t>
      </w:r>
    </w:p>
    <w:p>
      <w:pPr>
        <w:spacing w:after="0"/>
        <w:ind w:left="0"/>
        <w:jc w:val="both"/>
      </w:pPr>
      <w:r>
        <w:rPr>
          <w:rFonts w:ascii="Times New Roman"/>
          <w:b w:val="false"/>
          <w:i w:val="false"/>
          <w:color w:val="000000"/>
          <w:sz w:val="28"/>
        </w:rPr>
        <w:t>
      В случае пересмотра предельного уровня тарифов (цен, ставок сборов) в качестве чрезвычайной регулирующей меры, в том числе при увеличении стоимости стратегических товаров, субъект естественной монополии вместе с заявкой предоставляет тарифную смету и проекты предельных уровней тарифов (цен, ставок сборов) на оказываемые им регулируемые услуги (товары, работы), при этом требование части первой настоящего пункта в данном случае не распространяется.</w:t>
      </w:r>
    </w:p>
    <w:p>
      <w:pPr>
        <w:spacing w:after="0"/>
        <w:ind w:left="0"/>
        <w:jc w:val="both"/>
      </w:pPr>
      <w:r>
        <w:rPr>
          <w:rFonts w:ascii="Times New Roman"/>
          <w:b w:val="false"/>
          <w:i w:val="false"/>
          <w:color w:val="000000"/>
          <w:sz w:val="28"/>
        </w:rPr>
        <w:t>
      14. К заявке на утверждение предельного уровня тарифов (цен, ставок сборов) прилагаются:</w:t>
      </w:r>
    </w:p>
    <w:p>
      <w:pPr>
        <w:spacing w:after="0"/>
        <w:ind w:left="0"/>
        <w:jc w:val="both"/>
      </w:pPr>
      <w:r>
        <w:rPr>
          <w:rFonts w:ascii="Times New Roman"/>
          <w:b w:val="false"/>
          <w:i w:val="false"/>
          <w:color w:val="000000"/>
          <w:sz w:val="28"/>
        </w:rPr>
        <w:t>
      1) пояснительная записка о необходимости утверждения предельного уровня тарифов (цен, ставок сборов);</w:t>
      </w:r>
    </w:p>
    <w:p>
      <w:pPr>
        <w:spacing w:after="0"/>
        <w:ind w:left="0"/>
        <w:jc w:val="both"/>
      </w:pPr>
      <w:r>
        <w:rPr>
          <w:rFonts w:ascii="Times New Roman"/>
          <w:b w:val="false"/>
          <w:i w:val="false"/>
          <w:color w:val="000000"/>
          <w:sz w:val="28"/>
        </w:rPr>
        <w:t>
      2) проект инвестиционной программы (проекта) на пятилетний срок и более);</w:t>
      </w:r>
    </w:p>
    <w:p>
      <w:pPr>
        <w:spacing w:after="0"/>
        <w:ind w:left="0"/>
        <w:jc w:val="both"/>
      </w:pPr>
      <w:r>
        <w:rPr>
          <w:rFonts w:ascii="Times New Roman"/>
          <w:b w:val="false"/>
          <w:i w:val="false"/>
          <w:color w:val="000000"/>
          <w:sz w:val="28"/>
        </w:rPr>
        <w:t>
      3) проект предельного уровня тарифов (цен, ставок сборов) с прейскурантом с учетом отраслевых особенностей;</w:t>
      </w:r>
    </w:p>
    <w:p>
      <w:pPr>
        <w:spacing w:after="0"/>
        <w:ind w:left="0"/>
        <w:jc w:val="both"/>
      </w:pPr>
      <w:r>
        <w:rPr>
          <w:rFonts w:ascii="Times New Roman"/>
          <w:b w:val="false"/>
          <w:i w:val="false"/>
          <w:color w:val="000000"/>
          <w:sz w:val="28"/>
        </w:rPr>
        <w:t xml:space="preserve">
      4) бухгалтерский баланс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p>
    <w:p>
      <w:pPr>
        <w:spacing w:after="0"/>
        <w:ind w:left="0"/>
        <w:jc w:val="both"/>
      </w:pPr>
      <w:r>
        <w:rPr>
          <w:rFonts w:ascii="Times New Roman"/>
          <w:b w:val="false"/>
          <w:i w:val="false"/>
          <w:color w:val="000000"/>
          <w:sz w:val="28"/>
        </w:rPr>
        <w:t xml:space="preserve">
      5) отчет о прибылях и убытках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p>
    <w:p>
      <w:pPr>
        <w:spacing w:after="0"/>
        <w:ind w:left="0"/>
        <w:jc w:val="both"/>
      </w:pPr>
      <w:r>
        <w:rPr>
          <w:rFonts w:ascii="Times New Roman"/>
          <w:b w:val="false"/>
          <w:i w:val="false"/>
          <w:color w:val="000000"/>
          <w:sz w:val="28"/>
        </w:rPr>
        <w:t xml:space="preserve">
      6) отчет о движении денежных средств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p>
    <w:p>
      <w:pPr>
        <w:spacing w:after="0"/>
        <w:ind w:left="0"/>
        <w:jc w:val="both"/>
      </w:pPr>
      <w:r>
        <w:rPr>
          <w:rFonts w:ascii="Times New Roman"/>
          <w:b w:val="false"/>
          <w:i w:val="false"/>
          <w:color w:val="000000"/>
          <w:sz w:val="28"/>
        </w:rPr>
        <w:t xml:space="preserve">
      7) отчет об инвестиционной деятельности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28 октября 2014 года № 27 (зарегистрированный в Реестре государственной регистрации нормативных правовых актов за № 9910);</w:t>
      </w:r>
    </w:p>
    <w:p>
      <w:pPr>
        <w:spacing w:after="0"/>
        <w:ind w:left="0"/>
        <w:jc w:val="both"/>
      </w:pPr>
      <w:r>
        <w:rPr>
          <w:rFonts w:ascii="Times New Roman"/>
          <w:b w:val="false"/>
          <w:i w:val="false"/>
          <w:color w:val="000000"/>
          <w:sz w:val="28"/>
        </w:rPr>
        <w:t xml:space="preserve">
      8) отчет по труду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декабря 2014 года № 71 (зарегистрированный в Реестре государственной регистрации нормативных правовых актов за № 10125);</w:t>
      </w:r>
    </w:p>
    <w:p>
      <w:pPr>
        <w:spacing w:after="0"/>
        <w:ind w:left="0"/>
        <w:jc w:val="both"/>
      </w:pPr>
      <w:r>
        <w:rPr>
          <w:rFonts w:ascii="Times New Roman"/>
          <w:b w:val="false"/>
          <w:i w:val="false"/>
          <w:color w:val="000000"/>
          <w:sz w:val="28"/>
        </w:rPr>
        <w:t xml:space="preserve">
      9) отчет о размерах заработной платы работников по отдельным должностям и профессиям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декабря 2014 года № 71 (зарегистрированный в Реестре государственной регистрации нормативных правовых актов за № 10125);</w:t>
      </w:r>
    </w:p>
    <w:p>
      <w:pPr>
        <w:spacing w:after="0"/>
        <w:ind w:left="0"/>
        <w:jc w:val="both"/>
      </w:pPr>
      <w:r>
        <w:rPr>
          <w:rFonts w:ascii="Times New Roman"/>
          <w:b w:val="false"/>
          <w:i w:val="false"/>
          <w:color w:val="000000"/>
          <w:sz w:val="28"/>
        </w:rPr>
        <w:t xml:space="preserve">
      10) отчет о финансово-хозяйственной деятельности предприятия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14 ноября 2014 года № 50 (зарегистрированный в Реестре государственной регистрации нормативных правовых актов за № 10074);</w:t>
      </w:r>
    </w:p>
    <w:p>
      <w:pPr>
        <w:spacing w:after="0"/>
        <w:ind w:left="0"/>
        <w:jc w:val="both"/>
      </w:pPr>
      <w:r>
        <w:rPr>
          <w:rFonts w:ascii="Times New Roman"/>
          <w:b w:val="false"/>
          <w:i w:val="false"/>
          <w:color w:val="000000"/>
          <w:sz w:val="28"/>
        </w:rPr>
        <w:t xml:space="preserve">
      11) отчет о состоянии основных фондов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14 ноября 2014 года № 50 (зарегистрированный в Реестре государственной регистрации нормативных правовых актов за № 10074);</w:t>
      </w:r>
    </w:p>
    <w:p>
      <w:pPr>
        <w:spacing w:after="0"/>
        <w:ind w:left="0"/>
        <w:jc w:val="both"/>
      </w:pPr>
      <w:r>
        <w:rPr>
          <w:rFonts w:ascii="Times New Roman"/>
          <w:b w:val="false"/>
          <w:i w:val="false"/>
          <w:color w:val="000000"/>
          <w:sz w:val="28"/>
        </w:rPr>
        <w:t>
      12) проект тарифной сметы регулируемых услуг (товаров, работ), в соответствии с приложением 3 к настоящим Правилам;</w:t>
      </w:r>
    </w:p>
    <w:p>
      <w:pPr>
        <w:spacing w:after="0"/>
        <w:ind w:left="0"/>
        <w:jc w:val="both"/>
      </w:pPr>
      <w:r>
        <w:rPr>
          <w:rFonts w:ascii="Times New Roman"/>
          <w:b w:val="false"/>
          <w:i w:val="false"/>
          <w:color w:val="000000"/>
          <w:sz w:val="28"/>
        </w:rPr>
        <w:t>
      13) расшифровка дебиторской и кредиторской задолженности за два предшествующих календарных года;</w:t>
      </w:r>
    </w:p>
    <w:p>
      <w:pPr>
        <w:spacing w:after="0"/>
        <w:ind w:left="0"/>
        <w:jc w:val="both"/>
      </w:pPr>
      <w:r>
        <w:rPr>
          <w:rFonts w:ascii="Times New Roman"/>
          <w:b w:val="false"/>
          <w:i w:val="false"/>
          <w:color w:val="000000"/>
          <w:sz w:val="28"/>
        </w:rPr>
        <w:t>
      14) расшифровка прочих и других расходов за два предшествующих календарных года;</w:t>
      </w:r>
    </w:p>
    <w:p>
      <w:pPr>
        <w:spacing w:after="0"/>
        <w:ind w:left="0"/>
        <w:jc w:val="both"/>
      </w:pPr>
      <w:r>
        <w:rPr>
          <w:rFonts w:ascii="Times New Roman"/>
          <w:b w:val="false"/>
          <w:i w:val="false"/>
          <w:color w:val="000000"/>
          <w:sz w:val="28"/>
        </w:rPr>
        <w:t>
      15) проект на утверждение на пятилетний срок и более:</w:t>
      </w:r>
    </w:p>
    <w:p>
      <w:pPr>
        <w:spacing w:after="0"/>
        <w:ind w:left="0"/>
        <w:jc w:val="both"/>
      </w:pPr>
      <w:r>
        <w:rPr>
          <w:rFonts w:ascii="Times New Roman"/>
          <w:b w:val="false"/>
          <w:i w:val="false"/>
          <w:color w:val="000000"/>
          <w:sz w:val="28"/>
        </w:rPr>
        <w:t xml:space="preserve">
      нормативной численности персонала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и регулируемых рынках";</w:t>
      </w:r>
    </w:p>
    <w:p>
      <w:pPr>
        <w:spacing w:after="0"/>
        <w:ind w:left="0"/>
        <w:jc w:val="both"/>
      </w:pPr>
      <w:r>
        <w:rPr>
          <w:rFonts w:ascii="Times New Roman"/>
          <w:b w:val="false"/>
          <w:i w:val="false"/>
          <w:color w:val="000000"/>
          <w:sz w:val="28"/>
        </w:rPr>
        <w:t xml:space="preserve">
      технических и технологических норм расхода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и регулируемых рынках";</w:t>
      </w:r>
    </w:p>
    <w:p>
      <w:pPr>
        <w:spacing w:after="0"/>
        <w:ind w:left="0"/>
        <w:jc w:val="both"/>
      </w:pPr>
      <w:r>
        <w:rPr>
          <w:rFonts w:ascii="Times New Roman"/>
          <w:b w:val="false"/>
          <w:i w:val="false"/>
          <w:color w:val="000000"/>
          <w:sz w:val="28"/>
        </w:rPr>
        <w:t xml:space="preserve">
      нормативных технических потерь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и регулируемых рынках";</w:t>
      </w:r>
    </w:p>
    <w:p>
      <w:pPr>
        <w:spacing w:after="0"/>
        <w:ind w:left="0"/>
        <w:jc w:val="both"/>
      </w:pPr>
      <w:r>
        <w:rPr>
          <w:rFonts w:ascii="Times New Roman"/>
          <w:b w:val="false"/>
          <w:i w:val="false"/>
          <w:color w:val="000000"/>
          <w:sz w:val="28"/>
        </w:rPr>
        <w:t>
      16) утвержденная Субъектом и согласованная ведомством уполномоченного органа на пятилетний срок и более смета затрат, направляемая Субъектом на текущий и капитальный ремонты и другие ремонтно-восстановительные работы, не приводящие к росту стоимости основных средств;</w:t>
      </w:r>
    </w:p>
    <w:p>
      <w:pPr>
        <w:spacing w:after="0"/>
        <w:ind w:left="0"/>
        <w:jc w:val="both"/>
      </w:pPr>
      <w:r>
        <w:rPr>
          <w:rFonts w:ascii="Times New Roman"/>
          <w:b w:val="false"/>
          <w:i w:val="false"/>
          <w:color w:val="000000"/>
          <w:sz w:val="28"/>
        </w:rPr>
        <w:t>
      17) решения конкурсных (тендерных) комиссий по закупке материальных, финансовых ресурсов, оборудования и услуг за предшествующий календарный год;</w:t>
      </w:r>
    </w:p>
    <w:p>
      <w:pPr>
        <w:spacing w:after="0"/>
        <w:ind w:left="0"/>
        <w:jc w:val="both"/>
      </w:pPr>
      <w:r>
        <w:rPr>
          <w:rFonts w:ascii="Times New Roman"/>
          <w:b w:val="false"/>
          <w:i w:val="false"/>
          <w:color w:val="000000"/>
          <w:sz w:val="28"/>
        </w:rPr>
        <w:t>
      18) расчет ставки прибыли на регулируемую базу задействованных активов;</w:t>
      </w:r>
    </w:p>
    <w:p>
      <w:pPr>
        <w:spacing w:after="0"/>
        <w:ind w:left="0"/>
        <w:jc w:val="both"/>
      </w:pPr>
      <w:r>
        <w:rPr>
          <w:rFonts w:ascii="Times New Roman"/>
          <w:b w:val="false"/>
          <w:i w:val="false"/>
          <w:color w:val="000000"/>
          <w:sz w:val="28"/>
        </w:rPr>
        <w:t>
      19) информация о начислении амортизационных отчислений на основные средства, используемые до реализации инвестиционной программы (проекта), и вводимые в эксплуатацию при реализации инвестиционной программы (проекта) в среднесрочный или долгосрочный период с разбивкой по годам;</w:t>
      </w:r>
    </w:p>
    <w:p>
      <w:pPr>
        <w:spacing w:after="0"/>
        <w:ind w:left="0"/>
        <w:jc w:val="both"/>
      </w:pPr>
      <w:r>
        <w:rPr>
          <w:rFonts w:ascii="Times New Roman"/>
          <w:b w:val="false"/>
          <w:i w:val="false"/>
          <w:color w:val="000000"/>
          <w:sz w:val="28"/>
        </w:rPr>
        <w:t>
      20) условия финансирования и возмещения заемных ресурсов (проценты за кредиты, период финансирования, комиссионные выплаты, сроки погашения и другие);</w:t>
      </w:r>
    </w:p>
    <w:p>
      <w:pPr>
        <w:spacing w:after="0"/>
        <w:ind w:left="0"/>
        <w:jc w:val="both"/>
      </w:pPr>
      <w:r>
        <w:rPr>
          <w:rFonts w:ascii="Times New Roman"/>
          <w:b w:val="false"/>
          <w:i w:val="false"/>
          <w:color w:val="000000"/>
          <w:sz w:val="28"/>
        </w:rPr>
        <w:t>
      21) решение органа по управлению государственным имуществом или государственным предприятием об установлении фонда оплаты труда и должностных окладов руководителей, их заместителей, главных (старших) бухгалтеров, а также системы их премирования и иного вознаграждения (для государственных предприятий либо предприятий с преобладающей долей участия государства).</w:t>
      </w:r>
    </w:p>
    <w:p>
      <w:pPr>
        <w:spacing w:after="0"/>
        <w:ind w:left="0"/>
        <w:jc w:val="both"/>
      </w:pPr>
      <w:r>
        <w:rPr>
          <w:rFonts w:ascii="Times New Roman"/>
          <w:b w:val="false"/>
          <w:i w:val="false"/>
          <w:color w:val="000000"/>
          <w:sz w:val="28"/>
        </w:rPr>
        <w:t>
      Вместе с заявкой на утверждение предельного уровня тарифа (цены, ставки сбора) субъектом одновременно представляется на утверждение инвестиционная программа (проект).</w:t>
      </w:r>
    </w:p>
    <w:p>
      <w:pPr>
        <w:spacing w:after="0"/>
        <w:ind w:left="0"/>
        <w:jc w:val="both"/>
      </w:pPr>
      <w:r>
        <w:rPr>
          <w:rFonts w:ascii="Times New Roman"/>
          <w:b w:val="false"/>
          <w:i w:val="false"/>
          <w:color w:val="000000"/>
          <w:sz w:val="28"/>
        </w:rPr>
        <w:t>
      15. При изменении объемов оказанных услуг в связи с уменьшением количества потребителей без приборов учета субъект естественной монополии представляет заявку на утверждение дифференцированных тарифов в зависимости от наличия или отсутствия приборов учета на регулируемые услуги по снабжению тепловой энергией, в том числе без изменения предельного уровня тарифа, утвержденного в соответствии с пунктом 14 настоящих Правил, с приложением обосновывающих материалов:</w:t>
      </w:r>
    </w:p>
    <w:p>
      <w:pPr>
        <w:spacing w:after="0"/>
        <w:ind w:left="0"/>
        <w:jc w:val="both"/>
      </w:pPr>
      <w:r>
        <w:rPr>
          <w:rFonts w:ascii="Times New Roman"/>
          <w:b w:val="false"/>
          <w:i w:val="false"/>
          <w:color w:val="000000"/>
          <w:sz w:val="28"/>
        </w:rPr>
        <w:t>
      1) пояснительная записка о необходимости утверждения дифференцированных тарифов в зависимости от наличия или отсутствия приборов учета, в том числе без изменения предельного уровня тарифа, утвержденного в соответствии с пунктом 14 настоящих Правил;</w:t>
      </w:r>
    </w:p>
    <w:p>
      <w:pPr>
        <w:spacing w:after="0"/>
        <w:ind w:left="0"/>
        <w:jc w:val="both"/>
      </w:pPr>
      <w:r>
        <w:rPr>
          <w:rFonts w:ascii="Times New Roman"/>
          <w:b w:val="false"/>
          <w:i w:val="false"/>
          <w:color w:val="000000"/>
          <w:sz w:val="28"/>
        </w:rPr>
        <w:t>
      2) расчет дифференцированных тарифов в зависимости от наличия или отсутствия приборов учета;</w:t>
      </w:r>
    </w:p>
    <w:p>
      <w:pPr>
        <w:spacing w:after="0"/>
        <w:ind w:left="0"/>
        <w:jc w:val="both"/>
      </w:pPr>
      <w:r>
        <w:rPr>
          <w:rFonts w:ascii="Times New Roman"/>
          <w:b w:val="false"/>
          <w:i w:val="false"/>
          <w:color w:val="000000"/>
          <w:sz w:val="28"/>
        </w:rPr>
        <w:t>
      3) информация о планируемом годовом объеме потребления тепловой энергии потребителями, относящимся к группе населения, в том числе с разбивкой по имеющим и не имеющим общедомовые приборы учета тепловой энергии (за исключением потребителей - физических лиц, относящимся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с приложением обосновывающих материалов;</w:t>
      </w:r>
    </w:p>
    <w:p>
      <w:pPr>
        <w:spacing w:after="0"/>
        <w:ind w:left="0"/>
        <w:jc w:val="both"/>
      </w:pPr>
      <w:r>
        <w:rPr>
          <w:rFonts w:ascii="Times New Roman"/>
          <w:b w:val="false"/>
          <w:i w:val="false"/>
          <w:color w:val="000000"/>
          <w:sz w:val="28"/>
        </w:rPr>
        <w:t>
      4) информация о планируемом годовом объеме потребления тепловой энергии прочими потребителями, в том числе с разбивкой по имеющим и не имеющим общедомовые приборы учета тепловой энергии (за исключением прочих потребителей,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с приложением обосновывающих материалов;</w:t>
      </w:r>
    </w:p>
    <w:p>
      <w:pPr>
        <w:spacing w:after="0"/>
        <w:ind w:left="0"/>
        <w:jc w:val="both"/>
      </w:pPr>
      <w:r>
        <w:rPr>
          <w:rFonts w:ascii="Times New Roman"/>
          <w:b w:val="false"/>
          <w:i w:val="false"/>
          <w:color w:val="000000"/>
          <w:sz w:val="28"/>
        </w:rPr>
        <w:t>
      5) информация о планируемом годовом объеме потребления тепловой энергии потребителями (в том числе с разбивкой по физическим лицам и прочим потребителям), проживающими или расположенными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w:t>
      </w:r>
    </w:p>
    <w:p>
      <w:pPr>
        <w:spacing w:after="0"/>
        <w:ind w:left="0"/>
        <w:jc w:val="both"/>
      </w:pPr>
      <w:r>
        <w:rPr>
          <w:rFonts w:ascii="Times New Roman"/>
          <w:b w:val="false"/>
          <w:i w:val="false"/>
          <w:color w:val="000000"/>
          <w:sz w:val="28"/>
        </w:rPr>
        <w:t>
      6) перечень ветхих, аварийных помещений, домов барачного типа, где отсутствует техническая возможность установки общедомовых приборов учета тепловой энергии.</w:t>
      </w:r>
    </w:p>
    <w:p>
      <w:pPr>
        <w:spacing w:after="0"/>
        <w:ind w:left="0"/>
        <w:jc w:val="both"/>
      </w:pPr>
      <w:r>
        <w:rPr>
          <w:rFonts w:ascii="Times New Roman"/>
          <w:b w:val="false"/>
          <w:i w:val="false"/>
          <w:color w:val="000000"/>
          <w:sz w:val="28"/>
        </w:rPr>
        <w:t>
      16. Ведомство уполномоченного органа рассматривает заявку на утверждение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предельного уровня тарифа в течение двадцати календарных дней. Срок рассмотрения исчисляется с момента подачи заявки.</w:t>
      </w:r>
    </w:p>
    <w:p>
      <w:pPr>
        <w:spacing w:after="0"/>
        <w:ind w:left="0"/>
        <w:jc w:val="both"/>
      </w:pPr>
      <w:r>
        <w:rPr>
          <w:rFonts w:ascii="Times New Roman"/>
          <w:b w:val="false"/>
          <w:i w:val="false"/>
          <w:color w:val="000000"/>
          <w:sz w:val="28"/>
        </w:rPr>
        <w:t>
      17. Прилагаемые в соответствии с пунктом 14 настоящих Правил к заявке расчеты и обосновывающие материалы представляются с соблюдением следующих процедур:</w:t>
      </w:r>
    </w:p>
    <w:p>
      <w:pPr>
        <w:spacing w:after="0"/>
        <w:ind w:left="0"/>
        <w:jc w:val="both"/>
      </w:pPr>
      <w:r>
        <w:rPr>
          <w:rFonts w:ascii="Times New Roman"/>
          <w:b w:val="false"/>
          <w:i w:val="false"/>
          <w:color w:val="000000"/>
          <w:sz w:val="28"/>
        </w:rPr>
        <w:t>
      1) материалы заявки прошиваются, пронумеровываются, заверяются печатью и подписью руководителя Субъекта. При этом, финансовые документы подписываются первым руководителем и главным бухгалтером Субъекта, либо лицами, замещающими их, и заверяются печатью Субъекта;</w:t>
      </w:r>
    </w:p>
    <w:p>
      <w:pPr>
        <w:spacing w:after="0"/>
        <w:ind w:left="0"/>
        <w:jc w:val="both"/>
      </w:pPr>
      <w:r>
        <w:rPr>
          <w:rFonts w:ascii="Times New Roman"/>
          <w:b w:val="false"/>
          <w:i w:val="false"/>
          <w:color w:val="000000"/>
          <w:sz w:val="28"/>
        </w:rPr>
        <w:t>
      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p>
    <w:p>
      <w:pPr>
        <w:spacing w:after="0"/>
        <w:ind w:left="0"/>
        <w:jc w:val="both"/>
      </w:pPr>
      <w:r>
        <w:rPr>
          <w:rFonts w:ascii="Times New Roman"/>
          <w:b w:val="false"/>
          <w:i w:val="false"/>
          <w:color w:val="000000"/>
          <w:sz w:val="28"/>
        </w:rPr>
        <w:t>
      3) с целью исключения влияния сезонных колебаний объемов на тарифы (цены, ставки сборов) в обоснование принимаются данные в расчете на год;</w:t>
      </w:r>
    </w:p>
    <w:p>
      <w:pPr>
        <w:spacing w:after="0"/>
        <w:ind w:left="0"/>
        <w:jc w:val="both"/>
      </w:pPr>
      <w:r>
        <w:rPr>
          <w:rFonts w:ascii="Times New Roman"/>
          <w:b w:val="false"/>
          <w:i w:val="false"/>
          <w:color w:val="000000"/>
          <w:sz w:val="28"/>
        </w:rPr>
        <w:t>
      4) при расчете проектов тарифов (цен, ставок сборов) за базу принимаются фактические объемы регулируемых услуг (товаров, работ) за предыдущий календарный год;</w:t>
      </w:r>
    </w:p>
    <w:p>
      <w:pPr>
        <w:spacing w:after="0"/>
        <w:ind w:left="0"/>
        <w:jc w:val="both"/>
      </w:pPr>
      <w:r>
        <w:rPr>
          <w:rFonts w:ascii="Times New Roman"/>
          <w:b w:val="false"/>
          <w:i w:val="false"/>
          <w:color w:val="000000"/>
          <w:sz w:val="28"/>
        </w:rPr>
        <w:t>
      5) при снижении объемов регулируемых услуг (товаров, работ) представляются материалы, обосновывающие и подтверждающие снижение;</w:t>
      </w:r>
    </w:p>
    <w:p>
      <w:pPr>
        <w:spacing w:after="0"/>
        <w:ind w:left="0"/>
        <w:jc w:val="both"/>
      </w:pPr>
      <w:r>
        <w:rPr>
          <w:rFonts w:ascii="Times New Roman"/>
          <w:b w:val="false"/>
          <w:i w:val="false"/>
          <w:color w:val="000000"/>
          <w:sz w:val="28"/>
        </w:rPr>
        <w:t>
      6) подготовлены в отдельности на каждый вид деятельности, осуществляемой субъектом естественной монополии.</w:t>
      </w:r>
    </w:p>
    <w:p>
      <w:pPr>
        <w:spacing w:after="0"/>
        <w:ind w:left="0"/>
        <w:jc w:val="both"/>
      </w:pPr>
      <w:r>
        <w:rPr>
          <w:rFonts w:ascii="Times New Roman"/>
          <w:b w:val="false"/>
          <w:i w:val="false"/>
          <w:color w:val="000000"/>
          <w:sz w:val="28"/>
        </w:rPr>
        <w:t>
      18. К заявке на утверждение предельного уровня тарифа (цены, ставки сбора) и тарифной сметы в качестве чрезвычайной регулирующей меры прилагаются:</w:t>
      </w:r>
    </w:p>
    <w:p>
      <w:pPr>
        <w:spacing w:after="0"/>
        <w:ind w:left="0"/>
        <w:jc w:val="both"/>
      </w:pPr>
      <w:r>
        <w:rPr>
          <w:rFonts w:ascii="Times New Roman"/>
          <w:b w:val="false"/>
          <w:i w:val="false"/>
          <w:color w:val="000000"/>
          <w:sz w:val="28"/>
        </w:rPr>
        <w:t>
      1) пояснительная записка, с указанием причин утверждения предельного уровня тарифа (цены, ставки сбора) и тарифной сметы в качестве чрезвычайной регулирующей меры, в целях защиты жизни, здоровья граждан, имущества физических и юридических лиц, а также охраны окружающей среды;</w:t>
      </w:r>
    </w:p>
    <w:p>
      <w:pPr>
        <w:spacing w:after="0"/>
        <w:ind w:left="0"/>
        <w:jc w:val="both"/>
      </w:pPr>
      <w:r>
        <w:rPr>
          <w:rFonts w:ascii="Times New Roman"/>
          <w:b w:val="false"/>
          <w:i w:val="false"/>
          <w:color w:val="000000"/>
          <w:sz w:val="28"/>
        </w:rPr>
        <w:t>
      2) проект тарифной сметы в соответствии с требованиями Особого порядка по форме, указанной в приложении 3 к настоящим Правилам.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w:t>
      </w:r>
    </w:p>
    <w:p>
      <w:pPr>
        <w:spacing w:after="0"/>
        <w:ind w:left="0"/>
        <w:jc w:val="both"/>
      </w:pPr>
      <w:r>
        <w:rPr>
          <w:rFonts w:ascii="Times New Roman"/>
          <w:b w:val="false"/>
          <w:i w:val="false"/>
          <w:color w:val="000000"/>
          <w:sz w:val="28"/>
        </w:rPr>
        <w:t>
      3) документы, подтверждающие необходимость утверждения предельного уровня тарифа (цены, ставки сбора) и тарифной сметы в качестве чрезвычайной регулирующей меры в целях защиты жизни, здоровья граждан, имущества физических и юридических лиц, а также охраны окружающей среды.</w:t>
      </w:r>
    </w:p>
    <w:p>
      <w:pPr>
        <w:spacing w:after="0"/>
        <w:ind w:left="0"/>
        <w:jc w:val="both"/>
      </w:pPr>
      <w:r>
        <w:rPr>
          <w:rFonts w:ascii="Times New Roman"/>
          <w:b w:val="false"/>
          <w:i w:val="false"/>
          <w:color w:val="000000"/>
          <w:sz w:val="28"/>
        </w:rPr>
        <w:t>
      В случае увеличения стоимости стратегических товаров, в качестве документов, подтверждающих необходимость утверждения предельного уровня тарифа (цены, ставки сбора) и тарифной сметы в качестве чрезвычайной регулирующей меры к заявке на утверждение предельного уровня тарифа (цены, ставки сбора) прилагаются конкурсная документация, решения конкурсных (тендерных) комиссий по закупке товаров, договора, счета-фактуры, расчеты уровня затрат, информация о наличии утвержденных на предстоящий период нормативных технических потерях, нормах расхода стратегического товара, изменение стоимости которого является причиной представления заявки на утверждение предельного уровня тарифа в качестве чрезвычайной регулирующей меры.</w:t>
      </w:r>
    </w:p>
    <w:p>
      <w:pPr>
        <w:spacing w:after="0"/>
        <w:ind w:left="0"/>
        <w:jc w:val="both"/>
      </w:pPr>
      <w:r>
        <w:rPr>
          <w:rFonts w:ascii="Times New Roman"/>
          <w:b w:val="false"/>
          <w:i w:val="false"/>
          <w:color w:val="000000"/>
          <w:sz w:val="28"/>
        </w:rPr>
        <w:t>
      19. Ведомство уполномоченного органа в течение семи рабочих дней со дня получения заявки проверяет полноту представленных обосновывающих материалов и в письменном виде уведомляет Субъекта о принятии заявки к рассмотрению или об отказе в принятии заявки к рассмотрению с указанием причин отказа, за исключением случаев утверждения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предельного уровня тарифа, утвержденного в соответствии с пунктом 14 настоящих Правил.</w:t>
      </w:r>
    </w:p>
    <w:p>
      <w:pPr>
        <w:spacing w:after="0"/>
        <w:ind w:left="0"/>
        <w:jc w:val="both"/>
      </w:pPr>
      <w:r>
        <w:rPr>
          <w:rFonts w:ascii="Times New Roman"/>
          <w:b w:val="false"/>
          <w:i w:val="false"/>
          <w:color w:val="000000"/>
          <w:sz w:val="28"/>
        </w:rPr>
        <w:t>
      Ведомство уполномоченного органа в течение пяти рабочих дней со дня получения заявки проверяет полноту представленных материалов и в письменном виде уведомляет субъекта естественной монополии для принятия решения в качестве чрезвычайной регулирующей меры о принятии заявки к рассмотрению или об отказе в принятии заявки к рассмотрению с приведением причин отказа.</w:t>
      </w:r>
    </w:p>
    <w:p>
      <w:pPr>
        <w:spacing w:after="0"/>
        <w:ind w:left="0"/>
        <w:jc w:val="both"/>
      </w:pPr>
      <w:r>
        <w:rPr>
          <w:rFonts w:ascii="Times New Roman"/>
          <w:b w:val="false"/>
          <w:i w:val="false"/>
          <w:color w:val="000000"/>
          <w:sz w:val="28"/>
        </w:rPr>
        <w:t>
      20. Причинами отказа в принятии заявки Субъекта к рассмотрению являются:</w:t>
      </w:r>
    </w:p>
    <w:p>
      <w:pPr>
        <w:spacing w:after="0"/>
        <w:ind w:left="0"/>
        <w:jc w:val="both"/>
      </w:pPr>
      <w:r>
        <w:rPr>
          <w:rFonts w:ascii="Times New Roman"/>
          <w:b w:val="false"/>
          <w:i w:val="false"/>
          <w:color w:val="000000"/>
          <w:sz w:val="28"/>
        </w:rPr>
        <w:t>
      1) нарушение Субъектом сроков представления заявки;</w:t>
      </w:r>
    </w:p>
    <w:p>
      <w:pPr>
        <w:spacing w:after="0"/>
        <w:ind w:left="0"/>
        <w:jc w:val="both"/>
      </w:pPr>
      <w:r>
        <w:rPr>
          <w:rFonts w:ascii="Times New Roman"/>
          <w:b w:val="false"/>
          <w:i w:val="false"/>
          <w:color w:val="000000"/>
          <w:sz w:val="28"/>
        </w:rPr>
        <w:t>
      2) непредставление Субъектом документов, указанных в пунктах 14 и 18 настоящих Правил;</w:t>
      </w:r>
    </w:p>
    <w:p>
      <w:pPr>
        <w:spacing w:after="0"/>
        <w:ind w:left="0"/>
        <w:jc w:val="both"/>
      </w:pPr>
      <w:r>
        <w:rPr>
          <w:rFonts w:ascii="Times New Roman"/>
          <w:b w:val="false"/>
          <w:i w:val="false"/>
          <w:color w:val="000000"/>
          <w:sz w:val="28"/>
        </w:rPr>
        <w:t>
      3) несоответствие представленных документов подпунктам 1), 2) и 6) пункта 17 настоящих Правил.</w:t>
      </w:r>
    </w:p>
    <w:p>
      <w:pPr>
        <w:spacing w:after="0"/>
        <w:ind w:left="0"/>
        <w:jc w:val="left"/>
      </w:pPr>
      <w:r>
        <w:rPr>
          <w:rFonts w:ascii="Times New Roman"/>
          <w:b/>
          <w:i w:val="false"/>
          <w:color w:val="000000"/>
        </w:rPr>
        <w:t xml:space="preserve"> 3. Порядок утверждения проекта</w:t>
      </w:r>
      <w:r>
        <w:br/>
      </w:r>
      <w:r>
        <w:rPr>
          <w:rFonts w:ascii="Times New Roman"/>
          <w:b/>
          <w:i w:val="false"/>
          <w:color w:val="000000"/>
        </w:rPr>
        <w:t>предельного уровня (цен, ставок сборов)</w:t>
      </w:r>
    </w:p>
    <w:p>
      <w:pPr>
        <w:spacing w:after="0"/>
        <w:ind w:left="0"/>
        <w:jc w:val="both"/>
      </w:pPr>
      <w:r>
        <w:rPr>
          <w:rFonts w:ascii="Times New Roman"/>
          <w:b w:val="false"/>
          <w:i w:val="false"/>
          <w:color w:val="000000"/>
          <w:sz w:val="28"/>
        </w:rPr>
        <w:t>
      21. Проект предельного уровня тарифов (цен, ставок сборов) Субъекта рассматривается ведомством уполномоченного органа в течение ста сорока пяти календарных дней с момента подачи заявки при условии представления экономически обоснованных расчетов в соответствии с настоящими Правилами.</w:t>
      </w:r>
    </w:p>
    <w:p>
      <w:pPr>
        <w:spacing w:after="0"/>
        <w:ind w:left="0"/>
        <w:jc w:val="both"/>
      </w:pPr>
      <w:r>
        <w:rPr>
          <w:rFonts w:ascii="Times New Roman"/>
          <w:b w:val="false"/>
          <w:i w:val="false"/>
          <w:color w:val="000000"/>
          <w:sz w:val="28"/>
        </w:rPr>
        <w:t>
      Проекты предельных уровней тарифов (цен, ставок сборов) на регулируемые услуги (товары, работы) субъектов естественных монополий для принятия решения в качестве чрезвычайной регулирующей меры рассматриваются ведомством уполномоченного органа в течение двадцати календарных дней.</w:t>
      </w:r>
    </w:p>
    <w:p>
      <w:pPr>
        <w:spacing w:after="0"/>
        <w:ind w:left="0"/>
        <w:jc w:val="both"/>
      </w:pPr>
      <w:r>
        <w:rPr>
          <w:rFonts w:ascii="Times New Roman"/>
          <w:b w:val="false"/>
          <w:i w:val="false"/>
          <w:color w:val="000000"/>
          <w:sz w:val="28"/>
        </w:rPr>
        <w:t>
      22. Ведомство уполномоченного органа проводит экспертизу проекта предельного уровня тарифов (цен, ставок сборов) и тарифных смет:</w:t>
      </w:r>
    </w:p>
    <w:p>
      <w:pPr>
        <w:spacing w:after="0"/>
        <w:ind w:left="0"/>
        <w:jc w:val="both"/>
      </w:pPr>
      <w:r>
        <w:rPr>
          <w:rFonts w:ascii="Times New Roman"/>
          <w:b w:val="false"/>
          <w:i w:val="false"/>
          <w:color w:val="000000"/>
          <w:sz w:val="28"/>
        </w:rPr>
        <w:t>
      1) на основе анализа представленных Субъектом с заявкой обосновывающих документов и расчетов, а также сравнительного анализа показателей деятельности Субъектов, занимающихся аналогичным видом деятельности;</w:t>
      </w:r>
    </w:p>
    <w:p>
      <w:pPr>
        <w:spacing w:after="0"/>
        <w:ind w:left="0"/>
        <w:jc w:val="both"/>
      </w:pPr>
      <w:r>
        <w:rPr>
          <w:rFonts w:ascii="Times New Roman"/>
          <w:b w:val="false"/>
          <w:i w:val="false"/>
          <w:color w:val="000000"/>
          <w:sz w:val="28"/>
        </w:rPr>
        <w:t>
      2) с привлечением для этого независимых экспертов, государственных органов, потребителей и их общественных объединений, Субъекта, представившего проект.</w:t>
      </w:r>
    </w:p>
    <w:p>
      <w:pPr>
        <w:spacing w:after="0"/>
        <w:ind w:left="0"/>
        <w:jc w:val="both"/>
      </w:pPr>
      <w:r>
        <w:rPr>
          <w:rFonts w:ascii="Times New Roman"/>
          <w:b w:val="false"/>
          <w:i w:val="false"/>
          <w:color w:val="000000"/>
          <w:sz w:val="28"/>
        </w:rPr>
        <w:t>
      23. Ведомство уполномоченного органа выносит предлагаемый Субъектом проект предельного уровня тарифов (цен, ставок сборов) на обсуждение при проведении публичных слушаний.</w:t>
      </w:r>
    </w:p>
    <w:p>
      <w:pPr>
        <w:spacing w:after="0"/>
        <w:ind w:left="0"/>
        <w:jc w:val="both"/>
      </w:pPr>
      <w:r>
        <w:rPr>
          <w:rFonts w:ascii="Times New Roman"/>
          <w:b w:val="false"/>
          <w:i w:val="false"/>
          <w:color w:val="000000"/>
          <w:sz w:val="28"/>
        </w:rPr>
        <w:t>
      24. Ведомство уполномоченного органа по результатам проведенной экспертизы принимает решение об утверждении предельного уровня тарифов (цен, ставок сборов) и тарифных смет с указанием срока его действия.</w:t>
      </w:r>
    </w:p>
    <w:p>
      <w:pPr>
        <w:spacing w:after="0"/>
        <w:ind w:left="0"/>
        <w:jc w:val="both"/>
      </w:pPr>
      <w:r>
        <w:rPr>
          <w:rFonts w:ascii="Times New Roman"/>
          <w:b w:val="false"/>
          <w:i w:val="false"/>
          <w:color w:val="000000"/>
          <w:sz w:val="28"/>
        </w:rPr>
        <w:t>
      Срок действия тарифов устанавливается на период не более, чем предусмотрено на реализацию Субъектом инвестиционной программы (проекта).</w:t>
      </w:r>
    </w:p>
    <w:p>
      <w:pPr>
        <w:spacing w:after="0"/>
        <w:ind w:left="0"/>
        <w:jc w:val="both"/>
      </w:pPr>
      <w:r>
        <w:rPr>
          <w:rFonts w:ascii="Times New Roman"/>
          <w:b w:val="false"/>
          <w:i w:val="false"/>
          <w:color w:val="000000"/>
          <w:sz w:val="28"/>
        </w:rPr>
        <w:t>
      25. Решение ведомства уполномоченного органа об утверждении предельного уровня тарифов (цен, ставок сборов) и тарифных смет на регулируемые услуги (товары, работы) или отказе в утверждении предельного уровня тарифов (цен, ставок сборов) и тарифных смет на регулируемые услуги (товары, работы) Субъекта оформляется приказом руководителя ведомства уполномоченного органа и направляется ведомством уполномоченного органа Субъекту не позднее тридцати пяти календарных дней до введения их в действие.</w:t>
      </w:r>
    </w:p>
    <w:p>
      <w:pPr>
        <w:spacing w:after="0"/>
        <w:ind w:left="0"/>
        <w:jc w:val="both"/>
      </w:pPr>
      <w:r>
        <w:rPr>
          <w:rFonts w:ascii="Times New Roman"/>
          <w:b w:val="false"/>
          <w:i w:val="false"/>
          <w:color w:val="000000"/>
          <w:sz w:val="28"/>
        </w:rPr>
        <w:t>
      Решение ведомства уполномоченного органа об утверждении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предельного уровня тарифа, утвержденного в соответствии с пунктом 14 настоящих Правил оформляется приказом руководителя ведомства уполномоченного органа и направляется ведомством уполномоченного органа Субъекту не позднее десяти календарных дней до введения их в действие.</w:t>
      </w:r>
    </w:p>
    <w:p>
      <w:pPr>
        <w:spacing w:after="0"/>
        <w:ind w:left="0"/>
        <w:jc w:val="both"/>
      </w:pPr>
      <w:r>
        <w:rPr>
          <w:rFonts w:ascii="Times New Roman"/>
          <w:b w:val="false"/>
          <w:i w:val="false"/>
          <w:color w:val="000000"/>
          <w:sz w:val="28"/>
        </w:rPr>
        <w:t>
      26. Введение предельного уровня тарифов (цен, ставок сборов), осуществляется с первого числа второго месяца, следующего за месяцем утверждения предельного уровня тарифов (цен, ставок сборов).</w:t>
      </w:r>
    </w:p>
    <w:p>
      <w:pPr>
        <w:spacing w:after="0"/>
        <w:ind w:left="0"/>
        <w:jc w:val="both"/>
      </w:pPr>
      <w:r>
        <w:rPr>
          <w:rFonts w:ascii="Times New Roman"/>
          <w:b w:val="false"/>
          <w:i w:val="false"/>
          <w:color w:val="000000"/>
          <w:sz w:val="28"/>
        </w:rPr>
        <w:t>
      27. Субъект доводит до сведения потребителей информацию о введении предельного уровня тарифов (цен, ставок сборов)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В случае утверждения предельного уровня тарифа (цен, ставок сборов) на регулируемые услуги (товары, работы) субъекта естественной монополии в качестве чрезвычайной регулирующей меры информация об их изменении доводится субъектом естественной монополии до сведения потребителя не позднее, чем за пять календарных дней до введения их в действие.</w:t>
      </w:r>
    </w:p>
    <w:p>
      <w:pPr>
        <w:spacing w:after="0"/>
        <w:ind w:left="0"/>
        <w:jc w:val="both"/>
      </w:pPr>
      <w:r>
        <w:rPr>
          <w:rFonts w:ascii="Times New Roman"/>
          <w:b w:val="false"/>
          <w:i w:val="false"/>
          <w:color w:val="000000"/>
          <w:sz w:val="28"/>
        </w:rPr>
        <w:t>
      Субъект естественной монополии доводит до сведения потребителя информацию о введении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предельного уровня тарифа, утвержденного в соответствии с пунктом 14 настоящих Правил не позднее, чем за десять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p>
    <w:p>
      <w:pPr>
        <w:spacing w:after="0"/>
        <w:ind w:left="0"/>
        <w:jc w:val="both"/>
      </w:pPr>
      <w:r>
        <w:rPr>
          <w:rFonts w:ascii="Times New Roman"/>
          <w:b w:val="false"/>
          <w:i w:val="false"/>
          <w:color w:val="000000"/>
          <w:sz w:val="28"/>
        </w:rPr>
        <w:t>
      28. Субъект в течение пяти календарных дней представляет в ведомство уполномоченного органа информацию о факте уведомления потребителей о введении предельного уровня тарифов (цен, ставок сборов).</w:t>
      </w:r>
    </w:p>
    <w:p>
      <w:pPr>
        <w:spacing w:after="0"/>
        <w:ind w:left="0"/>
        <w:jc w:val="both"/>
      </w:pPr>
      <w:r>
        <w:rPr>
          <w:rFonts w:ascii="Times New Roman"/>
          <w:b w:val="false"/>
          <w:i w:val="false"/>
          <w:color w:val="000000"/>
          <w:sz w:val="28"/>
        </w:rPr>
        <w:t>
      29. Если субъект не уведомит потребителей о введении предельного уровня тарифов (цен, ставок сборов) в сроки, предусмотренные настоящими Правилами, то указанный предельный уровень тарифов (цен, ставок сборов) не вводится с даты указанной в решении ведомства уполномоченного органа. Введение утвержденного предельного уровня тарифов (цен, ставок сборов) осуществляется с первого числа третьего месяца, следующего за месяцем утверждения предельного уровня тарифов (цен, ставок сборов).</w:t>
      </w:r>
    </w:p>
    <w:p>
      <w:pPr>
        <w:spacing w:after="0"/>
        <w:ind w:left="0"/>
        <w:jc w:val="both"/>
      </w:pPr>
      <w:r>
        <w:rPr>
          <w:rFonts w:ascii="Times New Roman"/>
          <w:b w:val="false"/>
          <w:i w:val="false"/>
          <w:color w:val="000000"/>
          <w:sz w:val="28"/>
        </w:rPr>
        <w:t>
      30. Для корректировки тарифной сметы и (или) предельного уровня тарифа (цены, ставки сбора), утвержденных в соответствии с пунктом 12 настоящих Правил, субъект естественной монополии до конца текущего года обращается в уполномоченный орган с предложением о корректировке тарифной сметы и (или) предельного уровня тарифа (цены, ставки сбора).</w:t>
      </w:r>
    </w:p>
    <w:p>
      <w:pPr>
        <w:spacing w:after="0"/>
        <w:ind w:left="0"/>
        <w:jc w:val="both"/>
      </w:pPr>
      <w:r>
        <w:rPr>
          <w:rFonts w:ascii="Times New Roman"/>
          <w:b w:val="false"/>
          <w:i w:val="false"/>
          <w:color w:val="000000"/>
          <w:sz w:val="28"/>
        </w:rPr>
        <w:t>
      При обращении с предложением о корректировке тарифной сметы и (или) предельного уровня тарифа (цены, ставки сбора) субъект естественной монополии представляет в уполномоченный орган проект тарифа (цены, ставки сбора) и тарифной сметы с учетом корректировок и материалы, обосновывающие внесение корректировок.</w:t>
      </w:r>
    </w:p>
    <w:p>
      <w:pPr>
        <w:spacing w:after="0"/>
        <w:ind w:left="0"/>
        <w:jc w:val="both"/>
      </w:pPr>
      <w:r>
        <w:rPr>
          <w:rFonts w:ascii="Times New Roman"/>
          <w:b w:val="false"/>
          <w:i w:val="false"/>
          <w:color w:val="000000"/>
          <w:sz w:val="28"/>
        </w:rPr>
        <w:t>
      31. Прилагаемые к тарифной смете материалы прошиваются, пронумеровываются и заверяются печатью и подписью руководителя субъекта естественной монополии. Финансовые документы подписываются руководителем и главным бухгалтером субъекта естественной монополии либо лицами, замещающими их, и заверяются печатью субъекта естественной монополии.</w:t>
      </w:r>
    </w:p>
    <w:p>
      <w:pPr>
        <w:spacing w:after="0"/>
        <w:ind w:left="0"/>
        <w:jc w:val="both"/>
      </w:pPr>
      <w:r>
        <w:rPr>
          <w:rFonts w:ascii="Times New Roman"/>
          <w:b w:val="false"/>
          <w:i w:val="false"/>
          <w:color w:val="000000"/>
          <w:sz w:val="28"/>
        </w:rPr>
        <w:t>
      32. Ведомство уполномочнного органа рассматривает документы по корректировке тарифной сметы и (или) предельного уровня тарифа (цены, ставки сбора) в течение тридцати календарных дней с момента представления.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утверждения</w:t>
            </w:r>
            <w:r>
              <w:br/>
            </w:r>
            <w:r>
              <w:rPr>
                <w:rFonts w:ascii="Times New Roman"/>
                <w:b w:val="false"/>
                <w:i w:val="false"/>
                <w:color w:val="000000"/>
                <w:sz w:val="20"/>
              </w:rPr>
              <w:t>предельного уровня тарифов</w:t>
            </w:r>
            <w:r>
              <w:br/>
            </w:r>
            <w:r>
              <w:rPr>
                <w:rFonts w:ascii="Times New Roman"/>
                <w:b w:val="false"/>
                <w:i w:val="false"/>
                <w:color w:val="000000"/>
                <w:sz w:val="20"/>
              </w:rPr>
              <w:t>(цен, ставок сборов) и тарифных</w:t>
            </w:r>
            <w:r>
              <w:br/>
            </w:r>
            <w:r>
              <w:rPr>
                <w:rFonts w:ascii="Times New Roman"/>
                <w:b w:val="false"/>
                <w:i w:val="false"/>
                <w:color w:val="000000"/>
                <w:sz w:val="20"/>
              </w:rPr>
              <w:t>смет на регулируемые услуги</w:t>
            </w:r>
            <w:r>
              <w:br/>
            </w:r>
            <w:r>
              <w:rPr>
                <w:rFonts w:ascii="Times New Roman"/>
                <w:b w:val="false"/>
                <w:i w:val="false"/>
                <w:color w:val="000000"/>
                <w:sz w:val="20"/>
              </w:rPr>
              <w:t>(товары, работы) субъектов</w:t>
            </w:r>
            <w:r>
              <w:br/>
            </w:r>
            <w:r>
              <w:rPr>
                <w:rFonts w:ascii="Times New Roman"/>
                <w:b w:val="false"/>
                <w:i w:val="false"/>
                <w:color w:val="000000"/>
                <w:sz w:val="20"/>
              </w:rPr>
              <w:t>естественных монополий</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Сведения об исполнении тарифной сметы на регулируемые услуги</w:t>
      </w:r>
    </w:p>
    <w:p>
      <w:pPr>
        <w:spacing w:after="0"/>
        <w:ind w:left="0"/>
        <w:jc w:val="both"/>
      </w:pPr>
      <w:r>
        <w:rPr>
          <w:rFonts w:ascii="Times New Roman"/>
          <w:b w:val="false"/>
          <w:i w:val="false"/>
          <w:color w:val="000000"/>
          <w:sz w:val="28"/>
        </w:rPr>
        <w:t>
      Отчетный период 20 ___ г.</w:t>
      </w:r>
    </w:p>
    <w:p>
      <w:pPr>
        <w:spacing w:after="0"/>
        <w:ind w:left="0"/>
        <w:jc w:val="both"/>
      </w:pPr>
      <w:r>
        <w:rPr>
          <w:rFonts w:ascii="Times New Roman"/>
          <w:b w:val="false"/>
          <w:i w:val="false"/>
          <w:color w:val="000000"/>
          <w:sz w:val="28"/>
        </w:rPr>
        <w:t>
      Индекс ИТС-1</w:t>
      </w:r>
    </w:p>
    <w:p>
      <w:pPr>
        <w:spacing w:after="0"/>
        <w:ind w:left="0"/>
        <w:jc w:val="both"/>
      </w:pPr>
      <w:r>
        <w:rPr>
          <w:rFonts w:ascii="Times New Roman"/>
          <w:b w:val="false"/>
          <w:i w:val="false"/>
          <w:color w:val="000000"/>
          <w:sz w:val="28"/>
        </w:rPr>
        <w:t xml:space="preserve">
      Периодичность: годовая </w:t>
      </w:r>
    </w:p>
    <w:p>
      <w:pPr>
        <w:spacing w:after="0"/>
        <w:ind w:left="0"/>
        <w:jc w:val="both"/>
      </w:pPr>
      <w:r>
        <w:rPr>
          <w:rFonts w:ascii="Times New Roman"/>
          <w:b w:val="false"/>
          <w:i w:val="false"/>
          <w:color w:val="000000"/>
          <w:sz w:val="28"/>
        </w:rPr>
        <w:t>
      Представляют: субъекты естественной монополии, за исключением</w:t>
      </w:r>
    </w:p>
    <w:p>
      <w:pPr>
        <w:spacing w:after="0"/>
        <w:ind w:left="0"/>
        <w:jc w:val="both"/>
      </w:pPr>
      <w:r>
        <w:rPr>
          <w:rFonts w:ascii="Times New Roman"/>
          <w:b w:val="false"/>
          <w:i w:val="false"/>
          <w:color w:val="000000"/>
          <w:sz w:val="28"/>
        </w:rPr>
        <w:t>
      региональной электросетевой компании</w:t>
      </w:r>
    </w:p>
    <w:p>
      <w:pPr>
        <w:spacing w:after="0"/>
        <w:ind w:left="0"/>
        <w:jc w:val="both"/>
      </w:pPr>
      <w:r>
        <w:rPr>
          <w:rFonts w:ascii="Times New Roman"/>
          <w:b w:val="false"/>
          <w:i w:val="false"/>
          <w:color w:val="000000"/>
          <w:sz w:val="28"/>
        </w:rPr>
        <w:t>
      Куда представляется форма: Комитет по регулированию</w:t>
      </w:r>
    </w:p>
    <w:p>
      <w:pPr>
        <w:spacing w:after="0"/>
        <w:ind w:left="0"/>
        <w:jc w:val="both"/>
      </w:pPr>
      <w:r>
        <w:rPr>
          <w:rFonts w:ascii="Times New Roman"/>
          <w:b w:val="false"/>
          <w:i w:val="false"/>
          <w:color w:val="000000"/>
          <w:sz w:val="28"/>
        </w:rPr>
        <w:t>
      естественных монополий и защите конкуренции Министерства национальной</w:t>
      </w:r>
    </w:p>
    <w:p>
      <w:pPr>
        <w:spacing w:after="0"/>
        <w:ind w:left="0"/>
        <w:jc w:val="both"/>
      </w:pPr>
      <w:r>
        <w:rPr>
          <w:rFonts w:ascii="Times New Roman"/>
          <w:b w:val="false"/>
          <w:i w:val="false"/>
          <w:color w:val="000000"/>
          <w:sz w:val="28"/>
        </w:rPr>
        <w:t>
      экономики Республики Казахстан</w:t>
      </w:r>
    </w:p>
    <w:p>
      <w:pPr>
        <w:spacing w:after="0"/>
        <w:ind w:left="0"/>
        <w:jc w:val="both"/>
      </w:pPr>
      <w:r>
        <w:rPr>
          <w:rFonts w:ascii="Times New Roman"/>
          <w:b w:val="false"/>
          <w:i w:val="false"/>
          <w:color w:val="000000"/>
          <w:sz w:val="28"/>
        </w:rPr>
        <w:t>
      Срок представления – ежегодно не позднее 1 мая года, следующего</w:t>
      </w:r>
    </w:p>
    <w:p>
      <w:pPr>
        <w:spacing w:after="0"/>
        <w:ind w:left="0"/>
        <w:jc w:val="both"/>
      </w:pPr>
      <w:r>
        <w:rPr>
          <w:rFonts w:ascii="Times New Roman"/>
          <w:b w:val="false"/>
          <w:i w:val="false"/>
          <w:color w:val="000000"/>
          <w:sz w:val="28"/>
        </w:rPr>
        <w:t>
      за отчетным периодом, за исключением региональной электросетевой</w:t>
      </w:r>
    </w:p>
    <w:p>
      <w:pPr>
        <w:spacing w:after="0"/>
        <w:ind w:left="0"/>
        <w:jc w:val="both"/>
      </w:pPr>
      <w:r>
        <w:rPr>
          <w:rFonts w:ascii="Times New Roman"/>
          <w:b w:val="false"/>
          <w:i w:val="false"/>
          <w:color w:val="000000"/>
          <w:sz w:val="28"/>
        </w:rPr>
        <w:t>
      компании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2606"/>
        <w:gridCol w:w="1851"/>
        <w:gridCol w:w="1189"/>
        <w:gridCol w:w="1960"/>
        <w:gridCol w:w="1190"/>
      </w:tblGrid>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показателей*</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p>
            <w:pPr>
              <w:spacing w:after="20"/>
              <w:ind w:left="20"/>
              <w:jc w:val="both"/>
            </w:pPr>
            <w:r>
              <w:rPr>
                <w:rFonts w:ascii="Times New Roman"/>
                <w:b w:val="false"/>
                <w:i w:val="false"/>
                <w:color w:val="000000"/>
                <w:sz w:val="20"/>
              </w:rPr>
              <w:t>
сложившиеся</w:t>
            </w:r>
          </w:p>
          <w:p>
            <w:pPr>
              <w:spacing w:after="20"/>
              <w:ind w:left="20"/>
              <w:jc w:val="both"/>
            </w:pPr>
            <w:r>
              <w:rPr>
                <w:rFonts w:ascii="Times New Roman"/>
                <w:b w:val="false"/>
                <w:i w:val="false"/>
                <w:color w:val="000000"/>
                <w:sz w:val="20"/>
              </w:rPr>
              <w:t>
показатели тарифной</w:t>
            </w:r>
          </w:p>
          <w:p>
            <w:pPr>
              <w:spacing w:after="20"/>
              <w:ind w:left="20"/>
              <w:jc w:val="both"/>
            </w:pPr>
            <w:r>
              <w:rPr>
                <w:rFonts w:ascii="Times New Roman"/>
                <w:b w:val="false"/>
                <w:i w:val="false"/>
                <w:color w:val="000000"/>
                <w:sz w:val="20"/>
              </w:rPr>
              <w:t>
сметы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p>
            <w:pPr>
              <w:spacing w:after="20"/>
              <w:ind w:left="20"/>
              <w:jc w:val="both"/>
            </w:pPr>
            <w:r>
              <w:rPr>
                <w:rFonts w:ascii="Times New Roman"/>
                <w:b w:val="false"/>
                <w:i w:val="false"/>
                <w:color w:val="000000"/>
                <w:sz w:val="20"/>
              </w:rPr>
              <w:t>
в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w:t>
            </w:r>
          </w:p>
          <w:p>
            <w:pPr>
              <w:spacing w:after="20"/>
              <w:ind w:left="20"/>
              <w:jc w:val="both"/>
            </w:pPr>
            <w:r>
              <w:rPr>
                <w:rFonts w:ascii="Times New Roman"/>
                <w:b w:val="false"/>
                <w:i w:val="false"/>
                <w:color w:val="000000"/>
                <w:sz w:val="20"/>
              </w:rPr>
              <w:t xml:space="preserve">
производство товаров и </w:t>
            </w:r>
          </w:p>
          <w:p>
            <w:pPr>
              <w:spacing w:after="20"/>
              <w:ind w:left="20"/>
              <w:jc w:val="both"/>
            </w:pPr>
            <w:r>
              <w:rPr>
                <w:rFonts w:ascii="Times New Roman"/>
                <w:b w:val="false"/>
                <w:i w:val="false"/>
                <w:color w:val="000000"/>
                <w:sz w:val="20"/>
              </w:rPr>
              <w:t>
предоставление услуг, всего, в т. ч.</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т.ч.</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оплату труда,</w:t>
            </w:r>
          </w:p>
          <w:p>
            <w:pPr>
              <w:spacing w:after="20"/>
              <w:ind w:left="20"/>
              <w:jc w:val="both"/>
            </w:pPr>
            <w:r>
              <w:rPr>
                <w:rFonts w:ascii="Times New Roman"/>
                <w:b w:val="false"/>
                <w:i w:val="false"/>
                <w:color w:val="000000"/>
                <w:sz w:val="20"/>
              </w:rPr>
              <w:t>
всего, в т. ч.</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p>
            <w:pPr>
              <w:spacing w:after="20"/>
              <w:ind w:left="20"/>
              <w:jc w:val="both"/>
            </w:pPr>
            <w:r>
              <w:rPr>
                <w:rFonts w:ascii="Times New Roman"/>
                <w:b w:val="false"/>
                <w:i w:val="false"/>
                <w:color w:val="000000"/>
                <w:sz w:val="20"/>
              </w:rPr>
              <w:t>
производственного</w:t>
            </w:r>
          </w:p>
          <w:p>
            <w:pPr>
              <w:spacing w:after="20"/>
              <w:ind w:left="20"/>
              <w:jc w:val="both"/>
            </w:pPr>
            <w:r>
              <w:rPr>
                <w:rFonts w:ascii="Times New Roman"/>
                <w:b w:val="false"/>
                <w:i w:val="false"/>
                <w:color w:val="000000"/>
                <w:sz w:val="20"/>
              </w:rPr>
              <w:t>
персонала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 ч.</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фондов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p>
            <w:pPr>
              <w:spacing w:after="20"/>
              <w:ind w:left="20"/>
              <w:jc w:val="both"/>
            </w:pPr>
            <w:r>
              <w:rPr>
                <w:rFonts w:ascii="Times New Roman"/>
                <w:b w:val="false"/>
                <w:i w:val="false"/>
                <w:color w:val="000000"/>
                <w:sz w:val="20"/>
              </w:rPr>
              <w:t>
всего, в т.ч.</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w:t>
            </w:r>
          </w:p>
          <w:p>
            <w:pPr>
              <w:spacing w:after="20"/>
              <w:ind w:left="20"/>
              <w:jc w:val="both"/>
            </w:pPr>
            <w:r>
              <w:rPr>
                <w:rFonts w:ascii="Times New Roman"/>
                <w:b w:val="false"/>
                <w:i w:val="false"/>
                <w:color w:val="000000"/>
                <w:sz w:val="20"/>
              </w:rPr>
              <w:t>
административные</w:t>
            </w:r>
          </w:p>
          <w:p>
            <w:pPr>
              <w:spacing w:after="20"/>
              <w:ind w:left="20"/>
              <w:jc w:val="both"/>
            </w:pPr>
            <w:r>
              <w:rPr>
                <w:rFonts w:ascii="Times New Roman"/>
                <w:b w:val="false"/>
                <w:i w:val="false"/>
                <w:color w:val="000000"/>
                <w:sz w:val="20"/>
              </w:rPr>
              <w:t>
расходы, всего:</w:t>
            </w:r>
          </w:p>
          <w:p>
            <w:pPr>
              <w:spacing w:after="20"/>
              <w:ind w:left="20"/>
              <w:jc w:val="both"/>
            </w:pPr>
            <w:r>
              <w:rPr>
                <w:rFonts w:ascii="Times New Roman"/>
                <w:b w:val="false"/>
                <w:i w:val="false"/>
                <w:color w:val="000000"/>
                <w:sz w:val="20"/>
              </w:rPr>
              <w:t>
в том числе: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персонала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p>
            <w:pPr>
              <w:spacing w:after="20"/>
              <w:ind w:left="20"/>
              <w:jc w:val="both"/>
            </w:pPr>
            <w:r>
              <w:rPr>
                <w:rFonts w:ascii="Times New Roman"/>
                <w:b w:val="false"/>
                <w:i w:val="false"/>
                <w:color w:val="000000"/>
                <w:sz w:val="20"/>
              </w:rPr>
              <w:t>
(расшифровать)</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w:t>
            </w:r>
          </w:p>
          <w:p>
            <w:pPr>
              <w:spacing w:after="20"/>
              <w:ind w:left="20"/>
              <w:jc w:val="both"/>
            </w:pPr>
            <w:r>
              <w:rPr>
                <w:rFonts w:ascii="Times New Roman"/>
                <w:b w:val="false"/>
                <w:i w:val="false"/>
                <w:color w:val="000000"/>
                <w:sz w:val="20"/>
              </w:rPr>
              <w:t>
вознаграждений</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w:t>
            </w:r>
          </w:p>
          <w:p>
            <w:pPr>
              <w:spacing w:after="20"/>
              <w:ind w:left="20"/>
              <w:jc w:val="both"/>
            </w:pPr>
            <w:r>
              <w:rPr>
                <w:rFonts w:ascii="Times New Roman"/>
                <w:b w:val="false"/>
                <w:i w:val="false"/>
                <w:color w:val="000000"/>
                <w:sz w:val="20"/>
              </w:rPr>
              <w:t>
услуг</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w:t>
            </w:r>
          </w:p>
          <w:p>
            <w:pPr>
              <w:spacing w:after="20"/>
              <w:ind w:left="20"/>
              <w:jc w:val="both"/>
            </w:pPr>
            <w:r>
              <w:rPr>
                <w:rFonts w:ascii="Times New Roman"/>
                <w:b w:val="false"/>
                <w:i w:val="false"/>
                <w:color w:val="000000"/>
                <w:sz w:val="20"/>
              </w:rPr>
              <w:t>
активов (РБА).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доходов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w:t>
            </w:r>
          </w:p>
          <w:p>
            <w:pPr>
              <w:spacing w:after="20"/>
              <w:ind w:left="20"/>
              <w:jc w:val="both"/>
            </w:pPr>
            <w:r>
              <w:rPr>
                <w:rFonts w:ascii="Times New Roman"/>
                <w:b w:val="false"/>
                <w:i w:val="false"/>
                <w:color w:val="000000"/>
                <w:sz w:val="20"/>
              </w:rPr>
              <w:t>
услуг (товаров, работ)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натуральных </w:t>
            </w:r>
          </w:p>
          <w:p>
            <w:pPr>
              <w:spacing w:after="20"/>
              <w:ind w:left="20"/>
              <w:jc w:val="both"/>
            </w:pPr>
            <w:r>
              <w:rPr>
                <w:rFonts w:ascii="Times New Roman"/>
                <w:b w:val="false"/>
                <w:i w:val="false"/>
                <w:color w:val="000000"/>
                <w:sz w:val="20"/>
              </w:rPr>
              <w:t>
показателях</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на ед.</w:t>
            </w:r>
          </w:p>
          <w:p>
            <w:pPr>
              <w:spacing w:after="20"/>
              <w:ind w:left="20"/>
              <w:jc w:val="both"/>
            </w:pPr>
            <w:r>
              <w:rPr>
                <w:rFonts w:ascii="Times New Roman"/>
                <w:b w:val="false"/>
                <w:i w:val="false"/>
                <w:color w:val="000000"/>
                <w:sz w:val="20"/>
              </w:rPr>
              <w:t>
оказываемых услуг (товаров,</w:t>
            </w:r>
          </w:p>
          <w:p>
            <w:pPr>
              <w:spacing w:after="20"/>
              <w:ind w:left="20"/>
              <w:jc w:val="both"/>
            </w:pPr>
            <w:r>
              <w:rPr>
                <w:rFonts w:ascii="Times New Roman"/>
                <w:b w:val="false"/>
                <w:i w:val="false"/>
                <w:color w:val="000000"/>
                <w:sz w:val="20"/>
              </w:rPr>
              <w:t>
работ)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Наименование организации ______________________________________</w:t>
      </w:r>
    </w:p>
    <w:p>
      <w:pPr>
        <w:spacing w:after="0"/>
        <w:ind w:left="0"/>
        <w:jc w:val="both"/>
      </w:pPr>
      <w:r>
        <w:rPr>
          <w:rFonts w:ascii="Times New Roman"/>
          <w:b w:val="false"/>
          <w:i w:val="false"/>
          <w:color w:val="000000"/>
          <w:sz w:val="28"/>
        </w:rPr>
        <w:t>
      Адрес 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w:t>
      </w:r>
    </w:p>
    <w:p>
      <w:pPr>
        <w:spacing w:after="0"/>
        <w:ind w:left="0"/>
        <w:jc w:val="both"/>
      </w:pPr>
      <w:r>
        <w:rPr>
          <w:rFonts w:ascii="Times New Roman"/>
          <w:b w:val="false"/>
          <w:i w:val="false"/>
          <w:color w:val="000000"/>
          <w:sz w:val="28"/>
        </w:rPr>
        <w:t>
      Фамилия и телефон исполнителя _________________________________</w:t>
      </w:r>
    </w:p>
    <w:p>
      <w:pPr>
        <w:spacing w:after="0"/>
        <w:ind w:left="0"/>
        <w:jc w:val="both"/>
      </w:pPr>
      <w:r>
        <w:rPr>
          <w:rFonts w:ascii="Times New Roman"/>
          <w:b w:val="false"/>
          <w:i w:val="false"/>
          <w:color w:val="000000"/>
          <w:sz w:val="28"/>
        </w:rPr>
        <w:t>
      Руководитель __________________________________________________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Дата " " ______________ 20 года</w:t>
      </w:r>
    </w:p>
    <w:p>
      <w:pPr>
        <w:spacing w:after="0"/>
        <w:ind w:left="0"/>
        <w:jc w:val="both"/>
      </w:pPr>
      <w:r>
        <w:rPr>
          <w:rFonts w:ascii="Times New Roman"/>
          <w:b w:val="false"/>
          <w:i w:val="false"/>
          <w:color w:val="000000"/>
          <w:sz w:val="28"/>
        </w:rPr>
        <w:t>
      М.П.</w:t>
      </w:r>
    </w:p>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об исполнении тарифной сметы на регулируемые услуги</w:t>
      </w:r>
      <w:r>
        <w:br/>
      </w:r>
      <w:r>
        <w:rPr>
          <w:rFonts w:ascii="Times New Roman"/>
          <w:b/>
          <w:i w:val="false"/>
          <w:color w:val="000000"/>
        </w:rPr>
        <w:t>1. Общие указания</w:t>
      </w:r>
    </w:p>
    <w:p>
      <w:pPr>
        <w:spacing w:after="0"/>
        <w:ind w:left="0"/>
        <w:jc w:val="both"/>
      </w:pPr>
      <w:r>
        <w:rPr>
          <w:rFonts w:ascii="Times New Roman"/>
          <w:b w:val="false"/>
          <w:i w:val="false"/>
          <w:color w:val="000000"/>
          <w:sz w:val="28"/>
        </w:rPr>
        <w:t>
      Настоящее пояснение предназначено для подготовки субъектами естественной монополии, за исключением региональной электросетевой компании, отчета об исполнении тарифной сметы на регулируемые услуги. Тарифная смета – это утверждаемые ведомством уполномоченного органа в разрезе регулируемых услуг (товаров, работ)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ведомством уполномоченного органа.</w:t>
      </w:r>
    </w:p>
    <w:p>
      <w:pPr>
        <w:spacing w:after="0"/>
        <w:ind w:left="0"/>
        <w:jc w:val="both"/>
      </w:pPr>
      <w:r>
        <w:rPr>
          <w:rFonts w:ascii="Times New Roman"/>
          <w:b w:val="false"/>
          <w:i w:val="false"/>
          <w:color w:val="000000"/>
          <w:sz w:val="28"/>
        </w:rPr>
        <w:t>
      При подаче заявки и принятии решения об утверждении проектов тарифов (цен, ставок сборов), в том числе дифференцированных тарифов, а также при рассмотрении отчета об исполнении тарифной сметы, ведомство уполномоченного органа и субъекты естественной монополии руководствуются Особым порядком, иными нормативными правовыми актами в сферах естественных монополий и на регулируемых рынках, включая отраслевые методики расчета тарифов (цен, ставок сборов), в том числе дифференцированных тарифов, а также при рассмотрении отчета об исполнении тарифной сметы, на товары (работы, услуги) субъектов естественной монополии и нормативными правовыми актами, устанавливающими стандарты бухгалтерского учета, налоговым законодательством.</w:t>
      </w:r>
    </w:p>
    <w:p>
      <w:pPr>
        <w:spacing w:after="0"/>
        <w:ind w:left="0"/>
        <w:jc w:val="both"/>
      </w:pPr>
      <w:r>
        <w:rPr>
          <w:rFonts w:ascii="Times New Roman"/>
          <w:b w:val="false"/>
          <w:i w:val="false"/>
          <w:color w:val="000000"/>
          <w:sz w:val="28"/>
        </w:rPr>
        <w:t xml:space="preserve">
      Утверждение тарифов (цен, ставок сборов) или их предельных уровней и тарифных смет на регулируемые услуги (товары, работы) субъекта естественной монополии может производиться не чаще одного раза в двенадцать месяцев, за исключением утверждения тарифов (цен, ставок сборов) и тарифных смет в качестве чрезвычайной регулирующей меры и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18 Закона Республики Казахстан от 9 июля 1998 года "О естественных монополиях и регулируемых рынках". Введение в действие новых тарифов (цен, ставок сборов) и тарифных смет осуществляется с первого числа второго месяца, следующего за месяцем утверждения тарифов (цен, ставок сборов).</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7 Закона Республики Казахстан от 9 июля 1998 года "О естественных монополиях и регулируемых рынках" субъект естественной монополии обязан ежегодно представлять отчет об исполнении тарифной сметы не позднее 1 мая года, следующего за отчетным периодом, за исключением региональной электросетевой компании, с документальными подтверждениями достигнутых фактических показателей и разъяснениями причин, в случае их отклонений от согласованного варианта.</w:t>
      </w:r>
    </w:p>
    <w:p>
      <w:pPr>
        <w:spacing w:after="0"/>
        <w:ind w:left="0"/>
        <w:jc w:val="left"/>
      </w:pPr>
      <w:r>
        <w:rPr>
          <w:rFonts w:ascii="Times New Roman"/>
          <w:b/>
          <w:i w:val="false"/>
          <w:color w:val="000000"/>
        </w:rPr>
        <w:t xml:space="preserve"> 2. Пояснения по заполнению формы</w:t>
      </w:r>
    </w:p>
    <w:p>
      <w:pPr>
        <w:spacing w:after="0"/>
        <w:ind w:left="0"/>
        <w:jc w:val="both"/>
      </w:pPr>
      <w:r>
        <w:rPr>
          <w:rFonts w:ascii="Times New Roman"/>
          <w:b w:val="false"/>
          <w:i w:val="false"/>
          <w:color w:val="000000"/>
          <w:sz w:val="28"/>
        </w:rPr>
        <w:t>
      1 графа – указывается наименование показателей тарифной сметы, утверждаемые ведомством уполномоченного органа в разрезе регулируемых услуг (товаров, работ)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ведомством уполномоченного органа;</w:t>
      </w:r>
    </w:p>
    <w:p>
      <w:pPr>
        <w:spacing w:after="0"/>
        <w:ind w:left="0"/>
        <w:jc w:val="both"/>
      </w:pPr>
      <w:r>
        <w:rPr>
          <w:rFonts w:ascii="Times New Roman"/>
          <w:b w:val="false"/>
          <w:i w:val="false"/>
          <w:color w:val="000000"/>
          <w:sz w:val="28"/>
        </w:rPr>
        <w:t>
      2 графа – указывается единица измерения показателей тарифной сметы;</w:t>
      </w:r>
    </w:p>
    <w:p>
      <w:pPr>
        <w:spacing w:after="0"/>
        <w:ind w:left="0"/>
        <w:jc w:val="both"/>
      </w:pPr>
      <w:r>
        <w:rPr>
          <w:rFonts w:ascii="Times New Roman"/>
          <w:b w:val="false"/>
          <w:i w:val="false"/>
          <w:color w:val="000000"/>
          <w:sz w:val="28"/>
        </w:rPr>
        <w:t>
      3 графа – указывается предусмотренные в утвержденной тарифной смете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w:t>
      </w:r>
    </w:p>
    <w:p>
      <w:pPr>
        <w:spacing w:after="0"/>
        <w:ind w:left="0"/>
        <w:jc w:val="both"/>
      </w:pPr>
      <w:r>
        <w:rPr>
          <w:rFonts w:ascii="Times New Roman"/>
          <w:b w:val="false"/>
          <w:i w:val="false"/>
          <w:color w:val="000000"/>
          <w:sz w:val="28"/>
        </w:rPr>
        <w:t>
      4 графа – указываются фактически сложившиеся показатели тарифной сметы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за период предоставления отчета об исполнении тарифной сметы;</w:t>
      </w:r>
    </w:p>
    <w:p>
      <w:pPr>
        <w:spacing w:after="0"/>
        <w:ind w:left="0"/>
        <w:jc w:val="both"/>
      </w:pPr>
      <w:r>
        <w:rPr>
          <w:rFonts w:ascii="Times New Roman"/>
          <w:b w:val="false"/>
          <w:i w:val="false"/>
          <w:color w:val="000000"/>
          <w:sz w:val="28"/>
        </w:rPr>
        <w:t>
      5 графа – указывается процентное соотношение фактически сложившихся показателей тарифной сметы от утвержденных показателей тарифной смете;</w:t>
      </w:r>
    </w:p>
    <w:p>
      <w:pPr>
        <w:spacing w:after="0"/>
        <w:ind w:left="0"/>
        <w:jc w:val="both"/>
      </w:pPr>
      <w:r>
        <w:rPr>
          <w:rFonts w:ascii="Times New Roman"/>
          <w:b w:val="false"/>
          <w:i w:val="false"/>
          <w:color w:val="000000"/>
          <w:sz w:val="28"/>
        </w:rPr>
        <w:t>
      6 графа – указывается подробное описание причин отклонения показателей тарифной сметы.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утверждения</w:t>
            </w:r>
            <w:r>
              <w:br/>
            </w:r>
            <w:r>
              <w:rPr>
                <w:rFonts w:ascii="Times New Roman"/>
                <w:b w:val="false"/>
                <w:i w:val="false"/>
                <w:color w:val="000000"/>
                <w:sz w:val="20"/>
              </w:rPr>
              <w:t>предельного уровня тарифов</w:t>
            </w:r>
            <w:r>
              <w:br/>
            </w:r>
            <w:r>
              <w:rPr>
                <w:rFonts w:ascii="Times New Roman"/>
                <w:b w:val="false"/>
                <w:i w:val="false"/>
                <w:color w:val="000000"/>
                <w:sz w:val="20"/>
              </w:rPr>
              <w:t>(цен, ставок сборов) и тарифных</w:t>
            </w:r>
            <w:r>
              <w:br/>
            </w:r>
            <w:r>
              <w:rPr>
                <w:rFonts w:ascii="Times New Roman"/>
                <w:b w:val="false"/>
                <w:i w:val="false"/>
                <w:color w:val="000000"/>
                <w:sz w:val="20"/>
              </w:rPr>
              <w:t>смет на регулируемые услуги</w:t>
            </w:r>
            <w:r>
              <w:br/>
            </w:r>
            <w:r>
              <w:rPr>
                <w:rFonts w:ascii="Times New Roman"/>
                <w:b w:val="false"/>
                <w:i w:val="false"/>
                <w:color w:val="000000"/>
                <w:sz w:val="20"/>
              </w:rPr>
              <w:t>(товары, работы) субъектов</w:t>
            </w:r>
            <w:r>
              <w:br/>
            </w:r>
            <w:r>
              <w:rPr>
                <w:rFonts w:ascii="Times New Roman"/>
                <w:b w:val="false"/>
                <w:i w:val="false"/>
                <w:color w:val="000000"/>
                <w:sz w:val="20"/>
              </w:rPr>
              <w:t>естественных монополий</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Сведения о фактической выплате наступивших обязательств по займам</w:t>
      </w:r>
    </w:p>
    <w:p>
      <w:pPr>
        <w:spacing w:after="0"/>
        <w:ind w:left="0"/>
        <w:jc w:val="both"/>
      </w:pPr>
      <w:r>
        <w:rPr>
          <w:rFonts w:ascii="Times New Roman"/>
          <w:b w:val="false"/>
          <w:i w:val="false"/>
          <w:color w:val="000000"/>
          <w:sz w:val="28"/>
        </w:rPr>
        <w:t>
      Отчетный период 20 ___ г.</w:t>
      </w:r>
    </w:p>
    <w:p>
      <w:pPr>
        <w:spacing w:after="0"/>
        <w:ind w:left="0"/>
        <w:jc w:val="both"/>
      </w:pPr>
      <w:r>
        <w:rPr>
          <w:rFonts w:ascii="Times New Roman"/>
          <w:b w:val="false"/>
          <w:i w:val="false"/>
          <w:color w:val="000000"/>
          <w:sz w:val="28"/>
        </w:rPr>
        <w:t>
      Индекс: ФВЗ-1</w:t>
      </w:r>
    </w:p>
    <w:p>
      <w:pPr>
        <w:spacing w:after="0"/>
        <w:ind w:left="0"/>
        <w:jc w:val="both"/>
      </w:pPr>
      <w:r>
        <w:rPr>
          <w:rFonts w:ascii="Times New Roman"/>
          <w:b w:val="false"/>
          <w:i w:val="false"/>
          <w:color w:val="000000"/>
          <w:sz w:val="28"/>
        </w:rPr>
        <w:t xml:space="preserve">
      Периодичность: квартальная </w:t>
      </w:r>
    </w:p>
    <w:p>
      <w:pPr>
        <w:spacing w:after="0"/>
        <w:ind w:left="0"/>
        <w:jc w:val="both"/>
      </w:pPr>
      <w:r>
        <w:rPr>
          <w:rFonts w:ascii="Times New Roman"/>
          <w:b w:val="false"/>
          <w:i w:val="false"/>
          <w:color w:val="000000"/>
          <w:sz w:val="28"/>
        </w:rPr>
        <w:t>
      Представляют: субъекты естественных монополий, имеющим</w:t>
      </w:r>
    </w:p>
    <w:p>
      <w:pPr>
        <w:spacing w:after="0"/>
        <w:ind w:left="0"/>
        <w:jc w:val="both"/>
      </w:pPr>
      <w:r>
        <w:rPr>
          <w:rFonts w:ascii="Times New Roman"/>
          <w:b w:val="false"/>
          <w:i w:val="false"/>
          <w:color w:val="000000"/>
          <w:sz w:val="28"/>
        </w:rPr>
        <w:t>
      инвестиционную программу (проект)</w:t>
      </w:r>
    </w:p>
    <w:p>
      <w:pPr>
        <w:spacing w:after="0"/>
        <w:ind w:left="0"/>
        <w:jc w:val="both"/>
      </w:pPr>
      <w:r>
        <w:rPr>
          <w:rFonts w:ascii="Times New Roman"/>
          <w:b w:val="false"/>
          <w:i w:val="false"/>
          <w:color w:val="000000"/>
          <w:sz w:val="28"/>
        </w:rPr>
        <w:t>
      Куда представляется форма: Комитет по регулированию</w:t>
      </w:r>
    </w:p>
    <w:p>
      <w:pPr>
        <w:spacing w:after="0"/>
        <w:ind w:left="0"/>
        <w:jc w:val="both"/>
      </w:pPr>
      <w:r>
        <w:rPr>
          <w:rFonts w:ascii="Times New Roman"/>
          <w:b w:val="false"/>
          <w:i w:val="false"/>
          <w:color w:val="000000"/>
          <w:sz w:val="28"/>
        </w:rPr>
        <w:t>
      естественных монополий и защите конкуренции Министерства национальной</w:t>
      </w:r>
    </w:p>
    <w:p>
      <w:pPr>
        <w:spacing w:after="0"/>
        <w:ind w:left="0"/>
        <w:jc w:val="both"/>
      </w:pPr>
      <w:r>
        <w:rPr>
          <w:rFonts w:ascii="Times New Roman"/>
          <w:b w:val="false"/>
          <w:i w:val="false"/>
          <w:color w:val="000000"/>
          <w:sz w:val="28"/>
        </w:rPr>
        <w:t>
      экономики Республики Казахстан</w:t>
      </w:r>
    </w:p>
    <w:p>
      <w:pPr>
        <w:spacing w:after="0"/>
        <w:ind w:left="0"/>
        <w:jc w:val="both"/>
      </w:pPr>
      <w:r>
        <w:rPr>
          <w:rFonts w:ascii="Times New Roman"/>
          <w:b w:val="false"/>
          <w:i w:val="false"/>
          <w:color w:val="000000"/>
          <w:sz w:val="28"/>
        </w:rPr>
        <w:t>
      Срок представления: – ежеквартально до 25 числа, следующего за</w:t>
      </w:r>
    </w:p>
    <w:p>
      <w:pPr>
        <w:spacing w:after="0"/>
        <w:ind w:left="0"/>
        <w:jc w:val="both"/>
      </w:pPr>
      <w:r>
        <w:rPr>
          <w:rFonts w:ascii="Times New Roman"/>
          <w:b w:val="false"/>
          <w:i w:val="false"/>
          <w:color w:val="000000"/>
          <w:sz w:val="28"/>
        </w:rPr>
        <w:t>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510"/>
        <w:gridCol w:w="1522"/>
        <w:gridCol w:w="1522"/>
        <w:gridCol w:w="1522"/>
        <w:gridCol w:w="1522"/>
        <w:gridCol w:w="1849"/>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 за кредиты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комиссионных выплат, премий</w:t>
            </w:r>
          </w:p>
          <w:p>
            <w:pPr>
              <w:spacing w:after="20"/>
              <w:ind w:left="20"/>
              <w:jc w:val="both"/>
            </w:pPr>
            <w:r>
              <w:rPr>
                <w:rFonts w:ascii="Times New Roman"/>
                <w:b w:val="false"/>
                <w:i w:val="false"/>
                <w:color w:val="000000"/>
                <w:sz w:val="20"/>
              </w:rPr>
              <w:t>
и т.д.</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суммы займа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в резервный</w:t>
            </w:r>
          </w:p>
          <w:p>
            <w:pPr>
              <w:spacing w:after="20"/>
              <w:ind w:left="20"/>
              <w:jc w:val="both"/>
            </w:pPr>
            <w:r>
              <w:rPr>
                <w:rFonts w:ascii="Times New Roman"/>
                <w:b w:val="false"/>
                <w:i w:val="false"/>
                <w:color w:val="000000"/>
                <w:sz w:val="20"/>
              </w:rPr>
              <w:t>
фонд</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средств в резервном</w:t>
            </w:r>
          </w:p>
          <w:p>
            <w:pPr>
              <w:spacing w:after="20"/>
              <w:ind w:left="20"/>
              <w:jc w:val="both"/>
            </w:pPr>
            <w:r>
              <w:rPr>
                <w:rFonts w:ascii="Times New Roman"/>
                <w:b w:val="false"/>
                <w:i w:val="false"/>
                <w:color w:val="000000"/>
                <w:sz w:val="20"/>
              </w:rPr>
              <w:t>
фонде на конец отчетного</w:t>
            </w:r>
          </w:p>
          <w:p>
            <w:pPr>
              <w:spacing w:after="20"/>
              <w:ind w:left="20"/>
              <w:jc w:val="both"/>
            </w:pPr>
            <w:r>
              <w:rPr>
                <w:rFonts w:ascii="Times New Roman"/>
                <w:b w:val="false"/>
                <w:i w:val="false"/>
                <w:color w:val="000000"/>
                <w:sz w:val="20"/>
              </w:rPr>
              <w:t>
периода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начисления</w:t>
            </w:r>
          </w:p>
          <w:p>
            <w:pPr>
              <w:spacing w:after="20"/>
              <w:ind w:left="20"/>
              <w:jc w:val="both"/>
            </w:pPr>
            <w:r>
              <w:rPr>
                <w:rFonts w:ascii="Times New Roman"/>
                <w:b w:val="false"/>
                <w:i w:val="false"/>
                <w:color w:val="000000"/>
                <w:sz w:val="20"/>
              </w:rPr>
              <w:t>
вознаграждения на накопленные средства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w:t>
      </w:r>
    </w:p>
    <w:p>
      <w:pPr>
        <w:spacing w:after="0"/>
        <w:ind w:left="0"/>
        <w:jc w:val="both"/>
      </w:pPr>
      <w:r>
        <w:rPr>
          <w:rFonts w:ascii="Times New Roman"/>
          <w:b w:val="false"/>
          <w:i w:val="false"/>
          <w:color w:val="000000"/>
          <w:sz w:val="28"/>
        </w:rPr>
        <w:t>
      ** Указывать курс тенге к доллару США.</w:t>
      </w:r>
    </w:p>
    <w:p>
      <w:pPr>
        <w:spacing w:after="0"/>
        <w:ind w:left="0"/>
        <w:jc w:val="both"/>
      </w:pPr>
      <w:r>
        <w:rPr>
          <w:rFonts w:ascii="Times New Roman"/>
          <w:b w:val="false"/>
          <w:i w:val="false"/>
          <w:color w:val="000000"/>
          <w:sz w:val="28"/>
        </w:rPr>
        <w:t>
      Наименование организации ______________________________________</w:t>
      </w:r>
    </w:p>
    <w:p>
      <w:pPr>
        <w:spacing w:after="0"/>
        <w:ind w:left="0"/>
        <w:jc w:val="both"/>
      </w:pPr>
      <w:r>
        <w:rPr>
          <w:rFonts w:ascii="Times New Roman"/>
          <w:b w:val="false"/>
          <w:i w:val="false"/>
          <w:color w:val="000000"/>
          <w:sz w:val="28"/>
        </w:rPr>
        <w:t>
      Адрес 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w:t>
      </w:r>
    </w:p>
    <w:p>
      <w:pPr>
        <w:spacing w:after="0"/>
        <w:ind w:left="0"/>
        <w:jc w:val="both"/>
      </w:pPr>
      <w:r>
        <w:rPr>
          <w:rFonts w:ascii="Times New Roman"/>
          <w:b w:val="false"/>
          <w:i w:val="false"/>
          <w:color w:val="000000"/>
          <w:sz w:val="28"/>
        </w:rPr>
        <w:t>
      Фамилия и телефон исполнителя _________________________________</w:t>
      </w:r>
    </w:p>
    <w:p>
      <w:pPr>
        <w:spacing w:after="0"/>
        <w:ind w:left="0"/>
        <w:jc w:val="both"/>
      </w:pPr>
      <w:r>
        <w:rPr>
          <w:rFonts w:ascii="Times New Roman"/>
          <w:b w:val="false"/>
          <w:i w:val="false"/>
          <w:color w:val="000000"/>
          <w:sz w:val="28"/>
        </w:rPr>
        <w:t>
      Руководитель __________________________________________________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xml:space="preserve">
      Дата " " ______________ 20 года </w:t>
      </w:r>
    </w:p>
    <w:p>
      <w:pPr>
        <w:spacing w:after="0"/>
        <w:ind w:left="0"/>
        <w:jc w:val="both"/>
      </w:pPr>
      <w:r>
        <w:rPr>
          <w:rFonts w:ascii="Times New Roman"/>
          <w:b w:val="false"/>
          <w:i w:val="false"/>
          <w:color w:val="000000"/>
          <w:sz w:val="28"/>
        </w:rPr>
        <w:t>
      М.П.</w:t>
      </w:r>
    </w:p>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 фактической выплате наступивших обязательств по</w:t>
      </w:r>
      <w:r>
        <w:br/>
      </w:r>
      <w:r>
        <w:rPr>
          <w:rFonts w:ascii="Times New Roman"/>
          <w:b/>
          <w:i w:val="false"/>
          <w:color w:val="000000"/>
        </w:rPr>
        <w:t>займам</w:t>
      </w:r>
      <w:r>
        <w:br/>
      </w:r>
      <w:r>
        <w:rPr>
          <w:rFonts w:ascii="Times New Roman"/>
          <w:b/>
          <w:i w:val="false"/>
          <w:color w:val="000000"/>
        </w:rPr>
        <w:t>1. Общие указания</w:t>
      </w:r>
    </w:p>
    <w:p>
      <w:pPr>
        <w:spacing w:after="0"/>
        <w:ind w:left="0"/>
        <w:jc w:val="both"/>
      </w:pPr>
      <w:r>
        <w:rPr>
          <w:rFonts w:ascii="Times New Roman"/>
          <w:b w:val="false"/>
          <w:i w:val="false"/>
          <w:color w:val="000000"/>
          <w:sz w:val="28"/>
        </w:rPr>
        <w:t>
      Настоящее пояснение предназначено для подготовки субъектами естественной монополии информации о фактической выплате наступивших обязательств по займам.</w:t>
      </w:r>
    </w:p>
    <w:p>
      <w:pPr>
        <w:spacing w:after="0"/>
        <w:ind w:left="0"/>
        <w:jc w:val="both"/>
      </w:pPr>
      <w:r>
        <w:rPr>
          <w:rFonts w:ascii="Times New Roman"/>
          <w:b w:val="false"/>
          <w:i w:val="false"/>
          <w:color w:val="000000"/>
          <w:sz w:val="28"/>
        </w:rPr>
        <w:t>
      Указанная информация представляется субъектами естественной монополии, имеющим инвестиционную программу (проект) ежеквартально до 25 числа, следующего за отчетным периодом, с документальными подтверждениями достигнутых фактических показателей и разъяснениями причин, в случае их отклонений от согласованного варианта.</w:t>
      </w:r>
    </w:p>
    <w:p>
      <w:pPr>
        <w:spacing w:after="0"/>
        <w:ind w:left="0"/>
        <w:jc w:val="left"/>
      </w:pPr>
      <w:r>
        <w:rPr>
          <w:rFonts w:ascii="Times New Roman"/>
          <w:b/>
          <w:i w:val="false"/>
          <w:color w:val="000000"/>
        </w:rPr>
        <w:t xml:space="preserve"> 2. Пояснение по заполнению формы</w:t>
      </w:r>
    </w:p>
    <w:p>
      <w:pPr>
        <w:spacing w:after="0"/>
        <w:ind w:left="0"/>
        <w:jc w:val="both"/>
      </w:pPr>
      <w:r>
        <w:rPr>
          <w:rFonts w:ascii="Times New Roman"/>
          <w:b w:val="false"/>
          <w:i w:val="false"/>
          <w:color w:val="000000"/>
          <w:sz w:val="28"/>
        </w:rPr>
        <w:t>
      В предельный уровень тарифов (цен, ставок сборов) включаются затраты на выплату вознаграждений за кредиты для реализации инвестиционной программы (проекта). Изменение размера вознаграждений (проценты за кредиты, комиссионные выплаты) по полученным кредитам в период реализации инвестиционной программы (проекта) допускается только в сторону снижения.</w:t>
      </w:r>
    </w:p>
    <w:p>
      <w:pPr>
        <w:spacing w:after="0"/>
        <w:ind w:left="0"/>
        <w:jc w:val="both"/>
      </w:pPr>
      <w:r>
        <w:rPr>
          <w:rFonts w:ascii="Times New Roman"/>
          <w:b w:val="false"/>
          <w:i w:val="false"/>
          <w:color w:val="000000"/>
          <w:sz w:val="28"/>
        </w:rPr>
        <w:t>
      Вознаграждения за кредиты, полученные в иностранной валюте, включаются в предельный уровень тарифов (цен, ставок сборов) с учетом прогнозируемого изменения курса тенге к иностранной валюте на основании основных показателей прогноза социально-экономического развития Республики Казахстан (инфляция).</w:t>
      </w:r>
    </w:p>
    <w:p>
      <w:pPr>
        <w:spacing w:after="0"/>
        <w:ind w:left="0"/>
        <w:jc w:val="both"/>
      </w:pPr>
      <w:r>
        <w:rPr>
          <w:rFonts w:ascii="Times New Roman"/>
          <w:b w:val="false"/>
          <w:i w:val="false"/>
          <w:color w:val="000000"/>
          <w:sz w:val="28"/>
        </w:rPr>
        <w:t>
      1 графа – указывается наименование показателей на выплату вознаграждений за кредиты для реализации инвестиционной программы (проекта), по форме, утвержденной ведомством уполномоченного органа.</w:t>
      </w:r>
    </w:p>
    <w:p>
      <w:pPr>
        <w:spacing w:after="0"/>
        <w:ind w:left="0"/>
        <w:jc w:val="both"/>
      </w:pPr>
      <w:r>
        <w:rPr>
          <w:rFonts w:ascii="Times New Roman"/>
          <w:b w:val="false"/>
          <w:i w:val="false"/>
          <w:color w:val="000000"/>
          <w:sz w:val="28"/>
        </w:rPr>
        <w:t>
      2 графа – указывается единица измерения показателей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 Кроме того, указывается курс тенге к доллару США).</w:t>
      </w:r>
    </w:p>
    <w:p>
      <w:pPr>
        <w:spacing w:after="0"/>
        <w:ind w:left="0"/>
        <w:jc w:val="both"/>
      </w:pPr>
      <w:r>
        <w:rPr>
          <w:rFonts w:ascii="Times New Roman"/>
          <w:b w:val="false"/>
          <w:i w:val="false"/>
          <w:color w:val="000000"/>
          <w:sz w:val="28"/>
        </w:rPr>
        <w:t>
      3 графа – указывается информация показателей на выплату вознаграждений за кредиты по кварталам соответствующего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утверждения</w:t>
            </w:r>
            <w:r>
              <w:br/>
            </w:r>
            <w:r>
              <w:rPr>
                <w:rFonts w:ascii="Times New Roman"/>
                <w:b w:val="false"/>
                <w:i w:val="false"/>
                <w:color w:val="000000"/>
                <w:sz w:val="20"/>
              </w:rPr>
              <w:t>предельного уровня тарифов</w:t>
            </w:r>
            <w:r>
              <w:br/>
            </w:r>
            <w:r>
              <w:rPr>
                <w:rFonts w:ascii="Times New Roman"/>
                <w:b w:val="false"/>
                <w:i w:val="false"/>
                <w:color w:val="000000"/>
                <w:sz w:val="20"/>
              </w:rPr>
              <w:t>(цен, ставок сборов) и тарифных</w:t>
            </w:r>
            <w:r>
              <w:br/>
            </w:r>
            <w:r>
              <w:rPr>
                <w:rFonts w:ascii="Times New Roman"/>
                <w:b w:val="false"/>
                <w:i w:val="false"/>
                <w:color w:val="000000"/>
                <w:sz w:val="20"/>
              </w:rPr>
              <w:t>смет на регулируемые услуги</w:t>
            </w:r>
            <w:r>
              <w:br/>
            </w:r>
            <w:r>
              <w:rPr>
                <w:rFonts w:ascii="Times New Roman"/>
                <w:b w:val="false"/>
                <w:i w:val="false"/>
                <w:color w:val="000000"/>
                <w:sz w:val="20"/>
              </w:rPr>
              <w:t>(товары, работы) субъектов</w:t>
            </w:r>
            <w:r>
              <w:br/>
            </w:r>
            <w:r>
              <w:rPr>
                <w:rFonts w:ascii="Times New Roman"/>
                <w:b w:val="false"/>
                <w:i w:val="false"/>
                <w:color w:val="000000"/>
                <w:sz w:val="20"/>
              </w:rPr>
              <w:t>естественных монополий</w:t>
            </w:r>
          </w:p>
        </w:tc>
      </w:tr>
    </w:tbl>
    <w:p>
      <w:pPr>
        <w:spacing w:after="0"/>
        <w:ind w:left="0"/>
        <w:jc w:val="both"/>
      </w:pPr>
      <w:r>
        <w:rPr>
          <w:rFonts w:ascii="Times New Roman"/>
          <w:b w:val="false"/>
          <w:i w:val="false"/>
          <w:color w:val="000000"/>
          <w:sz w:val="28"/>
        </w:rPr>
        <w:t>
      Тарифная смета ___________________ на</w:t>
      </w:r>
    </w:p>
    <w:p>
      <w:pPr>
        <w:spacing w:after="0"/>
        <w:ind w:left="0"/>
        <w:jc w:val="both"/>
      </w:pPr>
      <w:r>
        <w:rPr>
          <w:rFonts w:ascii="Times New Roman"/>
          <w:b w:val="false"/>
          <w:i w:val="false"/>
          <w:color w:val="000000"/>
          <w:sz w:val="28"/>
        </w:rPr>
        <w:t>
      (наименование СЕМ)</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вида регулируемых услуг (товаров,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2792"/>
        <w:gridCol w:w="2393"/>
        <w:gridCol w:w="285"/>
        <w:gridCol w:w="465"/>
        <w:gridCol w:w="1002"/>
        <w:gridCol w:w="823"/>
        <w:gridCol w:w="882"/>
        <w:gridCol w:w="1061"/>
        <w:gridCol w:w="1083"/>
      </w:tblGrid>
      <w:tr>
        <w:trPr>
          <w:trHeight w:val="30" w:hRule="atLeast"/>
        </w:trPr>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показателей*</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действую</w:t>
            </w:r>
          </w:p>
          <w:p>
            <w:pPr>
              <w:spacing w:after="20"/>
              <w:ind w:left="20"/>
              <w:jc w:val="both"/>
            </w:pPr>
            <w:r>
              <w:rPr>
                <w:rFonts w:ascii="Times New Roman"/>
                <w:b w:val="false"/>
                <w:i w:val="false"/>
                <w:color w:val="000000"/>
                <w:sz w:val="20"/>
              </w:rPr>
              <w:t>
щей</w:t>
            </w:r>
          </w:p>
          <w:p>
            <w:pPr>
              <w:spacing w:after="20"/>
              <w:ind w:left="20"/>
              <w:jc w:val="both"/>
            </w:pPr>
            <w:r>
              <w:rPr>
                <w:rFonts w:ascii="Times New Roman"/>
                <w:b w:val="false"/>
                <w:i w:val="false"/>
                <w:color w:val="000000"/>
                <w:sz w:val="20"/>
              </w:rPr>
              <w:t>
тарифной</w:t>
            </w:r>
          </w:p>
          <w:p>
            <w:pPr>
              <w:spacing w:after="20"/>
              <w:ind w:left="20"/>
              <w:jc w:val="both"/>
            </w:pPr>
            <w:r>
              <w:rPr>
                <w:rFonts w:ascii="Times New Roman"/>
                <w:b w:val="false"/>
                <w:i w:val="false"/>
                <w:color w:val="000000"/>
                <w:sz w:val="20"/>
              </w:rPr>
              <w:t>
смете</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p>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за предшествующий</w:t>
            </w:r>
          </w:p>
          <w:p>
            <w:pPr>
              <w:spacing w:after="20"/>
              <w:ind w:left="20"/>
              <w:jc w:val="both"/>
            </w:pPr>
            <w:r>
              <w:rPr>
                <w:rFonts w:ascii="Times New Roman"/>
                <w:b w:val="false"/>
                <w:i w:val="false"/>
                <w:color w:val="000000"/>
                <w:sz w:val="20"/>
              </w:rPr>
              <w:t>
законченный</w:t>
            </w:r>
          </w:p>
          <w:p>
            <w:pPr>
              <w:spacing w:after="20"/>
              <w:ind w:left="20"/>
              <w:jc w:val="both"/>
            </w:pPr>
            <w:r>
              <w:rPr>
                <w:rFonts w:ascii="Times New Roman"/>
                <w:b w:val="false"/>
                <w:i w:val="false"/>
                <w:color w:val="000000"/>
                <w:sz w:val="20"/>
              </w:rPr>
              <w:t>
год</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w:t>
            </w:r>
          </w:p>
          <w:p>
            <w:pPr>
              <w:spacing w:after="20"/>
              <w:ind w:left="20"/>
              <w:jc w:val="both"/>
            </w:pPr>
            <w:r>
              <w:rPr>
                <w:rFonts w:ascii="Times New Roman"/>
                <w:b w:val="false"/>
                <w:i w:val="false"/>
                <w:color w:val="000000"/>
                <w:sz w:val="20"/>
              </w:rPr>
              <w:t>
за предшествующие</w:t>
            </w:r>
          </w:p>
          <w:p>
            <w:pPr>
              <w:spacing w:after="20"/>
              <w:ind w:left="20"/>
              <w:jc w:val="both"/>
            </w:pPr>
            <w:r>
              <w:rPr>
                <w:rFonts w:ascii="Times New Roman"/>
                <w:b w:val="false"/>
                <w:i w:val="false"/>
                <w:color w:val="000000"/>
                <w:sz w:val="20"/>
              </w:rPr>
              <w:t>
4 законченных квартала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весь</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xml:space="preserve">
реализации </w:t>
            </w:r>
          </w:p>
          <w:p>
            <w:pPr>
              <w:spacing w:after="20"/>
              <w:ind w:left="20"/>
              <w:jc w:val="both"/>
            </w:pPr>
            <w:r>
              <w:rPr>
                <w:rFonts w:ascii="Times New Roman"/>
                <w:b w:val="false"/>
                <w:i w:val="false"/>
                <w:color w:val="000000"/>
                <w:sz w:val="20"/>
              </w:rPr>
              <w:t>
проекта, в том</w:t>
            </w:r>
          </w:p>
          <w:p>
            <w:pPr>
              <w:spacing w:after="20"/>
              <w:ind w:left="20"/>
              <w:jc w:val="both"/>
            </w:pPr>
            <w:r>
              <w:rPr>
                <w:rFonts w:ascii="Times New Roman"/>
                <w:b w:val="false"/>
                <w:i w:val="false"/>
                <w:color w:val="000000"/>
                <w:sz w:val="20"/>
              </w:rPr>
              <w:t>
числе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1-ый </w:t>
            </w:r>
          </w:p>
          <w:p>
            <w:pPr>
              <w:spacing w:after="20"/>
              <w:ind w:left="20"/>
              <w:jc w:val="both"/>
            </w:pPr>
            <w:r>
              <w:rPr>
                <w:rFonts w:ascii="Times New Roman"/>
                <w:b w:val="false"/>
                <w:i w:val="false"/>
                <w:color w:val="000000"/>
                <w:sz w:val="20"/>
              </w:rPr>
              <w:t>
(базовый)</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проекта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проекта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i-й год реализации</w:t>
            </w:r>
          </w:p>
          <w:p>
            <w:pPr>
              <w:spacing w:after="20"/>
              <w:ind w:left="20"/>
              <w:jc w:val="both"/>
            </w:pPr>
            <w:r>
              <w:rPr>
                <w:rFonts w:ascii="Times New Roman"/>
                <w:b w:val="false"/>
                <w:i w:val="false"/>
                <w:color w:val="000000"/>
                <w:sz w:val="20"/>
              </w:rPr>
              <w:t>
проекта</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 ч.</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w:t>
            </w:r>
          </w:p>
          <w:p>
            <w:pPr>
              <w:spacing w:after="20"/>
              <w:ind w:left="20"/>
              <w:jc w:val="both"/>
            </w:pPr>
            <w:r>
              <w:rPr>
                <w:rFonts w:ascii="Times New Roman"/>
                <w:b w:val="false"/>
                <w:i w:val="false"/>
                <w:color w:val="000000"/>
                <w:sz w:val="20"/>
              </w:rPr>
              <w:t>
затраты, всего, в т.ч.</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 ч.</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w:t>
            </w:r>
          </w:p>
          <w:p>
            <w:pPr>
              <w:spacing w:after="20"/>
              <w:ind w:left="20"/>
              <w:jc w:val="both"/>
            </w:pPr>
            <w:r>
              <w:rPr>
                <w:rFonts w:ascii="Times New Roman"/>
                <w:b w:val="false"/>
                <w:i w:val="false"/>
                <w:color w:val="000000"/>
                <w:sz w:val="20"/>
              </w:rPr>
              <w:t>
персонала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p>
            <w:pPr>
              <w:spacing w:after="20"/>
              <w:ind w:left="20"/>
              <w:jc w:val="both"/>
            </w:pPr>
            <w:r>
              <w:rPr>
                <w:rFonts w:ascii="Times New Roman"/>
                <w:b w:val="false"/>
                <w:i w:val="false"/>
                <w:color w:val="000000"/>
                <w:sz w:val="20"/>
              </w:rPr>
              <w:t>
в т. ч.</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w:t>
            </w:r>
          </w:p>
          <w:p>
            <w:pPr>
              <w:spacing w:after="20"/>
              <w:ind w:left="20"/>
              <w:jc w:val="both"/>
            </w:pPr>
            <w:r>
              <w:rPr>
                <w:rFonts w:ascii="Times New Roman"/>
                <w:b w:val="false"/>
                <w:i w:val="false"/>
                <w:color w:val="000000"/>
                <w:sz w:val="20"/>
              </w:rPr>
              <w:t>
ремонт, не</w:t>
            </w:r>
          </w:p>
          <w:p>
            <w:pPr>
              <w:spacing w:after="20"/>
              <w:ind w:left="20"/>
              <w:jc w:val="both"/>
            </w:pPr>
            <w:r>
              <w:rPr>
                <w:rFonts w:ascii="Times New Roman"/>
                <w:b w:val="false"/>
                <w:i w:val="false"/>
                <w:color w:val="000000"/>
                <w:sz w:val="20"/>
              </w:rPr>
              <w:t>
приводящий</w:t>
            </w:r>
          </w:p>
          <w:p>
            <w:pPr>
              <w:spacing w:after="20"/>
              <w:ind w:left="20"/>
              <w:jc w:val="both"/>
            </w:pPr>
            <w:r>
              <w:rPr>
                <w:rFonts w:ascii="Times New Roman"/>
                <w:b w:val="false"/>
                <w:i w:val="false"/>
                <w:color w:val="000000"/>
                <w:sz w:val="20"/>
              </w:rPr>
              <w:t>
к увеличению</w:t>
            </w:r>
          </w:p>
          <w:p>
            <w:pPr>
              <w:spacing w:after="20"/>
              <w:ind w:left="20"/>
              <w:jc w:val="both"/>
            </w:pPr>
            <w:r>
              <w:rPr>
                <w:rFonts w:ascii="Times New Roman"/>
                <w:b w:val="false"/>
                <w:i w:val="false"/>
                <w:color w:val="000000"/>
                <w:sz w:val="20"/>
              </w:rPr>
              <w:t>
стоимости</w:t>
            </w:r>
          </w:p>
          <w:p>
            <w:pPr>
              <w:spacing w:after="20"/>
              <w:ind w:left="20"/>
              <w:jc w:val="both"/>
            </w:pPr>
            <w:r>
              <w:rPr>
                <w:rFonts w:ascii="Times New Roman"/>
                <w:b w:val="false"/>
                <w:i w:val="false"/>
                <w:color w:val="000000"/>
                <w:sz w:val="20"/>
              </w:rPr>
              <w:t>
основных</w:t>
            </w:r>
          </w:p>
          <w:p>
            <w:pPr>
              <w:spacing w:after="20"/>
              <w:ind w:left="20"/>
              <w:jc w:val="both"/>
            </w:pPr>
            <w:r>
              <w:rPr>
                <w:rFonts w:ascii="Times New Roman"/>
                <w:b w:val="false"/>
                <w:i w:val="false"/>
                <w:color w:val="000000"/>
                <w:sz w:val="20"/>
              </w:rPr>
              <w:t>
фондов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периода </w:t>
            </w:r>
          </w:p>
          <w:p>
            <w:pPr>
              <w:spacing w:after="20"/>
              <w:ind w:left="20"/>
              <w:jc w:val="both"/>
            </w:pPr>
            <w:r>
              <w:rPr>
                <w:rFonts w:ascii="Times New Roman"/>
                <w:b w:val="false"/>
                <w:i w:val="false"/>
                <w:color w:val="000000"/>
                <w:sz w:val="20"/>
              </w:rPr>
              <w:t>
всего, в т.ч.</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w:t>
            </w:r>
          </w:p>
          <w:p>
            <w:pPr>
              <w:spacing w:after="20"/>
              <w:ind w:left="20"/>
              <w:jc w:val="both"/>
            </w:pPr>
            <w:r>
              <w:rPr>
                <w:rFonts w:ascii="Times New Roman"/>
                <w:b w:val="false"/>
                <w:i w:val="false"/>
                <w:color w:val="000000"/>
                <w:sz w:val="20"/>
              </w:rPr>
              <w:t>
расходы, всего:</w:t>
            </w:r>
          </w:p>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персонала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p>
            <w:pPr>
              <w:spacing w:after="20"/>
              <w:ind w:left="20"/>
              <w:jc w:val="both"/>
            </w:pPr>
            <w:r>
              <w:rPr>
                <w:rFonts w:ascii="Times New Roman"/>
                <w:b w:val="false"/>
                <w:i w:val="false"/>
                <w:color w:val="000000"/>
                <w:sz w:val="20"/>
              </w:rPr>
              <w:t>
(расшифровать)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выплату</w:t>
            </w:r>
          </w:p>
          <w:p>
            <w:pPr>
              <w:spacing w:after="20"/>
              <w:ind w:left="20"/>
              <w:jc w:val="both"/>
            </w:pPr>
            <w:r>
              <w:rPr>
                <w:rFonts w:ascii="Times New Roman"/>
                <w:b w:val="false"/>
                <w:i w:val="false"/>
                <w:color w:val="000000"/>
                <w:sz w:val="20"/>
              </w:rPr>
              <w:t>
вознаграждений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w:t>
            </w:r>
          </w:p>
          <w:p>
            <w:pPr>
              <w:spacing w:after="20"/>
              <w:ind w:left="20"/>
              <w:jc w:val="both"/>
            </w:pPr>
            <w:r>
              <w:rPr>
                <w:rFonts w:ascii="Times New Roman"/>
                <w:b w:val="false"/>
                <w:i w:val="false"/>
                <w:color w:val="000000"/>
                <w:sz w:val="20"/>
              </w:rPr>
              <w:t>
предоставление услуг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w:t>
            </w:r>
          </w:p>
          <w:p>
            <w:pPr>
              <w:spacing w:after="20"/>
              <w:ind w:left="20"/>
              <w:jc w:val="both"/>
            </w:pPr>
            <w:r>
              <w:rPr>
                <w:rFonts w:ascii="Times New Roman"/>
                <w:b w:val="false"/>
                <w:i w:val="false"/>
                <w:color w:val="000000"/>
                <w:sz w:val="20"/>
              </w:rPr>
              <w:t>
задействованных</w:t>
            </w:r>
          </w:p>
          <w:p>
            <w:pPr>
              <w:spacing w:after="20"/>
              <w:ind w:left="20"/>
              <w:jc w:val="both"/>
            </w:pPr>
            <w:r>
              <w:rPr>
                <w:rFonts w:ascii="Times New Roman"/>
                <w:b w:val="false"/>
                <w:i w:val="false"/>
                <w:color w:val="000000"/>
                <w:sz w:val="20"/>
              </w:rPr>
              <w:t>
активов</w:t>
            </w:r>
          </w:p>
          <w:p>
            <w:pPr>
              <w:spacing w:after="20"/>
              <w:ind w:left="20"/>
              <w:jc w:val="both"/>
            </w:pPr>
            <w:r>
              <w:rPr>
                <w:rFonts w:ascii="Times New Roman"/>
                <w:b w:val="false"/>
                <w:i w:val="false"/>
                <w:color w:val="000000"/>
                <w:sz w:val="20"/>
              </w:rPr>
              <w:t>
(РБА).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w:t>
            </w:r>
          </w:p>
          <w:p>
            <w:pPr>
              <w:spacing w:after="20"/>
              <w:ind w:left="20"/>
              <w:jc w:val="both"/>
            </w:pPr>
            <w:r>
              <w:rPr>
                <w:rFonts w:ascii="Times New Roman"/>
                <w:b w:val="false"/>
                <w:i w:val="false"/>
                <w:color w:val="000000"/>
                <w:sz w:val="20"/>
              </w:rPr>
              <w:t>
услуг (товаров,</w:t>
            </w:r>
          </w:p>
          <w:p>
            <w:pPr>
              <w:spacing w:after="20"/>
              <w:ind w:left="20"/>
              <w:jc w:val="both"/>
            </w:pPr>
            <w:r>
              <w:rPr>
                <w:rFonts w:ascii="Times New Roman"/>
                <w:b w:val="false"/>
                <w:i w:val="false"/>
                <w:color w:val="000000"/>
                <w:sz w:val="20"/>
              </w:rPr>
              <w:t>
работ)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на ед. оказываемых услуг (товаров, работ)</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6682"/>
        <w:gridCol w:w="2690"/>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 ч.</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приводящий к увеличению стоимости основных средств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(планово-предупредительный) ремонт, выполняемый хозяйственным способом, всего, в т. ч.</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затраты при необходимости могут быть расширены или дополнены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