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3619" w14:textId="4fb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нормативной численности персонала субъектов естественных монополий, за исключением региональной электросетевой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марта 2015 года № 222. Зарегистрирован в Министерстве юстиции Республики Казахстан 22 апреля 2015 года № 10767. Утратил силу приказом Министра национальной экономики Республики Казахстан от 21 июля 2015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нормативной численности персонала субъектов естественных монополий, за исключением региональной электросетевой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 марта 2014 года № 49-ОД «Об утверждении Правил утверждения нормативной численности персонала субъектов естественных монополий, за исключением региональной электросетевой компании» (зарегистрированный в Реестре государственной регистрации нормативных правовых актов за № 9296, опубликованный в газете «Казахстанская правда» от 20 августа 2014 года № 161 (27782)).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№ 222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утверждения нормативной численности персонала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монополий, за исключением региональной</w:t>
      </w:r>
      <w:r>
        <w:br/>
      </w:r>
      <w:r>
        <w:rPr>
          <w:rFonts w:ascii="Times New Roman"/>
          <w:b/>
          <w:i w:val="false"/>
          <w:color w:val="000000"/>
        </w:rPr>
        <w:t>
электросетевой компании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 нормативной численности персонала субъектов естественных монополий, за исключением региональной электросетевой компании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представления, рассмотрения заявок на утверждение нормативной численности персонала субъектов естественных монополий, за исключением региональной электросетевой компании и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– официальное обращение (заявление) субъекта естественной монополии в ведомство уполномоченного органа об утверждении нормативной численности персонала субъекта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ведомство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– ведомство государственного органа, осуществляющего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Нормативная численность утверждается ведомством уполномоченного органа на период, не превышающий срок действия </w:t>
      </w:r>
      <w:r>
        <w:rPr>
          <w:rFonts w:ascii="Times New Roman"/>
          <w:b w:val="false"/>
          <w:i w:val="false"/>
          <w:color w:val="000000"/>
          <w:sz w:val="28"/>
        </w:rPr>
        <w:t>типовых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(норм труда), за исключением случаев подачи заявки субъектом естественной монополии (далее – Субъект) на утверждение нормативной численности, предшествующей подаче заявки на утверждение предельного уровня тарифов (цен, ставок сборов) и тарифных смет на регулируемые услуги (товары, работы) Субъекта.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заявки на утверждение нормативной</w:t>
      </w:r>
      <w:r>
        <w:br/>
      </w:r>
      <w:r>
        <w:rPr>
          <w:rFonts w:ascii="Times New Roman"/>
          <w:b/>
          <w:i w:val="false"/>
          <w:color w:val="000000"/>
        </w:rPr>
        <w:t>
численности персонала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представляет в ведомство уполномоченного органа заявку на утверждение нормативной численности персонала (далее – заявка), применяемой при рассмотрении и утверждении тарифов (цен, ставок сборов) на регулируемые услуги (товары, работы), на бумажном и электронном носителях с приложением обосновывающих материалов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с перечнем представляемых материалов на официальном бланке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расчет нормативной численности персонала (необходимые расчеты для определения нормативной численности, перечень оборудования, связанных с оказанием регулируемых услуг и его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сводная таблица планируемой нормативной численности персонала и ранее утвержденной нормативной численности персонала за прошедший период, а также сложившейся фактической численности работников за текущий период и предыдущие два и более лет по филиалам, представительствам и (или) структурным подразделениям Субъекта и категориям персонала (производственного персонала, административного персонала, а также персонала, занятого в обслуживающих хозяйствах и производствах), составленная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типовые нормативы численности персонала, утверждаемые уполномоченными государственными органами соответствующих сфер деятельности по согласованию с уполномоченным государственным органом по труду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утверждения, замены и пересмотра типовых норм и нормативов по труду государственными органами соответствующих сфер деятельности, утвержденными приказом Министра труда и социальной защиты населения Республики Казахстан от 19 июля 2007 года № 166-п, зарегистрированным в Реестре государственной регистрации нормативных правовых актов за № 4866;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отчет по труду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текущий год и предшествующие два и более лет (форма 1-т), утвержденный согласно подпункту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статистике». Для вновь созданных Субъектов – отчет по труду за период работы, с момента образования Субъекта, как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к заявке расчеты и обосновывающие материалы заявки прошиваются, пронумеровываются, заверяются печатью и подписью первого руководителя Субъекта, либо лицом исполняющим его обязанности (с приложением копии приказа Субъекта о возложении обязанностей первого руководителя).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Ведомство уполномоченного органа в течение пяти рабочих дней со дня получения заявки проверяет полноту представленных материалов и в письменной форме уведомляет Субъекта о принятии заявки к рассмотрению либо о мотивированном отказе в ее принятии. Основаниями для отказа в принятии заявки Субъекта к рассмотрению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или представление не в полном объеме документов и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принятии заявки Субъекта к рассмотрению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 обращается в уполномоченный орган с повторной заявкой.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заявки и утверждения нормативной</w:t>
      </w:r>
      <w:r>
        <w:br/>
      </w:r>
      <w:r>
        <w:rPr>
          <w:rFonts w:ascii="Times New Roman"/>
          <w:b/>
          <w:i w:val="false"/>
          <w:color w:val="000000"/>
        </w:rPr>
        <w:t>
численности персонала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рассматривается ведомством уполномоченного органа в течение тридцати календарных дней. Срок рассмотрения заявки исчисляется со дня поступления заявки в ведомство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Ведомство уполномоченного органа проводит корректировку предлагаемого или действующего уровня нормативной численности персонала на основе анализа представленных Субъектом расчетов, типовых нормативов численности и материалов, обосновывающих расчет нормативной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ведомства уполномоченного органа об утверждении нормативной численности персонала Субъекта оформляется приказом ведомства уполномоченного органа.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нормативной численности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субъектов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региональной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электросетевой компании     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Сводная таблица нормативной и фактической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численности за текущий и прошедшие периоды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993"/>
        <w:gridCol w:w="1723"/>
        <w:gridCol w:w="1132"/>
        <w:gridCol w:w="2513"/>
        <w:gridCol w:w="2133"/>
        <w:gridCol w:w="223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нормативная численность персонала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утвержденная нормативная численность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прошедший период</w:t>
            </w:r>
          </w:p>
        </w:tc>
      </w:tr>
      <w:tr>
        <w:trPr>
          <w:trHeight w:val="11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 производствах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хозяйствах</w:t>
            </w:r>
          </w:p>
        </w:tc>
      </w:tr>
      <w:tr>
        <w:trPr>
          <w:trHeight w:val="19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 период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занятый 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и хозяйствах</w:t>
            </w:r>
          </w:p>
        </w:tc>
      </w:tr>
      <w:tr>
        <w:trPr>
          <w:trHeight w:val="10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предыдущие два и более лет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Персонал, занятый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хозяйствах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