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0922" w14:textId="c38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комплексных экологических разрешений и перечня типов промышленных объектов, для которых возможно получение комплексных экологических разрешений вместо разрешений на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января 2015 года № 37. Зарегистрирован в Министерстве юстиции Республики Казахстан 16 апреля 2015 года № 10737. Утратил силу приказом и.о. Министра экологии, геологии и природных ресурсов Республики Казахстан от 9 августа 2021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выдачи комплексных экологических разрешений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типов промышленных объектов, для которых возможно получение комплексных экологических разрешений вместо разрешений на эмиссии в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комплексного экологического разрешения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11.01.2021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выдачи комплексного экологического разрешения (далее –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Кодекс) от 9 января 2007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комплексного экологического разрешения и оказания государственной услуги "Выдача комплексного экологического разрешения" (далее-государственная услуга).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Комитетом экологического регулирования и контроля Министерства экологии, геологии и природных ресурсов Республики Казахстан и его территориальными подразделениями (далее – услугодатель). 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(или) юридическим лицам (далее – услугополучатель).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комплексное экологическое разрешение – единый документ, удостоверяющий право природопользователя осуществлять эмиссии в окружающую среду с условием внедрения наилучших доступных технологий (далее – НДТ) и соблюдения технических удельных нормативов эмиссий, установленных экологическим законодательством Республики Казахстан (далее – ТУН);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электронный кабинет услугополучателя, предназначенный для подачи заявления для внесения сведений в Государственный реестр прав на объекты, охраняемые авторским правом, и их изменений;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услугополучатели подают услугодателю через веб – портал "электронного правительства" www.egov.kz (далее – портал) заявление на получение комплексного экологического разрешения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копий заключений государственной экологической экспертизы на проекты нормативов эмиссий (в случае отсутствия сведений в информационной системе);</w:t>
      </w:r>
    </w:p>
    <w:bookmarkEnd w:id="17"/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программы внедрения наилучших доступных технологий;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подлинника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деятельности.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заявления осуществляется услугополучателем, планирующим внедрение наилучших доступных технологий не позднее, чем за четыре месяца до истечения срока действующего разрешения на эмиссии в окружающую среду. 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комплексного экологического разрешения"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на портале заявление с приложенными документами в день его поступления и направляет исполнителю услугодателя.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разрешениях, заключениях государственной экологической экспертизы на проекты намечаемой деятельности с материалами оценки воздействия на окружающую среду и нормативов эмиссий исполнитель услугодателя получает из соответствующих государственных информационных систем через шлюз "электронного правительства".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со дня регистрации представленных услугополучателем документов проверяет их на предмет полноты. В случае представления неполного пакета документов и (или) документов с истекшим сроком действия направляется отказ в рассмотрении в форме электронного документа, подписанного ЭЦП руководителя услугодателя, с мотивированным обоснованием причин отклонения.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течение 2 (двух) месяцев со дня регистрации заявления рассматривает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По истечении этого срока услугодателем выдается комплексное экологическое разрешение,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услуги, в форме электронного документа, подписанного ЭЦП руководителя услугодателя.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хранится в "личном кабинете" услугополучателя, в форме электронного документа, подписанного ЭЦП уполномоченного лица услугодателя.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являются: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32"/>
    <w:bookmarkStart w:name="z10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руководства услугодателя по адресу, указанному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в рабочие дни.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подписывается услугополучателем.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44"/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8"/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решения услугодателя услугополучатель обращается в суд в соответствии с подпунктом 6) пункта 1 статьи 4 Закона.</w:t>
      </w:r>
    </w:p>
    <w:bookmarkEnd w:id="49"/>
    <w:bookmarkStart w:name="z12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Комплексное экологическое разрешение выдается вместо разрешения на эмиссии в окружающую среду в случаях, когда услугополучатель планирует поэтапное внедрение наилучших доступных технологий, предусматривающих снижение эмиссий в окружающую среду и повышение эффективности использования природных ресурсов либо при соблюдении утвержденных ТУН на момент подачи заявки. </w:t>
      </w:r>
    </w:p>
    <w:bookmarkEnd w:id="51"/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Проекты нормативов эмиссий являются неотъемлемой частью комплексного экологического разрешения. </w:t>
      </w:r>
    </w:p>
    <w:bookmarkEnd w:id="52"/>
    <w:bookmarkStart w:name="z1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Наилучшие доступные технологии, включаемые в комплексное экологическое разрешение, должны соответствовать одному или в совокупности нескольким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наилучших доступных технологий, утвержденного приказом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29 января 2015 года № 10166).</w:t>
      </w:r>
    </w:p>
    <w:bookmarkEnd w:id="53"/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Соответствующие ТУН и условия природопользования указываются в комплексном экологическом разрешении на текущее положение (на момент подачи заявки) и на момент завершения перехода к наилучшим доступным технологиям. </w:t>
      </w:r>
    </w:p>
    <w:bookmarkEnd w:id="54"/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на момент подачи заявки на получение комплексного экологического разрешения в Республике Казахстан утверждены технические удельные нормативы по виду производственного процесса, осуществляемого услугополучателем, в комплексном экологическом разрешении устанавливаются условия по их достижению.</w:t>
      </w:r>
    </w:p>
    <w:bookmarkEnd w:id="55"/>
    <w:bookmarkStart w:name="z1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действия комплексного экологического разрешения услугополучатель обеспечивает своевременное представление услугодателю соответствующих заключений государственной экологической экспертизы в случае истечения срока действия ранее представленных либо в случае корректировки проектной документации.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государственного органа)</w:t>
            </w:r>
          </w:p>
        </w:tc>
      </w:tr>
    </w:tbl>
    <w:bookmarkStart w:name="z13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получение комплексного экологического разрешения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(юридический адрес организации-заявителя или адрес проживания физического лица)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Общая информация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телефоны,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производственного объекта, на который подается заявка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Категория природопользователя (класс опасности производственного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 осуществляется природопользование: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8"/>
        <w:gridCol w:w="1548"/>
        <w:gridCol w:w="1978"/>
        <w:gridCol w:w="1850"/>
        <w:gridCol w:w="1850"/>
        <w:gridCol w:w="1979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промышленной площадки</w:t>
            </w:r>
          </w:p>
          <w:bookmarkEnd w:id="61"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град. мин. сек.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объемы выбросов, сбросов загрязняющих веществ и размещаемых отходов.</w:t>
      </w:r>
    </w:p>
    <w:bookmarkEnd w:id="63"/>
    <w:bookmarkStart w:name="z1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 пункта 3 необходимо указывать в таблицах с буквенным обозначением "а" показатели действующей проектно-нормативной документации на момент подачи заявки на получение КЭР. В случае, если на момент подачи заявки на получение комплексного экологического разрешения предприятие не достигает технических удельных нормативов (ТУН) по виду производственного процесса, утвержденных уполномоченным органом в области охраны окружающей среды, предприятие устанавливает условия по их достижению и разрабатывает Программу внедрения наилучших доступных технологий (НДТ). При этом предприятие обязуется обеспечивать ТУН в период проведения работ по внедрению НДТ, указанные в таблицах с буквенным обозначением "а".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реализации работ, указанных в таблице 10 "Программа перехода к наилучшим доступным технологиям", предприятию необходимо достигнуть и в дальнейшем соблюдать нормативы, указанные в таблицах с буквенным обозначением "б", при этом данные таблиц не должны превышать показателей, утвержденных в ТУН соответствующей отрасли. 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Источники выбросов загрязняющих веществ в атмосферный воздух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823"/>
        <w:gridCol w:w="840"/>
        <w:gridCol w:w="823"/>
        <w:gridCol w:w="1165"/>
        <w:gridCol w:w="970"/>
        <w:gridCol w:w="823"/>
        <w:gridCol w:w="694"/>
        <w:gridCol w:w="1427"/>
        <w:gridCol w:w="821"/>
        <w:gridCol w:w="821"/>
        <w:gridCol w:w="1017"/>
        <w:gridCol w:w="1018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  <w:bookmarkEnd w:id="69"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выделения загрязняющего вещества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оборудование час/год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выброса вредных веществ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 е - схеме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источника выброс а, м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устья трубы,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газовоздушной смеси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загрязняющих веществ мг/нм3 и их выбросы, г/с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м/с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трубу, м3/с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 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мг/нм3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823"/>
        <w:gridCol w:w="840"/>
        <w:gridCol w:w="823"/>
        <w:gridCol w:w="1165"/>
        <w:gridCol w:w="970"/>
        <w:gridCol w:w="823"/>
        <w:gridCol w:w="694"/>
        <w:gridCol w:w="1427"/>
        <w:gridCol w:w="821"/>
        <w:gridCol w:w="821"/>
        <w:gridCol w:w="1017"/>
        <w:gridCol w:w="1018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  <w:bookmarkEnd w:id="72"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выделения загрязняющего вещества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оборудование час/год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выброса вредных веществ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 е - схеме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источника выброс а, м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устья трубы,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газовоздушной смеси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загрязняющих веществ мг/нм3 и их выбросы, г/с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м/с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трубу, м3/с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 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мг/нм3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2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"Источники выбросов загрязняющих веществ в атмосферный воздух" необходимо указать данные по основным источникам загрязнения атмосферного воздуха, с перечнем веществ, которые являются основными, характеризующими применяемые технологии и особенности производственного процесса на объекте, оказывающем негативное воздействие на окружающую среду. При заполнении таблицы следует внести наименование переделов основного производства предприятия, указать наименование цеха или участка, к которому относятся основные источники, внести основные параметры выброса газовоздушной смеси, перечень загрязняющих веществ и их концентрации и выбросы, в соответствии с утвержденными ТУН.</w:t>
      </w:r>
    </w:p>
    <w:bookmarkEnd w:id="75"/>
    <w:bookmarkStart w:name="z2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Характеристика газоочистных установок</w:t>
      </w:r>
    </w:p>
    <w:bookmarkEnd w:id="76"/>
    <w:bookmarkStart w:name="z2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2316"/>
        <w:gridCol w:w="1263"/>
        <w:gridCol w:w="3060"/>
        <w:gridCol w:w="1965"/>
        <w:gridCol w:w="2433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газоочистных установок</w:t>
            </w:r>
          </w:p>
          <w:bookmarkEnd w:id="78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по которым производится очистка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обеспеченности газоочисткой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эксплуатационная степень очистки/ максимальная степень очистки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выделения загрязняющего вещества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 - схеме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456"/>
        <w:gridCol w:w="1339"/>
        <w:gridCol w:w="3246"/>
        <w:gridCol w:w="2085"/>
        <w:gridCol w:w="1835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газоочистных установок</w:t>
            </w:r>
          </w:p>
          <w:bookmarkEnd w:id="81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по которым производится очистка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обеспеченности газоочисткой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эксплуатационная степень очистки/ максимальная степень очистки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выделения загрязняющего вещества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карте-схеме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3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3 "Характеристика газоочистных установок" необходимо внести данные по очистным сооружениям, установленным для очистки уходящей газовоздушной смеси от основных источников загрязнения предприятия, которые представлены в таблице 2. </w:t>
      </w:r>
    </w:p>
    <w:bookmarkEnd w:id="84"/>
    <w:bookmarkStart w:name="z3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Объем выбросов загрязняющих веществ в атмосферу</w:t>
      </w:r>
    </w:p>
    <w:bookmarkEnd w:id="85"/>
    <w:bookmarkStart w:name="z3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1510"/>
        <w:gridCol w:w="3659"/>
        <w:gridCol w:w="1510"/>
        <w:gridCol w:w="1090"/>
        <w:gridCol w:w="1511"/>
      </w:tblGrid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загрязняющего вещества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атмосферу, тонн/год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показатели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значение ТУН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8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89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460"/>
        <w:gridCol w:w="1460"/>
        <w:gridCol w:w="3538"/>
        <w:gridCol w:w="1460"/>
        <w:gridCol w:w="1461"/>
        <w:gridCol w:w="1461"/>
      </w:tblGrid>
      <w:tr>
        <w:trPr>
          <w:trHeight w:val="3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загрязняющего вещества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атмосферу, тонн/год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ТУН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9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4"/>
    <w:bookmarkStart w:name="z4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4 "Объем выбросов загрязняющих веществ в атмосферу" требуется указать данные валовых выбросов загрязняющих веществ, согласно перечня в соответствии с утвержденными ТУН, образующихся от всего предприятия или от основных источников загрязнения (в зависимости от установленных технических удельных нормативов соответствующей отрасли), и произвести расчет удельных показателей эмиссий на общую производительность предприятия. </w:t>
      </w:r>
    </w:p>
    <w:bookmarkEnd w:id="95"/>
    <w:bookmarkStart w:name="z4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Объемы сбросов загрязняющих веществ со сточными водами</w:t>
      </w:r>
    </w:p>
    <w:bookmarkEnd w:id="96"/>
    <w:bookmarkStart w:name="z4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1729"/>
        <w:gridCol w:w="1729"/>
        <w:gridCol w:w="1730"/>
        <w:gridCol w:w="1730"/>
        <w:gridCol w:w="1730"/>
      </w:tblGrid>
      <w:tr>
        <w:trPr>
          <w:trHeight w:val="30" w:hRule="atLeast"/>
        </w:trPr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вещества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загрязняющих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показатели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1</w:t>
            </w:r>
          </w:p>
          <w:bookmarkEnd w:id="100"/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10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2</w:t>
            </w:r>
          </w:p>
          <w:bookmarkEnd w:id="102"/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10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1729"/>
        <w:gridCol w:w="1729"/>
        <w:gridCol w:w="1730"/>
        <w:gridCol w:w="1730"/>
        <w:gridCol w:w="1730"/>
      </w:tblGrid>
      <w:tr>
        <w:trPr>
          <w:trHeight w:val="30" w:hRule="atLeast"/>
        </w:trPr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вещества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загрязняющих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ТУН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1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10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2</w:t>
            </w:r>
          </w:p>
          <w:bookmarkEnd w:id="110"/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11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5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"Объемы сбросов загрязняющих веществ со сточными водами" с буквенным обозначением "а" необходимо внести данные согласно установленных предельно-допустимых сбросов на момент подачи заявки с объемом их сброса. В графе "Технические удельные нормативы" необходимо внести значения согласно расчета на общую производительность предприятия, а также утвержденные ТУН.</w:t>
      </w:r>
    </w:p>
    <w:bookmarkEnd w:id="114"/>
    <w:bookmarkStart w:name="z5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Объемы размещения отходов</w:t>
      </w:r>
    </w:p>
    <w:bookmarkEnd w:id="115"/>
    <w:bookmarkStart w:name="z5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отхода</w:t>
            </w:r>
          </w:p>
          <w:bookmarkEnd w:id="11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отхода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bookmarkEnd w:id="1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1437"/>
        <w:gridCol w:w="2237"/>
        <w:gridCol w:w="1438"/>
        <w:gridCol w:w="1438"/>
        <w:gridCol w:w="1439"/>
      </w:tblGrid>
      <w:tr>
        <w:trPr>
          <w:trHeight w:val="30" w:hRule="atLeast"/>
        </w:trPr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отхода</w:t>
            </w:r>
          </w:p>
          <w:bookmarkEnd w:id="123"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отхода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размещения, тысяч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ТУН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bookmarkEnd w:id="1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bookmarkStart w:name="z6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6 "Объемы размещения отходов" необходимо привести данные по отходам всего предприятия, подлежащим к размещению, в соответствии с перечнем отходов, утвержденных ТУН, с учетом получаемых для размещения соответствующих отходов от сторонних предприятий, на специально оборудованных полигонах или подземных пространствах, и внести суммарный объем в графу 4 "Объем размещения, тысяч тонн", в тоннах за год. Также необходимо провести расчет по определению удельного показателя размещения отходов с учетом установленного объема производства всего предприятия. </w:t>
      </w:r>
    </w:p>
    <w:bookmarkEnd w:id="128"/>
    <w:bookmarkStart w:name="z6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данные по ресурсопотреблению</w:t>
      </w:r>
    </w:p>
    <w:bookmarkEnd w:id="129"/>
    <w:bookmarkStart w:name="z6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bookmarkStart w:name="z6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сырья, материалов/веществ, энергоресурсов необходимо указать справочно. </w:t>
      </w:r>
    </w:p>
    <w:bookmarkEnd w:id="131"/>
    <w:bookmarkStart w:name="z6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Информативные данные по ресурсопотреблению</w:t>
      </w:r>
    </w:p>
    <w:bookmarkEnd w:id="132"/>
    <w:bookmarkStart w:name="z6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8"/>
        <w:gridCol w:w="2781"/>
        <w:gridCol w:w="2781"/>
      </w:tblGrid>
      <w:tr>
        <w:trPr>
          <w:trHeight w:val="30" w:hRule="atLeast"/>
        </w:trPr>
        <w:tc>
          <w:tcPr>
            <w:tcW w:w="6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сырья, материала/ вещества, энергоресурса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8"/>
        <w:gridCol w:w="2781"/>
        <w:gridCol w:w="2781"/>
      </w:tblGrid>
      <w:tr>
        <w:trPr>
          <w:trHeight w:val="30" w:hRule="atLeast"/>
        </w:trPr>
        <w:tc>
          <w:tcPr>
            <w:tcW w:w="6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сырья, материала/ вещества, энергоресурса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8"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9"/>
    <w:bookmarkStart w:name="z7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таблицу 7 "Информативные данные по ресурсопотреблению" необходимо внести перечень всего используемого сырья, материалов, энергии и топлива, требуемых в ходе производственного процесса предприятия. </w:t>
      </w:r>
    </w:p>
    <w:bookmarkEnd w:id="140"/>
    <w:bookmarkStart w:name="z7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Готовность к чрезвычайным ситуациям</w:t>
      </w:r>
    </w:p>
    <w:bookmarkEnd w:id="141"/>
    <w:bookmarkStart w:name="z7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Таблица 8. Программа действий в условиях чрезвычайной ситуации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чрезвычайной ситуации</w:t>
            </w:r>
          </w:p>
          <w:bookmarkEnd w:id="143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по охране окружающей среды и здоровья населения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4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и условия внедрения наилучших доступных технологий</w:t>
      </w:r>
    </w:p>
    <w:bookmarkEnd w:id="145"/>
    <w:bookmarkStart w:name="z7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"/>
    <w:bookmarkStart w:name="z7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Наилучшие доступные технологии в данном контексте являются используемыми и/или планируемыми предприятием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технических удельных нормативов, установленных в Республике Казахстан.</w:t>
      </w:r>
    </w:p>
    <w:bookmarkEnd w:id="147"/>
    <w:bookmarkStart w:name="z7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Наилучшие доступные технологии определяются на основе современных достижений науки и техники, и наилучшего сочетания критериев достижения целей охраны окружающей среды при условии наличия технической возможности ее применения.</w:t>
      </w:r>
    </w:p>
    <w:bookmarkEnd w:id="148"/>
    <w:bookmarkStart w:name="z72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Применяемые на предприятии наилучшие доступные технологии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3376"/>
        <w:gridCol w:w="2170"/>
        <w:gridCol w:w="4584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существующей технологии</w:t>
            </w:r>
          </w:p>
          <w:bookmarkEnd w:id="150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эффекта от внедрения НДТ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внедрения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отнесения внедряемых технологий к категории НДТ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1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2"/>
    <w:bookmarkStart w:name="z7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9 "Применяемые на предприятии наилучшие доступные технологии" необходимо перечислить существующие технологии, которые можно идентифицировать как наилучшие доступные, применение которых позволило достигнуть снижение эмиссий и/или ресурсоҰмкости на предприятии в срок до подачи заявки на комплексное экологическое разрешение. При этом в графе 4 необходимо внести наименование нормативного документа, в котором указывается данное НДТ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29 января 2015 года № 10166).</w:t>
      </w:r>
    </w:p>
    <w:bookmarkEnd w:id="153"/>
    <w:bookmarkStart w:name="z7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Программа внедрения наилучших доступных технологий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3049"/>
        <w:gridCol w:w="1845"/>
        <w:gridCol w:w="2912"/>
        <w:gridCol w:w="3051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внедряемой технологии</w:t>
            </w:r>
          </w:p>
          <w:bookmarkEnd w:id="155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вид эффекта от внедрения планируемых НДТ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внедрения, год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Ориентировочная стоимость (миллионов тенге)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отнесения внедряемых технологий к категории НДТ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6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7"/>
    <w:bookmarkStart w:name="z7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таблицы 10. "Программа внедрения наилучших доступных технологий" внести данные по проведению работ, в результате которых произойдет снижение эмиссий и/или ресурсоҰмкости, при этом для достижения утвержденных ТУН необходимо определение одного или комбинации нескольких технологий на различных переделах и технологических этапах в соответствии с перечнем НДТ Республики Казахстан.</w:t>
      </w:r>
    </w:p>
    <w:bookmarkEnd w:id="158"/>
    <w:bookmarkStart w:name="z7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разрабатывается не более чем на десять лет, при этом, в графе 3 "Срок внедрения, год" необходимо указать календарный год, который соответствует достижению указанного НДТ планируемых параметров. При этом, в программе должно быть учтено мероприятие по озеленению территории.</w:t>
      </w:r>
    </w:p>
    <w:bookmarkEnd w:id="159"/>
    <w:bookmarkStart w:name="z7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внедрения наилучших доступных технологий, указанного в программе внедрения НДТ, предприятие должно разработать и предоставить услугодателю отчет, в котором будут указаны данные по выполненным работам "Программы внедрения наилучших доступных технологий" за весь период.</w:t>
      </w:r>
    </w:p>
    <w:bookmarkEnd w:id="160"/>
    <w:bookmarkStart w:name="z7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отнесения внедряемых технологий к категории наилучших доступных технологий, необходимо указать графе 5 наименование нормативного документа, в котором указывается данное НДТ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29 января 2015 года № 10166).</w:t>
      </w:r>
    </w:p>
    <w:bookmarkEnd w:id="161"/>
    <w:bookmarkStart w:name="z7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Предлагаемые условия природопользования:</w:t>
      </w:r>
    </w:p>
    <w:bookmarkEnd w:id="162"/>
    <w:bookmarkStart w:name="z7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условия природопользования будут соответствовать описанным в настоящей заявке.</w:t>
      </w:r>
    </w:p>
    <w:bookmarkEnd w:id="163"/>
    <w:bookmarkStart w:name="z7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заявке прилагаются следующие документы: </w:t>
      </w:r>
    </w:p>
    <w:bookmarkEnd w:id="164"/>
    <w:bookmarkStart w:name="z7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7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6"/>
    <w:bookmarkStart w:name="z7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67"/>
    <w:bookmarkStart w:name="z7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(уполномоченное лицо) _______________ _________________________</w:t>
      </w:r>
    </w:p>
    <w:bookmarkEnd w:id="168"/>
    <w:bookmarkStart w:name="z7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9"/>
    <w:bookmarkStart w:name="z7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714"/>
        <w:gridCol w:w="91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"Выдача комплексного экологического разрешения"</w:t>
            </w:r>
          </w:p>
          <w:bookmarkEnd w:id="171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2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экологии, геологии и природных ресурсов Республики Казахстан и его территориальные подразделения.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3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 – портал "электронного правительства" www.​egov.​kz.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4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полноту представленных документов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комплексного экологического разрешения в течение двух месяцев со дня регистрации заявления.</w:t>
            </w:r>
          </w:p>
          <w:bookmarkEnd w:id="175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6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7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экологическое разрешение либо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8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9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требованиям Трудового кодекса Республики Казахстан от 23 ноября 2015 года (далее - Кодекс), прием заявления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требованиям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www.​egov.​kz.</w:t>
            </w:r>
          </w:p>
          <w:bookmarkEnd w:id="180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1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получение комплексного экологического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электронных копий заключений государственной экологической экспертизы на проекты нормативов эмиссий (в случае отсутствия сведений в информационной системе);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электронной копии программы внедрения наилучших доступных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электронной копии подлинника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деятельности.</w:t>
            </w:r>
          </w:p>
          <w:bookmarkEnd w:id="182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83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8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№ 00000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А-W</w:t>
            </w:r>
          </w:p>
        </w:tc>
      </w:tr>
    </w:tbl>
    <w:bookmarkStart w:name="z83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Комплексное экологическое разрешение</w:t>
      </w:r>
    </w:p>
    <w:bookmarkEnd w:id="185"/>
    <w:bookmarkStart w:name="z8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(юридический адрес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ИИН, БИН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промышленного объекта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промышленного объекта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достижения установленных показателей в результате внедрения  наилучших доступных технологий ____________год.</w:t>
      </w:r>
    </w:p>
    <w:bookmarkEnd w:id="186"/>
    <w:bookmarkStart w:name="z8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природопользователю разрешается осуществлять следующие действия, сопряженные с эмиссиями (воздействиями) на окружающую среду:</w:t>
      </w:r>
    </w:p>
    <w:bookmarkEnd w:id="187"/>
    <w:bookmarkStart w:name="z8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Производить выбросы загрязняющих веществ в атмосферу в объемах, соответствующих техническим удельным нормативам и не превышающим _______________тонн/единица производимой продукции на текущее положение, _______________тонн/единица производимой продукции на момент полученных после завершения внедрения наилучших доступных технологий, в соответствии с техническими удельными нормативами выбросов веществ,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разрешению.</w:t>
      </w:r>
    </w:p>
    <w:bookmarkEnd w:id="188"/>
    <w:bookmarkStart w:name="z8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Производить сбросы загрязняющих веществ в соответствии c техническими удельными нормативами и не превышающим _____ тонн/единица производимой продукции на текущее положение, ______ тонн/единица производимой продукции на момент полученных после завершения внедрения наилучших доступных технологий, в соответствии с техническими удельными нормативами сбросов загрязняющих веществ,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разрешению.</w:t>
      </w:r>
    </w:p>
    <w:bookmarkEnd w:id="189"/>
    <w:bookmarkStart w:name="z8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Производить размещение (хранение, захоронение) отходов производства и потребления в объемах, соответствующих техническим удельным нормативам и не превышающих _____ тонн/единица производимой продукции (в том числе от размещения отходов сторонних предприятий) на текущий момент, _____ тонн/единица производимой продукции (в том числе и от размещения отходов сторонних предприятий) на момент завершения внедрения наилучших доступных технологий, в соответствии с техническими удельными нормативами размещения отходов,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разрешению.</w:t>
      </w:r>
    </w:p>
    <w:bookmarkEnd w:id="190"/>
    <w:bookmarkStart w:name="z8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Природопользователь обязуется соблюдать следующие условия:</w:t>
      </w:r>
    </w:p>
    <w:bookmarkEnd w:id="191"/>
    <w:bookmarkStart w:name="z8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Выполнение программы по внедрению наилучших доступных технологий,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разрешению;</w:t>
      </w:r>
    </w:p>
    <w:bookmarkEnd w:id="192"/>
    <w:bookmarkStart w:name="z8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Выполнение условий природопользования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разрешению. </w:t>
      </w:r>
    </w:p>
    <w:bookmarkEnd w:id="193"/>
    <w:bookmarkStart w:name="z8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комплексного экологического разрешения на эмиссии в окружающую среду установить до изменения применяемой технологии производства продукции.</w:t>
      </w:r>
    </w:p>
    <w:bookmarkEnd w:id="194"/>
    <w:bookmarkStart w:name="z8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нормативов эмиссий, программы и приложения,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Разрешения, являются неотъемлемой частью Разрешения.</w:t>
      </w:r>
    </w:p>
    <w:bookmarkEnd w:id="195"/>
    <w:bookmarkStart w:name="z8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(уполномоченное лицо) 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196"/>
    <w:bookmarkStart w:name="z8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</w:t>
      </w:r>
    </w:p>
    <w:bookmarkEnd w:id="197"/>
    <w:bookmarkStart w:name="z8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дата выдачи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разрешению</w:t>
            </w:r>
          </w:p>
        </w:tc>
      </w:tr>
    </w:tbl>
    <w:bookmarkStart w:name="z8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Лимиты выбросов загрязняющих веществ в атмосферный воздух</w:t>
      </w:r>
    </w:p>
    <w:bookmarkEnd w:id="199"/>
    <w:bookmarkStart w:name="z8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текущее положение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загрязняющего вещества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загрязняющего вещества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2. Лимиты сбросов загрязняющих веществ со сточными водами</w:t>
      </w:r>
    </w:p>
    <w:bookmarkEnd w:id="206"/>
    <w:bookmarkStart w:name="z8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текущее положение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7"/>
        <w:gridCol w:w="2991"/>
        <w:gridCol w:w="2992"/>
      </w:tblGrid>
      <w:tr>
        <w:trPr>
          <w:trHeight w:val="30" w:hRule="atLeast"/>
        </w:trPr>
        <w:tc>
          <w:tcPr>
            <w:tcW w:w="6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вещества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9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1</w:t>
            </w:r>
          </w:p>
          <w:bookmarkEnd w:id="210"/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211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2</w:t>
            </w:r>
          </w:p>
          <w:bookmarkEnd w:id="212"/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213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214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7"/>
        <w:gridCol w:w="2991"/>
        <w:gridCol w:w="2992"/>
      </w:tblGrid>
      <w:tr>
        <w:trPr>
          <w:trHeight w:val="30" w:hRule="atLeast"/>
        </w:trPr>
        <w:tc>
          <w:tcPr>
            <w:tcW w:w="6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вещества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7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1</w:t>
            </w:r>
          </w:p>
          <w:bookmarkEnd w:id="218"/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219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2</w:t>
            </w:r>
          </w:p>
          <w:bookmarkEnd w:id="220"/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221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222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размещения отходов</w:t>
      </w:r>
    </w:p>
    <w:bookmarkEnd w:id="223"/>
    <w:bookmarkStart w:name="z9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текущее положение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отхода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отхода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разрешению</w:t>
            </w:r>
          </w:p>
        </w:tc>
      </w:tr>
    </w:tbl>
    <w:bookmarkStart w:name="z9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Программа перехода к наилучшим доступным технологиям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3049"/>
        <w:gridCol w:w="1845"/>
        <w:gridCol w:w="2912"/>
        <w:gridCol w:w="3051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внедряемой технологии</w:t>
            </w:r>
          </w:p>
          <w:bookmarkEnd w:id="233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вид эффекта от внедрения планируемых НДТ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внедрения, год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стоимость (миллионов тенге)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отнесения внедряемых технологий к категории НДТ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разрешению</w:t>
            </w:r>
          </w:p>
        </w:tc>
      </w:tr>
    </w:tbl>
    <w:bookmarkStart w:name="z101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природопользования</w:t>
      </w:r>
    </w:p>
    <w:bookmarkEnd w:id="235"/>
    <w:bookmarkStart w:name="z101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6"/>
    <w:bookmarkStart w:name="z101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37</w:t>
            </w:r>
          </w:p>
        </w:tc>
      </w:tr>
    </w:tbl>
    <w:bookmarkStart w:name="z7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типов промышленных объектов, для которых возможно получение</w:t>
      </w:r>
      <w:r>
        <w:br/>
      </w:r>
      <w:r>
        <w:rPr>
          <w:rFonts w:ascii="Times New Roman"/>
          <w:b/>
          <w:i w:val="false"/>
          <w:color w:val="000000"/>
        </w:rPr>
        <w:t>комплексных экологических разрешений вместо разрешений на</w:t>
      </w:r>
      <w:r>
        <w:br/>
      </w:r>
      <w:r>
        <w:rPr>
          <w:rFonts w:ascii="Times New Roman"/>
          <w:b/>
          <w:i w:val="false"/>
          <w:color w:val="000000"/>
        </w:rPr>
        <w:t>эмиссии в окружающую среду</w:t>
      </w:r>
    </w:p>
    <w:bookmarkEnd w:id="238"/>
    <w:bookmarkStart w:name="z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Промышленные объекты энергетической отрасли: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мусоросжигательные установки с номинальной потребляемой тепловой мощностью свыше 50 мегаватт (далее – МВТ);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нефтеперерабатывающие и газоперерабатывающие заводы;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коксовые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установки для газификации угля и сжижения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тепловые электростанции мощностью выше 50 МВт и котельные установки по сжиганию энергетического топлива по выпуску тепловой энергии мощностью выше 200 гигакаллорий в час.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11.01.2021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Промышленные объекты по производству и обработке металлов: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установки для обжига или спекания руд металлов (включая сульфидную руду);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установки для производства чугуна или стали (первичной или вторичной плавки) включая установки непрерывного литья с производительностью свыше 2,5 тонн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установки для обработки черных металлов: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станы горячей прокатки с производительностью свыше 20 тонн нерафинированной стали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кузницы с молотами, энергия которых превышает 50 килоджоуль (кДж) на один молот, где используемая теплотворная способность превышает 20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защитных оплавленных металлических покрытий с производительностью свыше 2 тонн нерафинированной стали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цеха для отливки черных металлов с производительностью свыше 20 тонн в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для производства черновых цветных металлов из руды, обогащенных продуктов или вторичного сырья на основе металлургического, химического или электролитического процессов: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плавки, включая легирование цветных металлов, включая регенерированные продукты (очистку, отливку и т.д.) с производительностью свыше 4 тонн в день для свинца и кадмия или 20 тонн в день для всех прочих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для поверхностной обработки металлов и пластичных материалов на основе электролитического или химического процессов, в которых объем чанов превышает 30 кубических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7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Промышленные объекты по обработке минерального сырья: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установки для производства цементного клинкера в барабанных печах с производительностью свыше 500 тонн в день или извести в барабанных печах с производительностью свыше 50 тонн в день или в иных печах с производительностью свыше 50 тонн в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установки для производства асбеста и изготовления продуктов, основанных на асбесте;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установки для изготовления стекла, включая стекловолокно, с производительностью свыше 20 тонн в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установки для плавки минеральных веществ, включая производство минерального волокна, с производительностью свыше 20 тонн в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для изготовления керамических изделий путем обжига, в частности кровельной черепицы, кирпичей, огнеупоров, изразцов, глиняных или фарфоровых изделий, с производительностью свыше 75 тонн в день и/или емкостью печей свыше 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плотностью садки на одну печь свыше 300 килограмм - кубических метров (кг/м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7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Промышленные объекты химической промышленности: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химические установки для производства основных органических химических веществ, таких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углеводороды (линейные или циклические, насыщенные или ненасыщенные;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алифатические или ароматические);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кислородосодержащие углеводороды, такие как спирты, альдегиды, кетоны, карбоновые кислоты, сложные эфиры, ацетаты, перекиси, эпоксидные смолы;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серные углеводороды;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азотистые углеводороды, такие как амины, амиды, азотистые соединения, нитро-соединения или нитратные соединения, нитрилы, цианаты, изоцианаты;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фосфоросодержащие углеводороды;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галогенные углеводороды;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металлоорганические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пластические материалы (полимеры, синтетические волокна и волокна на основе целлюлозы);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синтетические каучуки;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красители и пигменты;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поверхностно-активные вещества и сурфактанты;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химические установки для производства основных неорганических химических веществ, таких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газы, такие как аммиак, хлор или хлористый водород, фтор или фтористый водород, окислы углерода, серные соединения, окислы азота, водород, сернистый газ, хлорокись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кислоты, такие как хромовая кислота, фтористоводородная кислота, фосфорная кислота, азотная кислота, соляная кислота, серная кислота, олеум, сернистые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щелочи, такие как едкий аммиак, гидроксид калия, гидроксид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соли, такие как нашатырь, хлористый калий, карбонат калия, углекислый натрий, перборат, ляпис;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металлоиды, окислы металлов или иные неорганические соединения, такие как карбид кальция, кремний, карбид кремния;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химические установки для производства удобрений на основе фосфора, азота или калия (простых или сложных минеральных удобрений);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химические установки для производства основных препаратов для защиты растений и биоцидов;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установки, в которых используются химические или биологические процессы для производства основных фармацевтических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химические установки для производства взрывчатых веществ.</w:t>
      </w:r>
    </w:p>
    <w:bookmarkStart w:name="z7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Промышленные объекты по управлению отходами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установки для удаления или утилизации вредных отходов,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производительностью свыше 10 тонн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установки для сжигания бытовых отходов, с производительностью свыше 3 тонн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установки для удаления неопасных отходов, с производительностью свыше 50 тонн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свалки мусора, принимающие более 10 тонн в день или с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вместимостью свыше 25 000 тонн, исключая свалки инертных отходов.</w:t>
      </w:r>
    </w:p>
    <w:bookmarkStart w:name="z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Промышленные объекты иных видов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промышленные предприятия для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целлюлозы из древесины или иных волокнистых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бумаги и картона с производительностью свыше 20 тонн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заводы для первичной обработки (включающей такие процессы, как промывка, беление, мерсеризация) или крашения волокон или тканей с производительностью свыше 10 тонн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заводы для дубления кожевенного сырья с производительностью свыше 12 тонн готовой продукции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скотобойни с производительностью свыше 50 тонн мяса в день: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сырья, предназначенная для изготовления продуктов питания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 животного происхождения (кроме молока) с производительностью свыше 75 тонн готовой продукции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 растительного происхождения с производительностью свыше 300 тонн готовой продукции в день (среднее значение на квартальной основе);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молока, при количестве принимаемого молока свыше 200 тонн в день (среднее значение на годичной основе);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для утилизации или переработки туш животных и отходов животного происхождения с производительностью свыше 10 тонн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установки для интенсивного выращивания домашней птицы или свиней с более чем: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40 000 мест для домашней птицы;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мест для мясных свиней (свыше 30 килограмм), или 750 мест для свиноматок;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установки для поверхностной обработки веществ, предметов или продуктов с использованием органических растворителей, в частности для шлифовки, печати, нанесения покрытий, обезжиривания, влагоизоляции, проклеивания, покраски, смывки или пропитки, с объемом потребления свыше 150 килограмм в час или 200 тонн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установки для производства углерода (антрацита) или углеграфита путем сжигания или графитизации.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