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d2cd" w14:textId="ddfd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агрохимического обследования почв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февраля 2015 года № 4-1/147. Зарегистрирован в Министерстве юстиции Республики Казахстан 10 апреля 2015 года № 10686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агрохимического обследования почв.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                                   С.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«СОГЛАСОВАН»                        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Министр финансов             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Б. Султанов                      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8 марта 2015 года                        10 марта 2015 года     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2015 года № 4-1/147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агрохимического обследования почв 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 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агрохимического обследования почв (далее – Правила) разработаны в соответствии с подпунктом 21)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 и определяют порядок проведения агрохимического обследования почв пашни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учреждением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агрохимического обслуживания сельскохозяйственного производства, определяемым Правительством Республики Казахстан (далее – государственное учреждение).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агрохимическое обследование – определение содержания в почве элементов минерального питания растений, гумуса, рН солевого режима, микроэлементов;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агрохимическая картограмма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карта, показывающая в цветовом выражении степень обеспеченности почвы усвояемыми для растений питательными элементами – гумуса, макро- и микро элементов;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периодичность агрохимического обследования почв – временной период между агрохимическими обследованиями;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действующее вещество – наименование питательного элемента и его содержание в агрохимикатах, выраженное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объединенная проба (образец) – смесь индивидуальных (точечных) проб, отобранных в пределах элементарного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геоинформационная система – автоматизированная система, предназначенная для сбора, обработки, анализа, моделирования и отображения данных, а также решения информационных и расчетных задач с использованием цифровой картографической и текстовой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пашня – земельный участок, систематически обрабатываемый и используемый под посевы сельскохозяйственных культур, включая посевы многолетних трав, а также чистые пары. К пашне не относятся земельные участки сенокосов и пастбищ, занятые посевами предварительных культур (в течение не более трех лет), распаханные с целью коренного улучшения, а также междурядья садов, используемые под посевы;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земельный участок – выделенная в замкнутых границах часть земли, закрепляемая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2007 года порядке за субъектами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план землепользования – картографический документ на землепользование, дающий наглядное представление о пространственном положении и размерах землепользования, содержащий информацию о составе и площадях пашни;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сводная аналитическая ведомость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учетный документ агрохимических показателей, состоящий из результатов проведенных химических анализов на содержание макро- и микроэлементов в почвах;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рабочий участок – часть отдельно обрабатываемой площади пашни, занимающая определенное положение по рельефам (водораздел, склон, понижение склона, пойма) и выделяемая на плане внутрихозяйственного землеустройства при проведении землеустроительных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пахотный слой – слой почвы, подвергаемый регулярной механической обработке;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гумус – органическая, обычно темноокрашенная, часть почвы, образующаяся в результате биохимического превращения растительных и животных 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завалуненность – наличие валунов (камней) в почве;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микроэлементы – химические элементы, содержащиеся в почве, растениях и живых организмах в незначительных количествах;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плавни реки – длительно затапливаемые поймы;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паспортная ведомость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содержащий детальную почвенно-агрохимическую и агрономическую характеристику каждого поля;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орошаемые земли – земли, на которых сельскохозяйственные культуры выращиваются в условиях орошения;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богарные земли – земли, на которых сельскохозяйственные культуры выращиваются без орошения;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почва – особое природное образование, обладающее рядом свойств, присущих живой и неживой природе, состоящее из генетически связанных горизонтов (образуют почвенный профиль), возникающих в результате преобразования поверхностных слоев литосферы под совместным воздействием воды, воздуха и организмов;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комплекс почв – мозаичный почвенный покров, состоящий из чередующихся мелких участков почв различных типов, которые, непрерывно повторяясь, сменяют один другого через несколько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плодородие почвы – способность почвы обеспечивать растения усвояемыми питательными веществами, влагой и давать урожай;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почвенная проба – проба почвенного материала, отобранная для лабораторного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засоление почв – повышение концентрации солей в почве, в конечном итоге делающее невозможным рост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эродирование почв – разрушение, смыв и выдувание верхнего слоя почвы;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чек – участок земли, предназначенный для выращивания риса;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элементарный участок – площадь пашни, характеризуемая одной объединенной пробой.</w:t>
      </w:r>
    </w:p>
    <w:bookmarkEnd w:id="4"/>
    <w:bookmarkStart w:name="z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агрохимического обследования почв</w:t>
      </w:r>
    </w:p>
    <w:bookmarkEnd w:id="5"/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Агрохимическое обследование почв проводится для определения показателей плодородия почв пашни.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показателям плодородия почв относятся содержание: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гумуса;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подвижного фосфора;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обменного калия;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легкогидролизуемого, щелочногидролизуемого и нитратного азота;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рН солевого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подвижных соединений микроэлементов (марганца, цинка, меди, кобальта, молибдена, серы, бора, никеля, железа, хрома);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катионно-анионного состава водной вытяжки.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Территория Республики Казахстан при проведении агрохимического обследования почв делится по степени сложности на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районы степной и полупустынной зон с равнинным, слаборасчлененным рельефом и однородным почвенным покровом при наличии не более десяти процентов комплексов почв на обследуемой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районы лесостепной, степной и полупустынной зон с рельефом, расчлененным на широкие межовражные пространства со слабопологими склонами с однородным почвенным покровом при наличии не более десяти процентов комплексов почв на обследуемой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районы первой категории с площадями комплексов почв или эродированных почв от десяти до двадцати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третья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районы лесостепной и степной зон с волнистым рельефом, расчлененным на обособленные межовражные территории со склонами различной крутизны и длины, неоднородным почвенным покровом;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районы первой категории с площадью комплексов почв или эродированных почв от двадцати до сорока процентов и районы второй категории с площадью комплексов почв или эродированных почв от десяти до двадцати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почвы различной степени завалуненности;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орошаемые земли в хорошем состоянии без признаков вторичного засоления почв;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осушенные земли в хорошем состоянии без признаков вторичного или остаточного заболачивания;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четвертая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районы лесостепной зоны с расчлененным рельефом, пестрыми почвообразующими породами и наличием двадцати - сорока процентов эродированных почв;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степные, полупустынные и пустынные территории с сильной комплексностью и эродированностью почв, составляющих сорок - шестьдесят процентов площади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орошаемые земли, среди которых до пятнадцати процентов площадей почв вторичного засоления;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осушенные земли, имеющие признаки вторичного или остаточного заболачивания до пятнадцати процентов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почвы пойм, плавней и дельт рек с наличием до двадцати процентов засоленных и закустаренных площадей;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расчлененные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пятая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степные, полупустынные и пустынные территории с развитием более шестидесяти процентов комплексности и эродированности почв;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горы и залесенные предгорья;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поймы, плавни рек и дельты со сложным неоднородным почвенным покровом (пестрый механический состав, засоление почв, заболоченность или засоленность более двадцати процентов площади);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орошаемые земли, имеющие более пятнадцати процентов площади с признаками вторичного засоления почв;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осушенные земли, имеющие более пятнадцати процентов площади с признаками вторичного или остаточного заболачивания.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Показатели содержания в пахотном горизонте гумуса, средневзвешенного содержания подвижного фосфора, обменного калия, легкогидролизуемого, щелочногидролизуемого и нитратного азота, рН солевого режима, подвижных соединений микроэлементов (марганца, цинка, меди, кобальта, молибдена, серы, бора, никеля, железа, хрома) определяются по результатам агрохимического обследования почв, проводимого с периодичностью: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богарных земель – семь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орошаемых земель – пять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хозяйств, применяющих химические мелиоранты – пять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государственных сортовых участков, опытных хозяйств – три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заявкам собственников земельных участков и (или) землепользователей допускается сокращение сроков между повторными обследованиями.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Государственным учреждением составляются и согласовываются с управлениями сельского хозяйства областей ежегодные планы проведения обследования, в которых предусматриваются: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объемы площадей пашни, подлежащих обследованию;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очередность проведения работ по районам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периодичность агрохимического обследования почв, указанная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Агрохимическое обследование почв района области, сельского округа проводится в течение одного полевого сезона.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проводит агрохимическое обследование почв за счет бюджетных средств, а также по заявке собственника земельного участка и (или) землепользователя – на </w:t>
      </w:r>
      <w:r>
        <w:rPr>
          <w:rFonts w:ascii="Times New Roman"/>
          <w:b w:val="false"/>
          <w:i w:val="false"/>
          <w:color w:val="000000"/>
          <w:sz w:val="28"/>
        </w:rPr>
        <w:t>платной основе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Перед проведением агрохимического обследования почв за счет бюджетных средств государственное учреждение выдает собственникам земельных участков и (или) землепользователям уведомление об агрохимическом обследовании почв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Картографической основой для проведения агрохимического обследования почв является план землепользования территории с нанесенными на них контурами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Перед началом проведения обследования почв сотрудник государственного учреждения совместно с собственником земельного участка и (или) землепользователем осматривает пашню, определяет тип и вид почв, уточняет визуально и наносит на план землепользования изменения в ситуации (новые дороги, границы полей, лесопосадки), согласует схему рабочих участков и их нумерацию, выделяет зоны особого обследования вдоль дорог и вокруг ферм, водоохранные зоны, уточняет размещение посевов сельскохозяйственных культур за последние три года, их состояние, степень засоренности, проявления фитотоксичности, выделяет поля и производственные участки, систематически удобряющиеся высокими дозами удобрений, отмечает эродированность, закустаренность и завалуненность полей, на орошаемых землях отмечает отложения солей на поверхности.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 всем показателям, определяемым при проведении агрохимического обследования почв, составляются агрохимические картограммы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агрохимических картограмм проводится с помощью геоинформационной системы. Графические результаты полевого обследования с рабочих полевых экземпляров переносятся на цифровую картографическую основу и увязываются с результатами агрохимических анализов почв.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районных агрохимических картограммах за минимальную единицу картографирования принимается поле, на областных агрохимических картограммах – хозяйство.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Отбор объединенных почвенных проб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полях неорошаемого земледелия при низком уровне применения минеральных удобрений почвенные пробы отбирают в течение всего вегетационного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орошаемых землях при систематическом внесении минеральных удобрений не более девяноста килограмм на гектар в действующем веществе почвенные пробы отбираются в течение всего вегетационного периода, более девяноста килограмм на гектар в действующем веществе – весной до внесения удобрений или спустя два и более месяца после их внесения;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орошении напуском или затоплением чеков отбор почвенных проб проводится до затопления или после сброса воды и уборки урожая.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Частота отбора объединенных проб устанавливается в зависимости от пестроты почвенного покрова и количества вносимых удобрений и определяется размером элементарных участков. Каждому элементарному участку присваивается порядковый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 богарных землях сетку элементарных участков наносят с учетом почвенного покрова и положения в рельефе. Максимальная площадь элементарного участка составляет семьдесят пять гектаров, на орошении – десять гектаров.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нанесении сетки элементарных участков на картографическую основу необходимо, чтобы их границы совпадали с границами элементарных участков предыдущего обследования, координатами спутниковой системы навигации.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 каждого элементарного участка отбирают одну объединенную пробу.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Точечные пробы отбирают на глубину пахотного слоя от нуля до двадцати сантиметров с учетом гумусового горизонта.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пестроту почвенного покрова, объединенная проба на всех типах почв составляется из двадцати-двадцати пяти точечных проб. Масса объединенной пробы должна быть не менее пятисот граммов.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Всем отобранным в хозяйстве почвенным пробам присваиваются в очередной последовательности порядковые номера, соответствующие номерам элементарных участков, которые хранятся в течение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Химические анализы почвенных проб по определению органических веществ (гумуса), подвижного фосфора и обменного калия, легкогидролизуемого, щелочногидролизуемого и нитратного азота, рН солевого режима, подвижных соединений марганца, цинка, меди, кобальта, молибдена, серы, бора, никеля, железа и хрома, катионно-анионного состава водной вытяжки проводятся согласно государственным стандартам и методическим указаниям,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Результаты агрохимического обследования почв обобщаются на уровне хозяйства, района, области, республики.</w:t>
      </w:r>
    </w:p>
    <w:bookmarkEnd w:id="6"/>
    <w:bookmarkStart w:name="z10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 </w:t>
      </w:r>
    </w:p>
    <w:bookmarkEnd w:id="7"/>
    <w:bookmarkStart w:name="z10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проведенного агрохимического обследования почв составляются: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сводная аналитическая ведомость,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паспортная ведомость,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агрохимическая картограмма,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 основании документов, указанных в пункте 18 настоящих Правил, составляется агрохимический очерк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предоставляется собственнику земельного участка и (или) землепользователю.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агрохимического очерка составляется заключение о результатах агрохимического обследования почв, которое предоставляется собственнику земельного участка и (или) землепользователю.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по результатам агрохимического обследования почв составляет агрохимический атлас плодородия почв района,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Агрохимический атлас плодородия почв составляется по завершении цикла обследования для каждой области в разрезе районов и для каждого района в разрезе хозяйств.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Агрохимический атлас включает цветные картограммы содержания гумуса, питательных элементов и пояснения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Документы, указанные в пункте 18 настоящих Правил, подлежат хранению в государственном учреждении в течение 7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агрохимического обследования почв хранятся в информационном банке данных об агрохимическом состоянии земель сельскохозяйственного назначения в соответствий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июня 2014 года № 6-1/321 «Об утверждении Правил создания и ведения информационного банка данных об агрохимическом состоянии земель сельскохозяйственного назначения» (зарегистрированный в Реестре государственной регистрации нормативных правовых актов № 9618).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Защита информационного банка данных осуществляется путем шифрования находящейся в нем информации с использованием шифровального ключа, доступ к которому имеет только руководитель государственного учреждения или замещающее его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 запросу государственного инспектора по использованию и охране земель государственное учреждение представляет копии агрохимического очерка с заключением о результатах агрохимического обследования почв.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снижении показателей плодородия почв, установленных при сравнении результатов двух последних агрохимических обследований почв, государственное учреждение информирует об этом государственного инспектора по использованию и охране земель.</w:t>
      </w:r>
    </w:p>
    <w:bookmarkEnd w:id="8"/>
    <w:bookmarkStart w:name="z1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агрохимического обследования почв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        </w:t>
      </w:r>
    </w:p>
    <w:bookmarkStart w:name="z1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Уведомление об агрохимическом обследовании почв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Уведомляем, что следующими представителями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период с ___________ 20__ года по ____________ 20__ года будет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проведено агрохимическое обследование почв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(собственник земельного участка и (или) землепользователь)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обеспечить доступ представителей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на поля, подлежащие обследованию. При проведении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обследования осуществляется участие и контроль со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 земельного участка и (или) землепользователя.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Руководитель:      ____________________________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удостоверяющем личность)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</w:p>
    <w:bookmarkStart w:name="z1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агрохимического обследования почв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               </w:t>
      </w:r>
    </w:p>
    <w:bookmarkStart w:name="z1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Агрохимическая картограмма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2677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677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46"/>
        <w:gridCol w:w="7834"/>
      </w:tblGrid>
      <w:tr>
        <w:trPr>
          <w:trHeight w:val="30" w:hRule="atLeast"/>
        </w:trPr>
        <w:tc>
          <w:tcPr>
            <w:tcW w:w="6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  -     номер поля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      площадь поля</w:t>
            </w:r>
          </w:p>
        </w:tc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гумуса, %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059"/>
              <w:gridCol w:w="2849"/>
              <w:gridCol w:w="2832"/>
            </w:tblGrid>
            <w:tr>
              <w:trPr>
                <w:trHeight w:val="30" w:hRule="atLeast"/>
              </w:trPr>
              <w:tc>
                <w:tcPr>
                  <w:tcW w:w="2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 – 2,0</w:t>
                  </w:r>
                </w:p>
              </w:tc>
              <w:tc>
                <w:tcPr>
                  <w:tcW w:w="2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очень низкое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2,1 – 4,0</w:t>
                  </w:r>
                </w:p>
              </w:tc>
              <w:tc>
                <w:tcPr>
                  <w:tcW w:w="2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низкое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4,1 – 6,0</w:t>
                  </w:r>
                </w:p>
              </w:tc>
              <w:tc>
                <w:tcPr>
                  <w:tcW w:w="2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среднее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6,1 – 8,0</w:t>
                  </w:r>
                </w:p>
              </w:tc>
              <w:tc>
                <w:tcPr>
                  <w:tcW w:w="2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повышенное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8,1 – 10,0</w:t>
                  </w:r>
                </w:p>
              </w:tc>
              <w:tc>
                <w:tcPr>
                  <w:tcW w:w="2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высокое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&gt; 10,0</w:t>
                  </w:r>
                </w:p>
              </w:tc>
              <w:tc>
                <w:tcPr>
                  <w:tcW w:w="2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очень высокое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9"/>
        <w:gridCol w:w="1146"/>
        <w:gridCol w:w="797"/>
        <w:gridCol w:w="1147"/>
        <w:gridCol w:w="3461"/>
      </w:tblGrid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Картограмма содержания гумуса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лабораторией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Агрохимик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Б/М</w:t>
            </w:r>
          </w:p>
        </w:tc>
      </w:tr>
    </w:tbl>
    <w:bookmarkStart w:name="z1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агрохимического обследования почв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  </w:t>
      </w:r>
    </w:p>
    <w:bookmarkStart w:name="z1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 по анализу почвенных проб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Определение органического вещества (гумуса) по методу Тюрина в модификации ЦИНАО. ГОСТ 26213-91;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органического вещества (гумуса) по методу Тюрина в модификации Никитина. ГОСТ 62213-91;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легкогидролизуемого азота по методу Тюрина и Кононовой Практикум по агрохимии: под редакцией Минеева, 2001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щелочногидролизуемого азота по методу Корнфилда; Практикум по агрохимии: под редакцией Минеева, 2001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нитратного азота по методу Грандваль-Ляжу, Практикум по агрохимии: под редакцией Минеева, 2001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нитратов ионометрическим методом. ГОСТ 26951-86;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нитратов по методу ЦИНАО. ГОСТ 26488-85;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подвижного фосфора и калия в карбонатных почвах по методу Мачигина в модификации ЦИНАО. ГОСТ 26205-91;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подвижного фосфора и калия в некарбонатных почвах по методу Чирикова в модификации ЦИНАО. ГОСТ 26204-91;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подвижных соединений фосфора и калия по методу Кирсанова в модификации ЦИНАО. ГОСТ 26207;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фосфора и калия по новой технологии ЦИНАО (на автоматизированной аналитической системе) в вытяжках из почв по методу Чирикову или Мачигину. ОСТ 10 256-2000, ОСТ 10 258-2000;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гумуса методом Тюрина в модификации ЦИНАО (на автоматизированной аналитической системе); Ю.М. Логинов, А.Н. Стрельцов. Автоматизация аналитических работ и приборное обеспечение мониторинга плодородия почв и качества растениеводческой продукции. – М.: Агробизнес – центр, 2010;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тяжелых металлов в почвах (на автоматизированной аналитической системе) Ю.М. Логинов, А.Н. Стрельцов Автоматизация аналитических работ и приборное обеспечение мониторинга плодородия почв и качества растениеводческой продукции. – М.: Агробизнес – центр, 2010;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Автоматизированное определение состава почв на анализаторах PRIMACS</w:t>
      </w:r>
      <w:r>
        <w:rPr>
          <w:rFonts w:ascii="Times New Roman"/>
          <w:b w:val="false"/>
          <w:i w:val="false"/>
          <w:color w:val="000000"/>
          <w:vertAlign w:val="superscript"/>
        </w:rPr>
        <w:t>snc</w:t>
      </w:r>
      <w:r>
        <w:rPr>
          <w:rFonts w:ascii="Times New Roman"/>
          <w:b w:val="false"/>
          <w:i w:val="false"/>
          <w:color w:val="000000"/>
          <w:sz w:val="28"/>
        </w:rPr>
        <w:t>, SKALAR SAN</w:t>
      </w:r>
      <w:r>
        <w:rPr>
          <w:rFonts w:ascii="Times New Roman"/>
          <w:b w:val="false"/>
          <w:i w:val="false"/>
          <w:color w:val="000000"/>
          <w:vertAlign w:val="superscript"/>
        </w:rPr>
        <w:t>++</w:t>
      </w:r>
      <w:r>
        <w:rPr>
          <w:rFonts w:ascii="Times New Roman"/>
          <w:b w:val="false"/>
          <w:i w:val="false"/>
          <w:color w:val="000000"/>
          <w:sz w:val="28"/>
        </w:rPr>
        <w:t>(соответствие международным требованиям ISO, EN, AOAS, ASBC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удельной электрической проводимости, рН солевого режима и плотного остатка водной вытяжки. ГОСТ 26423-85;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удельной электрической проводимости, рН солевого режима и плотного остатка солевой вытяжки. ГОСТ 26483-85;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определения подвижных соединений двух- и трехвалентного железа по Веригиной-Аринушкиной. ГОСТ 27395-87;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влажности, максимальной гигроскопической влажности и влажности устойчивого завядания растений. ГОСТ 28268-89;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тяжелых металлов в почвах сельхозугодий и продукции растениеводства, Методические указания, Москва, 1992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подвижных соединений меди и кобальта по методу Крупского и Александровой в модификации ЦИНАО в карбонатных почвах. ГОСТ 50683-94;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подвижных соединений меди по методу Пейве и Ринькиса в модификации ЦИНАО. ГОСТ 50684-94;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подвижных соединений кобальта по методу Пейве и Ринькиса в модификации ЦИНАО. ГОСТ 50687-94;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подвижных соединений марганца по методу Крупского и Александровой в модификации ЦИНАО в карбонатных почвах. ГОСТ 50685-94;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подвижных соединений марганца по методу Пейве и Ринькиса в модификации ЦИНАО ГОСТ 50682-94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подвижных соединений цинка по методу Крупского и Александровой в модификации ЦИНАО в карбонатных почвах. ГОСТ 50686-94;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подвижных соединений молибдена по методу Григга в модификации ЦИНАО. ГОСТ 50689-94;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Почвы. Определение подвижной серы по методу ЦИНАО. ГОСТ 26490-85;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подвижных соединений бора по методу Бергера и Труога в модификации ЦИНАО. ГОСТ 50688-94;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определения ионов карбонатов и бикарбонатов в водной вытяжке. ГОСТ 26424-85;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определения кальция и магния в водной вытяжке. ГОСТ 26428-85;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определения обменного кальция и обменного (подвижного) магния методами ЦИНАО. ГОСТ 26487-85;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определения иона хлорида в водной вытяжке. ГОСТ 26425-85;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определения иона сульфата в водной вытяжке. ГОСТ 26426-85;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определения натрия и калия в водной вытяжке. ГОСТ 26427-85;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водорастворимых кальция и магния. ГОСТ 27753.9-88.      </w:t>
      </w:r>
    </w:p>
    <w:bookmarkStart w:name="z1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агрохимического обследования почв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Хозяйство__________________________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обследования __________________</w:t>
      </w:r>
    </w:p>
    <w:bookmarkStart w:name="z1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Сводная аналитическая ведомость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Образцы с № _____ по №_______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019"/>
        <w:gridCol w:w="489"/>
        <w:gridCol w:w="940"/>
        <w:gridCol w:w="893"/>
        <w:gridCol w:w="1206"/>
        <w:gridCol w:w="669"/>
        <w:gridCol w:w="1557"/>
        <w:gridCol w:w="1136"/>
        <w:gridCol w:w="585"/>
        <w:gridCol w:w="941"/>
        <w:gridCol w:w="894"/>
        <w:gridCol w:w="1207"/>
        <w:gridCol w:w="671"/>
      </w:tblGrid>
      <w:tr>
        <w:trPr>
          <w:trHeight w:val="30" w:hRule="atLeast"/>
        </w:trPr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Гумус %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Гумус %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 почвы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 почвы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Обследование провел: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удостоверяющем личность), должность)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5"/>
        <w:gridCol w:w="1443"/>
        <w:gridCol w:w="1507"/>
        <w:gridCol w:w="1700"/>
        <w:gridCol w:w="1700"/>
        <w:gridCol w:w="1295"/>
      </w:tblGrid>
      <w:tr>
        <w:trPr>
          <w:trHeight w:val="30" w:hRule="atLeast"/>
        </w:trPr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Гумус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</w:tc>
      </w:tr>
      <w:tr>
        <w:trPr>
          <w:trHeight w:val="30" w:hRule="atLeast"/>
        </w:trPr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Анализы провел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 в документе, удостоверяющем личность), должность)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Сводная аналитическая ведомость по микроэлемент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            Образцы с № _____ по №______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6"/>
        <w:gridCol w:w="1060"/>
        <w:gridCol w:w="661"/>
        <w:gridCol w:w="776"/>
        <w:gridCol w:w="777"/>
        <w:gridCol w:w="869"/>
        <w:gridCol w:w="800"/>
        <w:gridCol w:w="1607"/>
        <w:gridCol w:w="1061"/>
        <w:gridCol w:w="775"/>
        <w:gridCol w:w="959"/>
        <w:gridCol w:w="960"/>
        <w:gridCol w:w="937"/>
        <w:gridCol w:w="892"/>
      </w:tblGrid>
      <w:tr>
        <w:trPr>
          <w:trHeight w:val="30" w:hRule="atLeast"/>
        </w:trPr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 почвы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 почвы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Обследование провел: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 (при наличии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документе, удостоверяющем личность), должность)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0"/>
        <w:gridCol w:w="1114"/>
        <w:gridCol w:w="1308"/>
        <w:gridCol w:w="1308"/>
        <w:gridCol w:w="1115"/>
        <w:gridCol w:w="1115"/>
      </w:tblGrid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Анализы провел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 в документе, удостоверяющем личность), должность)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агрохимического обследования почв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Хозяйство___________________________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обследования____________________    </w:t>
      </w:r>
    </w:p>
    <w:bookmarkStart w:name="z1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Паспортная ведомость</w:t>
      </w:r>
    </w:p>
    <w:bookmarkEnd w:id="19"/>
    <w:bookmarkStart w:name="z1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агрохимические характеристики почв земельных участков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814"/>
        <w:gridCol w:w="1147"/>
        <w:gridCol w:w="925"/>
        <w:gridCol w:w="930"/>
        <w:gridCol w:w="1153"/>
        <w:gridCol w:w="1152"/>
        <w:gridCol w:w="1152"/>
        <w:gridCol w:w="952"/>
        <w:gridCol w:w="1131"/>
        <w:gridCol w:w="730"/>
        <w:gridCol w:w="1155"/>
        <w:gridCol w:w="774"/>
        <w:gridCol w:w="1156"/>
      </w:tblGrid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почвы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N-легкогидролиз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Подвижный фосфор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Обменный 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 почвы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 содержанию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 почвы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 содеранию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 почвы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 содержанию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 содержанию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Микроэлементы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812"/>
        <w:gridCol w:w="923"/>
        <w:gridCol w:w="923"/>
        <w:gridCol w:w="950"/>
        <w:gridCol w:w="1240"/>
        <w:gridCol w:w="884"/>
        <w:gridCol w:w="1196"/>
        <w:gridCol w:w="951"/>
        <w:gridCol w:w="1130"/>
        <w:gridCol w:w="906"/>
        <w:gridCol w:w="1174"/>
        <w:gridCol w:w="952"/>
        <w:gridCol w:w="1131"/>
      </w:tblGrid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почвы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 почвы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 содержанию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 почвы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 содержанию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 почвы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 содержанию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 почвы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 содержанию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 почвы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 содержанию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агрохимического обследования почв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 </w:t>
      </w:r>
    </w:p>
    <w:bookmarkStart w:name="z1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Оформление агрохимического очерка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Титульный лист, утвержденный руководителем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Список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Введение, цели, задачи агрохимического обследования почв.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Основная часть (результаты агрохимических исследований, сведения о собственниках земельных участков и (или) землепользователях, группировки почв, агрохимические картограммы).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Приложения.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