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5bd8" w14:textId="3475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и отбора целевых трансфертов на развитие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февраля 2015 года № 126. Зарегистрирован в Министерстве юстиции Республики Казахстан 31 марта 2015 года № 10593.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46 Бюджетного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и отбора целевых трансфертов на развитие.</w:t>
      </w:r>
    </w:p>
    <w:bookmarkEnd w:id="1"/>
    <w:bookmarkStart w:name="z2"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3"/>
    <w:p>
      <w:pPr>
        <w:spacing w:after="0"/>
        <w:ind w:left="0"/>
        <w:jc w:val="both"/>
      </w:pPr>
      <w:r>
        <w:rPr>
          <w:rFonts w:ascii="Times New Roman"/>
          <w:b w:val="false"/>
          <w:i w:val="false"/>
          <w:color w:val="000000"/>
          <w:sz w:val="28"/>
        </w:rPr>
        <w:t xml:space="preserve">
      3. Настоящий приказ вводится в действие со дня его государственной регистрации.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27 февраля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126</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рассмотрения и отбора целевых трансфертов на развитие</w:t>
      </w:r>
      <w:r>
        <w:br/>
      </w:r>
      <w:r>
        <w:rPr>
          <w:rFonts w:ascii="Times New Roman"/>
          <w:b/>
          <w:i w:val="false"/>
          <w:color w:val="000000"/>
        </w:rPr>
        <w:t>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 в редакции приказа Заместителя Премьер-Министра - Министра финансов РК от 05.07.2022 </w:t>
      </w:r>
      <w:r>
        <w:rPr>
          <w:rFonts w:ascii="Times New Roman"/>
          <w:b w:val="false"/>
          <w:i w:val="false"/>
          <w:color w:val="ff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рассмотрения и отбора целевых трансфертов на развитие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46 Бюджетного кодекса Республики Казахстан и определяют порядок рассмотрения и отбора целевых трансфертов на развитие, передаваемых из вышестоящего бюджета в нижестоящие бюджеты.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
    <w:p>
      <w:pPr>
        <w:spacing w:after="0"/>
        <w:ind w:left="0"/>
        <w:jc w:val="both"/>
      </w:pPr>
      <w:r>
        <w:rPr>
          <w:rFonts w:ascii="Times New Roman"/>
          <w:b w:val="false"/>
          <w:i w:val="false"/>
          <w:color w:val="000000"/>
          <w:sz w:val="28"/>
        </w:rPr>
        <w:t>
      2.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финансов РК от 21.08.2017 </w:t>
      </w:r>
      <w:r>
        <w:rPr>
          <w:rFonts w:ascii="Times New Roman"/>
          <w:b w:val="false"/>
          <w:i w:val="false"/>
          <w:color w:val="000000"/>
          <w:sz w:val="28"/>
        </w:rPr>
        <w:t>№ 506</w:t>
      </w:r>
      <w:r>
        <w:rPr>
          <w:rFonts w:ascii="Times New Roman"/>
          <w:b w:val="false"/>
          <w:i w:val="false"/>
          <w:color w:val="ff0000"/>
          <w:sz w:val="28"/>
        </w:rPr>
        <w:t>.</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Глава 2. Порядок рассмотрения целевых трансфертов на развитие</w:t>
      </w:r>
    </w:p>
    <w:bookmarkEnd w:id="7"/>
    <w:p>
      <w:pPr>
        <w:spacing w:after="0"/>
        <w:ind w:left="0"/>
        <w:jc w:val="both"/>
      </w:pPr>
      <w:r>
        <w:rPr>
          <w:rFonts w:ascii="Times New Roman"/>
          <w:b w:val="false"/>
          <w:i w:val="false"/>
          <w:color w:val="ff0000"/>
          <w:sz w:val="28"/>
        </w:rPr>
        <w:t xml:space="preserve">
      Сноска. Заголовок главы 2 – в редакции приказа Заместителя Премьер-Министра - Министра финансов РК от 05.07.2022 </w:t>
      </w:r>
      <w:r>
        <w:rPr>
          <w:rFonts w:ascii="Times New Roman"/>
          <w:b w:val="false"/>
          <w:i w:val="false"/>
          <w:color w:val="ff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3. Целевые трансферты на развитие нижестоящим бюджетам выделяются при достижении прямых результатов местных бюджетных инвестиций, определенных в бюджетных программах по целевым трансфертам на развитие, выделенным в предыдущий финансовый год. Целевой трансферт на развитие не предоставляется повторно на реализацию тех местных бюджетных инвестиций, по которым в предыдущем финансовом году не достигнуты прямые результаты и не обеспечено софинансирование из местного бюджета.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Администраторы местных бюджетных программ разрабатывают местные бюджетные инвестиции (далее – МБИ)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нормативных правовых актов за № 9938) (далее – Приказ № 129), и формируют перечень МБИ в разрезе бюджетных инвестиций (объектов), который направляют в соответствующий местный уполномоченный орган по государственному планированию.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Местный уполномоченный орган по государственному планированию:</w:t>
      </w:r>
    </w:p>
    <w:bookmarkEnd w:id="10"/>
    <w:bookmarkStart w:name="z8" w:id="11"/>
    <w:p>
      <w:pPr>
        <w:spacing w:after="0"/>
        <w:ind w:left="0"/>
        <w:jc w:val="both"/>
      </w:pPr>
      <w:r>
        <w:rPr>
          <w:rFonts w:ascii="Times New Roman"/>
          <w:b w:val="false"/>
          <w:i w:val="false"/>
          <w:color w:val="000000"/>
          <w:sz w:val="28"/>
        </w:rPr>
        <w:t>
      1) рассматривает перечень МБИ администраторов местных бюджетных программ в разрезе бюджетных инвестиций (объектов);</w:t>
      </w:r>
    </w:p>
    <w:bookmarkEnd w:id="11"/>
    <w:bookmarkStart w:name="z28" w:id="12"/>
    <w:p>
      <w:pPr>
        <w:spacing w:after="0"/>
        <w:ind w:left="0"/>
        <w:jc w:val="both"/>
      </w:pPr>
      <w:r>
        <w:rPr>
          <w:rFonts w:ascii="Times New Roman"/>
          <w:b w:val="false"/>
          <w:i w:val="false"/>
          <w:color w:val="000000"/>
          <w:sz w:val="28"/>
        </w:rPr>
        <w:t xml:space="preserve">
      2) рассматривает МБИ и подготавливает экономическое заключение согласно </w:t>
      </w:r>
      <w:r>
        <w:rPr>
          <w:rFonts w:ascii="Times New Roman"/>
          <w:b w:val="false"/>
          <w:i w:val="false"/>
          <w:color w:val="000000"/>
          <w:sz w:val="28"/>
        </w:rPr>
        <w:t>Приказа № 129</w:t>
      </w:r>
      <w:r>
        <w:rPr>
          <w:rFonts w:ascii="Times New Roman"/>
          <w:b w:val="false"/>
          <w:i w:val="false"/>
          <w:color w:val="000000"/>
          <w:sz w:val="28"/>
        </w:rPr>
        <w:t>;</w:t>
      </w:r>
    </w:p>
    <w:bookmarkEnd w:id="12"/>
    <w:bookmarkStart w:name="z29" w:id="13"/>
    <w:p>
      <w:pPr>
        <w:spacing w:after="0"/>
        <w:ind w:left="0"/>
        <w:jc w:val="both"/>
      </w:pPr>
      <w:r>
        <w:rPr>
          <w:rFonts w:ascii="Times New Roman"/>
          <w:b w:val="false"/>
          <w:i w:val="false"/>
          <w:color w:val="000000"/>
          <w:sz w:val="28"/>
        </w:rPr>
        <w:t>
      3) составляет перечень МБИ в разрезе бюджетных инвестиций (объектов).</w:t>
      </w:r>
    </w:p>
    <w:bookmarkEnd w:id="13"/>
    <w:p>
      <w:pPr>
        <w:spacing w:after="0"/>
        <w:ind w:left="0"/>
        <w:jc w:val="both"/>
      </w:pPr>
      <w:r>
        <w:rPr>
          <w:rFonts w:ascii="Times New Roman"/>
          <w:b w:val="false"/>
          <w:i w:val="false"/>
          <w:color w:val="000000"/>
          <w:sz w:val="28"/>
        </w:rPr>
        <w:t>
      За счет целевых трансфертов на развитие из вышестоящего бюджета реализуются МБИ, соответствующие Национальному плану, стратегическим направлениям и социально-экономическому развитию регионов, планам развития государственных органов, национальным проектам, планам развития области, города республиканского значения, столицы.</w:t>
      </w:r>
    </w:p>
    <w:bookmarkStart w:name="z104" w:id="14"/>
    <w:p>
      <w:pPr>
        <w:spacing w:after="0"/>
        <w:ind w:left="0"/>
        <w:jc w:val="both"/>
      </w:pPr>
      <w:r>
        <w:rPr>
          <w:rFonts w:ascii="Times New Roman"/>
          <w:b w:val="false"/>
          <w:i w:val="false"/>
          <w:color w:val="000000"/>
          <w:sz w:val="28"/>
        </w:rPr>
        <w:t>
      Целевые трансферты на развитие выделяются на строительство, реконструкцию:</w:t>
      </w:r>
    </w:p>
    <w:bookmarkEnd w:id="14"/>
    <w:bookmarkStart w:name="z105" w:id="15"/>
    <w:p>
      <w:pPr>
        <w:spacing w:after="0"/>
        <w:ind w:left="0"/>
        <w:jc w:val="both"/>
      </w:pPr>
      <w:r>
        <w:rPr>
          <w:rFonts w:ascii="Times New Roman"/>
          <w:b w:val="false"/>
          <w:i w:val="false"/>
          <w:color w:val="000000"/>
          <w:sz w:val="28"/>
        </w:rPr>
        <w:t>
      1) объектов образования; приоритетных объектов образования местного значения, центров инновационного творчества школьников (дворцы школьников на 500-600 мест, детские школы искусства на 150 мест);</w:t>
      </w:r>
    </w:p>
    <w:bookmarkEnd w:id="15"/>
    <w:bookmarkStart w:name="z106" w:id="16"/>
    <w:p>
      <w:pPr>
        <w:spacing w:after="0"/>
        <w:ind w:left="0"/>
        <w:jc w:val="both"/>
      </w:pPr>
      <w:r>
        <w:rPr>
          <w:rFonts w:ascii="Times New Roman"/>
          <w:b w:val="false"/>
          <w:i w:val="false"/>
          <w:color w:val="000000"/>
          <w:sz w:val="28"/>
        </w:rPr>
        <w:t>
      2) объектов здравоохранения; приоритетных объектов здравоохранения местного значения;</w:t>
      </w:r>
    </w:p>
    <w:bookmarkEnd w:id="16"/>
    <w:bookmarkStart w:name="z107" w:id="17"/>
    <w:p>
      <w:pPr>
        <w:spacing w:after="0"/>
        <w:ind w:left="0"/>
        <w:jc w:val="both"/>
      </w:pPr>
      <w:r>
        <w:rPr>
          <w:rFonts w:ascii="Times New Roman"/>
          <w:b w:val="false"/>
          <w:i w:val="false"/>
          <w:color w:val="000000"/>
          <w:sz w:val="28"/>
        </w:rPr>
        <w:t>
      3) медико-социальных учреждений: психоневрологических медико-социальных учреждений, реабилитационных центров для лиц с инвалидностью, центров реабилитации и адаптации детей с инвалидностью;</w:t>
      </w:r>
    </w:p>
    <w:bookmarkEnd w:id="17"/>
    <w:bookmarkStart w:name="z108" w:id="18"/>
    <w:p>
      <w:pPr>
        <w:spacing w:after="0"/>
        <w:ind w:left="0"/>
        <w:jc w:val="both"/>
      </w:pPr>
      <w:r>
        <w:rPr>
          <w:rFonts w:ascii="Times New Roman"/>
          <w:b w:val="false"/>
          <w:i w:val="false"/>
          <w:color w:val="000000"/>
          <w:sz w:val="28"/>
        </w:rPr>
        <w:t>
      4) газопроводов-отводов высокого давления от магистральных газопроводов и подводящих межпоселковых газопроводов высокого давления со строительством автоматизированных станций распределения газа;</w:t>
      </w:r>
    </w:p>
    <w:bookmarkEnd w:id="18"/>
    <w:bookmarkStart w:name="z109" w:id="19"/>
    <w:p>
      <w:pPr>
        <w:spacing w:after="0"/>
        <w:ind w:left="0"/>
        <w:jc w:val="both"/>
      </w:pPr>
      <w:r>
        <w:rPr>
          <w:rFonts w:ascii="Times New Roman"/>
          <w:b w:val="false"/>
          <w:i w:val="false"/>
          <w:color w:val="000000"/>
          <w:sz w:val="28"/>
        </w:rPr>
        <w:t>
      5) арендного (коммунального) жилья по государственной (отраслевой) программе;</w:t>
      </w:r>
    </w:p>
    <w:bookmarkEnd w:id="19"/>
    <w:bookmarkStart w:name="z110" w:id="20"/>
    <w:p>
      <w:pPr>
        <w:spacing w:after="0"/>
        <w:ind w:left="0"/>
        <w:jc w:val="both"/>
      </w:pPr>
      <w:r>
        <w:rPr>
          <w:rFonts w:ascii="Times New Roman"/>
          <w:b w:val="false"/>
          <w:i w:val="false"/>
          <w:color w:val="000000"/>
          <w:sz w:val="28"/>
        </w:rPr>
        <w:t>
      6) автомобильных дорог областного и районного значения, улиц городов и населенных пунктов;</w:t>
      </w:r>
    </w:p>
    <w:bookmarkEnd w:id="20"/>
    <w:bookmarkStart w:name="z111" w:id="21"/>
    <w:p>
      <w:pPr>
        <w:spacing w:after="0"/>
        <w:ind w:left="0"/>
        <w:jc w:val="both"/>
      </w:pPr>
      <w:r>
        <w:rPr>
          <w:rFonts w:ascii="Times New Roman"/>
          <w:b w:val="false"/>
          <w:i w:val="false"/>
          <w:color w:val="000000"/>
          <w:sz w:val="28"/>
        </w:rPr>
        <w:t>
      7) систем водоснабжения и водоотведения городов и сельских населенных пунктов;</w:t>
      </w:r>
    </w:p>
    <w:bookmarkEnd w:id="21"/>
    <w:bookmarkStart w:name="z112" w:id="22"/>
    <w:p>
      <w:pPr>
        <w:spacing w:after="0"/>
        <w:ind w:left="0"/>
        <w:jc w:val="both"/>
      </w:pPr>
      <w:r>
        <w:rPr>
          <w:rFonts w:ascii="Times New Roman"/>
          <w:b w:val="false"/>
          <w:i w:val="false"/>
          <w:color w:val="000000"/>
          <w:sz w:val="28"/>
        </w:rPr>
        <w:t>
      8) объектов по инженерной защите населения, объектов и территорий от природных стихийных бедствий;</w:t>
      </w:r>
    </w:p>
    <w:bookmarkEnd w:id="22"/>
    <w:bookmarkStart w:name="z113" w:id="23"/>
    <w:p>
      <w:pPr>
        <w:spacing w:after="0"/>
        <w:ind w:left="0"/>
        <w:jc w:val="both"/>
      </w:pPr>
      <w:r>
        <w:rPr>
          <w:rFonts w:ascii="Times New Roman"/>
          <w:b w:val="false"/>
          <w:i w:val="false"/>
          <w:color w:val="000000"/>
          <w:sz w:val="28"/>
        </w:rPr>
        <w:t>
      9) объектов культуры, спорта и туризма, благоустройства, охраны окружающей среды, агропромышленного комплекса, лесного, рыбного хозяйства, коммунального, водного хозяйства, транспортной, инженерно-коммуникационной, индустриально-инновационной инфраструктуры, теплоэнергетической системы, общественного порядка и безопасности местного значения;</w:t>
      </w:r>
    </w:p>
    <w:bookmarkEnd w:id="23"/>
    <w:bookmarkStart w:name="z114" w:id="24"/>
    <w:p>
      <w:pPr>
        <w:spacing w:after="0"/>
        <w:ind w:left="0"/>
        <w:jc w:val="both"/>
      </w:pPr>
      <w:r>
        <w:rPr>
          <w:rFonts w:ascii="Times New Roman"/>
          <w:b w:val="false"/>
          <w:i w:val="false"/>
          <w:color w:val="000000"/>
          <w:sz w:val="28"/>
        </w:rPr>
        <w:t>
      10) объектов специализированных центров обслуживания населения;</w:t>
      </w:r>
    </w:p>
    <w:bookmarkEnd w:id="24"/>
    <w:bookmarkStart w:name="z115" w:id="25"/>
    <w:p>
      <w:pPr>
        <w:spacing w:after="0"/>
        <w:ind w:left="0"/>
        <w:jc w:val="both"/>
      </w:pPr>
      <w:r>
        <w:rPr>
          <w:rFonts w:ascii="Times New Roman"/>
          <w:b w:val="false"/>
          <w:i w:val="false"/>
          <w:color w:val="000000"/>
          <w:sz w:val="28"/>
        </w:rPr>
        <w:t>
      11) научных лабораторий повышенного уровня биологической безопасности и подземных хранилищ для коллекции опасных и особо опасных штаммов;</w:t>
      </w:r>
    </w:p>
    <w:bookmarkEnd w:id="25"/>
    <w:bookmarkStart w:name="z116" w:id="26"/>
    <w:p>
      <w:pPr>
        <w:spacing w:after="0"/>
        <w:ind w:left="0"/>
        <w:jc w:val="both"/>
      </w:pPr>
      <w:r>
        <w:rPr>
          <w:rFonts w:ascii="Times New Roman"/>
          <w:b w:val="false"/>
          <w:i w:val="false"/>
          <w:color w:val="000000"/>
          <w:sz w:val="28"/>
        </w:rPr>
        <w:t>
      12) объектов по производству иммунобиологических препаратов;</w:t>
      </w:r>
    </w:p>
    <w:bookmarkEnd w:id="26"/>
    <w:bookmarkStart w:name="z117" w:id="27"/>
    <w:p>
      <w:pPr>
        <w:spacing w:after="0"/>
        <w:ind w:left="0"/>
        <w:jc w:val="both"/>
      </w:pPr>
      <w:r>
        <w:rPr>
          <w:rFonts w:ascii="Times New Roman"/>
          <w:b w:val="false"/>
          <w:i w:val="false"/>
          <w:color w:val="000000"/>
          <w:sz w:val="28"/>
        </w:rPr>
        <w:t>
      13) объектов инфраструктуры биологической безопасности, осуществляющих обращение с патогенными биологическими агентами 1, 2, 3, 4 групп патогенности, в том числе обеспечения их физической защиты.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финансов РК от 21.08.2017 </w:t>
      </w:r>
      <w:r>
        <w:rPr>
          <w:rFonts w:ascii="Times New Roman"/>
          <w:b w:val="false"/>
          <w:i w:val="false"/>
          <w:color w:val="000000"/>
          <w:sz w:val="28"/>
        </w:rPr>
        <w:t>№ 506</w:t>
      </w:r>
      <w:r>
        <w:rPr>
          <w:rFonts w:ascii="Times New Roman"/>
          <w:b w:val="false"/>
          <w:i w:val="false"/>
          <w:color w:val="ff0000"/>
          <w:sz w:val="28"/>
        </w:rPr>
        <w:t xml:space="preserve">; от 05.01.2020 </w:t>
      </w:r>
      <w:r>
        <w:rPr>
          <w:rFonts w:ascii="Times New Roman"/>
          <w:b w:val="false"/>
          <w:i w:val="false"/>
          <w:color w:val="000000"/>
          <w:sz w:val="28"/>
        </w:rPr>
        <w:t>№ 1457</w:t>
      </w:r>
      <w:r>
        <w:rPr>
          <w:rFonts w:ascii="Times New Roman"/>
          <w:b w:val="false"/>
          <w:i w:val="false"/>
          <w:color w:val="ff0000"/>
          <w:sz w:val="28"/>
        </w:rPr>
        <w:t xml:space="preserve">;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05.07.2022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02.02.2023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16.05.2023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5-1. Целевые трансферты на развитие из республиканского бюджета выделяются бюджетам областей, городов республиканского значения, столицы в соответствии с целями, задачами, целевыми индикаторами и показателями результатов документов Системы государственного планирования при обеспеченности регионов инфраструктурой ниже среднереспубликанского уровня согласно предложений центральных уполномоченных органов соответствующей отрасли.</w:t>
      </w:r>
    </w:p>
    <w:bookmarkEnd w:id="28"/>
    <w:p>
      <w:pPr>
        <w:spacing w:after="0"/>
        <w:ind w:left="0"/>
        <w:jc w:val="both"/>
      </w:pPr>
      <w:r>
        <w:rPr>
          <w:rFonts w:ascii="Times New Roman"/>
          <w:b w:val="false"/>
          <w:i w:val="false"/>
          <w:color w:val="000000"/>
          <w:sz w:val="28"/>
        </w:rPr>
        <w:t>
      При этом из республиканского бюджета финансируются расходы на строительство, реконструкцию, расширение и модернизацию:</w:t>
      </w:r>
    </w:p>
    <w:p>
      <w:pPr>
        <w:spacing w:after="0"/>
        <w:ind w:left="0"/>
        <w:jc w:val="both"/>
      </w:pPr>
      <w:r>
        <w:rPr>
          <w:rFonts w:ascii="Times New Roman"/>
          <w:b w:val="false"/>
          <w:i w:val="false"/>
          <w:color w:val="000000"/>
          <w:sz w:val="28"/>
        </w:rPr>
        <w:t>
      общеобразовательных школ взамен аварийных и подлежащих сносу, решающие проблему 3-х и более сменного обучения и дефицита ученических мест в селах и городах, с мощностью 300 мест и более, а в населенных пунктах, прилегающих к городам республиканского значения и столице, с мощностью менее 300 мест;</w:t>
      </w:r>
    </w:p>
    <w:p>
      <w:pPr>
        <w:spacing w:after="0"/>
        <w:ind w:left="0"/>
        <w:jc w:val="both"/>
      </w:pPr>
      <w:r>
        <w:rPr>
          <w:rFonts w:ascii="Times New Roman"/>
          <w:b w:val="false"/>
          <w:i w:val="false"/>
          <w:color w:val="000000"/>
          <w:sz w:val="28"/>
        </w:rPr>
        <w:t>
      многопрофильных и противотуберкулезных организаций с мощностью не менее 200 коек, а также перинатальных центров и родильных домов с мощностью не менее 200 коек и поликлиники с мощностью не менее 250 посещений в смену, взамен аварийных и подлежащих сносу, создающие угрозу в ограничении доступности медицинской помощи;</w:t>
      </w:r>
    </w:p>
    <w:p>
      <w:pPr>
        <w:spacing w:after="0"/>
        <w:ind w:left="0"/>
        <w:jc w:val="both"/>
      </w:pPr>
      <w:r>
        <w:rPr>
          <w:rFonts w:ascii="Times New Roman"/>
          <w:b w:val="false"/>
          <w:i w:val="false"/>
          <w:color w:val="000000"/>
          <w:sz w:val="28"/>
        </w:rPr>
        <w:t>
      амбулаторно-поликлинических организаций мощностью менее 250 посещений в смену в населенных пунктах, прилегающих к городам республиканского значения и столице, а также расположенных на окраинах городов республиканского значения и столицы, и в опорных сельских населенных пунктах;</w:t>
      </w:r>
    </w:p>
    <w:p>
      <w:pPr>
        <w:spacing w:after="0"/>
        <w:ind w:left="0"/>
        <w:jc w:val="both"/>
      </w:pPr>
      <w:r>
        <w:rPr>
          <w:rFonts w:ascii="Times New Roman"/>
          <w:b w:val="false"/>
          <w:i w:val="false"/>
          <w:color w:val="000000"/>
          <w:sz w:val="28"/>
        </w:rPr>
        <w:t>
      центров производства крови, ее компонентов и препаратов для местных организаций здравоохранения;</w:t>
      </w:r>
    </w:p>
    <w:p>
      <w:pPr>
        <w:spacing w:after="0"/>
        <w:ind w:left="0"/>
        <w:jc w:val="both"/>
      </w:pPr>
      <w:r>
        <w:rPr>
          <w:rFonts w:ascii="Times New Roman"/>
          <w:b w:val="false"/>
          <w:i w:val="false"/>
          <w:color w:val="000000"/>
          <w:sz w:val="28"/>
        </w:rPr>
        <w:t>
      психоневрологические медико-социальные учреждения;</w:t>
      </w:r>
    </w:p>
    <w:p>
      <w:pPr>
        <w:spacing w:after="0"/>
        <w:ind w:left="0"/>
        <w:jc w:val="both"/>
      </w:pPr>
      <w:r>
        <w:rPr>
          <w:rFonts w:ascii="Times New Roman"/>
          <w:b w:val="false"/>
          <w:i w:val="false"/>
          <w:color w:val="000000"/>
          <w:sz w:val="28"/>
        </w:rPr>
        <w:t>
      детские психоневрологические медико-социальные учреждения;</w:t>
      </w:r>
    </w:p>
    <w:p>
      <w:pPr>
        <w:spacing w:after="0"/>
        <w:ind w:left="0"/>
        <w:jc w:val="both"/>
      </w:pPr>
      <w:r>
        <w:rPr>
          <w:rFonts w:ascii="Times New Roman"/>
          <w:b w:val="false"/>
          <w:i w:val="false"/>
          <w:color w:val="000000"/>
          <w:sz w:val="28"/>
        </w:rPr>
        <w:t>
      реабилитационные центры для лиц с инвалидностью, центры реабилитации и адаптации детей с инвалидностью;</w:t>
      </w:r>
    </w:p>
    <w:p>
      <w:pPr>
        <w:spacing w:after="0"/>
        <w:ind w:left="0"/>
        <w:jc w:val="both"/>
      </w:pPr>
      <w:r>
        <w:rPr>
          <w:rFonts w:ascii="Times New Roman"/>
          <w:b w:val="false"/>
          <w:i w:val="false"/>
          <w:color w:val="000000"/>
          <w:sz w:val="28"/>
        </w:rPr>
        <w:t>
      автомобильных дорог областного и районного значения;</w:t>
      </w:r>
    </w:p>
    <w:p>
      <w:pPr>
        <w:spacing w:after="0"/>
        <w:ind w:left="0"/>
        <w:jc w:val="both"/>
      </w:pPr>
      <w:r>
        <w:rPr>
          <w:rFonts w:ascii="Times New Roman"/>
          <w:b w:val="false"/>
          <w:i w:val="false"/>
          <w:color w:val="000000"/>
          <w:sz w:val="28"/>
        </w:rPr>
        <w:t>
      жилья и инженерно-коммуникационной инфраструктуры к жилью;</w:t>
      </w:r>
    </w:p>
    <w:p>
      <w:pPr>
        <w:spacing w:after="0"/>
        <w:ind w:left="0"/>
        <w:jc w:val="both"/>
      </w:pPr>
      <w:r>
        <w:rPr>
          <w:rFonts w:ascii="Times New Roman"/>
          <w:b w:val="false"/>
          <w:i w:val="false"/>
          <w:color w:val="000000"/>
          <w:sz w:val="28"/>
        </w:rPr>
        <w:t>
      объектов, сооружений, сетей водоснабжения и водоотведения;</w:t>
      </w:r>
    </w:p>
    <w:p>
      <w:pPr>
        <w:spacing w:after="0"/>
        <w:ind w:left="0"/>
        <w:jc w:val="both"/>
      </w:pPr>
      <w:r>
        <w:rPr>
          <w:rFonts w:ascii="Times New Roman"/>
          <w:b w:val="false"/>
          <w:i w:val="false"/>
          <w:color w:val="000000"/>
          <w:sz w:val="28"/>
        </w:rPr>
        <w:t>
      улиц городов республиканского значения, столицы;</w:t>
      </w:r>
    </w:p>
    <w:p>
      <w:pPr>
        <w:spacing w:after="0"/>
        <w:ind w:left="0"/>
        <w:jc w:val="both"/>
      </w:pPr>
      <w:r>
        <w:rPr>
          <w:rFonts w:ascii="Times New Roman"/>
          <w:b w:val="false"/>
          <w:i w:val="false"/>
          <w:color w:val="000000"/>
          <w:sz w:val="28"/>
        </w:rPr>
        <w:t>
      подстанций и линии электропередач напряжением выше 35/10/0,4 кВ, а в населенных пунктах, прилегающих к городам республиканского значения, столице и малых городах с численностью до 50 тысяч человек и в опорных сельских населенных пунктах, напряжением 0,4 кВ и выше;</w:t>
      </w:r>
    </w:p>
    <w:p>
      <w:pPr>
        <w:spacing w:after="0"/>
        <w:ind w:left="0"/>
        <w:jc w:val="both"/>
      </w:pPr>
      <w:r>
        <w:rPr>
          <w:rFonts w:ascii="Times New Roman"/>
          <w:b w:val="false"/>
          <w:i w:val="false"/>
          <w:color w:val="000000"/>
          <w:sz w:val="28"/>
        </w:rPr>
        <w:t>
      теплоэлектроцентралей и котельных мощностью 100 Гкал/час и выше, а в населенных пунктах, прилегающих к городам республиканского значения, столице и малых городах с численностью до 50 тысяч человек и в опорных сельских населенных пунктах, всех мощностей;</w:t>
      </w:r>
    </w:p>
    <w:p>
      <w:pPr>
        <w:spacing w:after="0"/>
        <w:ind w:left="0"/>
        <w:jc w:val="both"/>
      </w:pPr>
      <w:r>
        <w:rPr>
          <w:rFonts w:ascii="Times New Roman"/>
          <w:b w:val="false"/>
          <w:i w:val="false"/>
          <w:color w:val="000000"/>
          <w:sz w:val="28"/>
        </w:rPr>
        <w:t>
      магистральных газопроводов, газопроводов-отводов высокого давления от магистральных газопроводов, автоматизированных газораспределительных станций, подводящих межпоселковых газопроводов высокого давления, газораспределительных сетей в пределах границ (черты) населенных пунктов;</w:t>
      </w:r>
    </w:p>
    <w:p>
      <w:pPr>
        <w:spacing w:after="0"/>
        <w:ind w:left="0"/>
        <w:jc w:val="both"/>
      </w:pPr>
      <w:r>
        <w:rPr>
          <w:rFonts w:ascii="Times New Roman"/>
          <w:b w:val="false"/>
          <w:i w:val="false"/>
          <w:color w:val="000000"/>
          <w:sz w:val="28"/>
        </w:rPr>
        <w:t>
      полигонов (неопасных, твердых бытовых отходов);</w:t>
      </w:r>
    </w:p>
    <w:p>
      <w:pPr>
        <w:spacing w:after="0"/>
        <w:ind w:left="0"/>
        <w:jc w:val="both"/>
      </w:pPr>
      <w:r>
        <w:rPr>
          <w:rFonts w:ascii="Times New Roman"/>
          <w:b w:val="false"/>
          <w:i w:val="false"/>
          <w:color w:val="000000"/>
          <w:sz w:val="28"/>
        </w:rPr>
        <w:t>
      сортировочных комплексов (станций) для населенных пунктов с численностью менее пятидесяти тысяч человек;</w:t>
      </w:r>
    </w:p>
    <w:p>
      <w:pPr>
        <w:spacing w:after="0"/>
        <w:ind w:left="0"/>
        <w:jc w:val="both"/>
      </w:pPr>
      <w:r>
        <w:rPr>
          <w:rFonts w:ascii="Times New Roman"/>
          <w:b w:val="false"/>
          <w:i w:val="false"/>
          <w:color w:val="000000"/>
          <w:sz w:val="28"/>
        </w:rPr>
        <w:t>
      мусороперегрузочных комплексов (площадок) в малых населенных пунктах;</w:t>
      </w:r>
    </w:p>
    <w:p>
      <w:pPr>
        <w:spacing w:after="0"/>
        <w:ind w:left="0"/>
        <w:jc w:val="both"/>
      </w:pPr>
      <w:r>
        <w:rPr>
          <w:rFonts w:ascii="Times New Roman"/>
          <w:b w:val="false"/>
          <w:i w:val="false"/>
          <w:color w:val="000000"/>
          <w:sz w:val="28"/>
        </w:rPr>
        <w:t>
      площадок для переработки строительных материалов;</w:t>
      </w:r>
    </w:p>
    <w:p>
      <w:pPr>
        <w:spacing w:after="0"/>
        <w:ind w:left="0"/>
        <w:jc w:val="both"/>
      </w:pPr>
      <w:r>
        <w:rPr>
          <w:rFonts w:ascii="Times New Roman"/>
          <w:b w:val="false"/>
          <w:i w:val="false"/>
          <w:color w:val="000000"/>
          <w:sz w:val="28"/>
        </w:rPr>
        <w:t>
      рекультивацию объектов размещения отходов;</w:t>
      </w:r>
    </w:p>
    <w:p>
      <w:pPr>
        <w:spacing w:after="0"/>
        <w:ind w:left="0"/>
        <w:jc w:val="both"/>
      </w:pPr>
      <w:r>
        <w:rPr>
          <w:rFonts w:ascii="Times New Roman"/>
          <w:b w:val="false"/>
          <w:i w:val="false"/>
          <w:color w:val="000000"/>
          <w:sz w:val="28"/>
        </w:rPr>
        <w:t>
      научных лабораторий повышенного уровня биологической безопасности и подземных хранилищ для коллекции опасных и особо опасных штаммов;</w:t>
      </w:r>
    </w:p>
    <w:p>
      <w:pPr>
        <w:spacing w:after="0"/>
        <w:ind w:left="0"/>
        <w:jc w:val="both"/>
      </w:pPr>
      <w:r>
        <w:rPr>
          <w:rFonts w:ascii="Times New Roman"/>
          <w:b w:val="false"/>
          <w:i w:val="false"/>
          <w:color w:val="000000"/>
          <w:sz w:val="28"/>
        </w:rPr>
        <w:t>
      цеха по производству субстанций по выпуску иммунобиологических препаратов, соответствующих требованиям надлежащей производственной практики GMP;</w:t>
      </w:r>
    </w:p>
    <w:p>
      <w:pPr>
        <w:spacing w:after="0"/>
        <w:ind w:left="0"/>
        <w:jc w:val="both"/>
      </w:pPr>
      <w:r>
        <w:rPr>
          <w:rFonts w:ascii="Times New Roman"/>
          <w:b w:val="false"/>
          <w:i w:val="false"/>
          <w:color w:val="000000"/>
          <w:sz w:val="28"/>
        </w:rPr>
        <w:t>
      объектов первичной медико-санитарной помощи (медицинские пункты, фельдшерско-акушерские пункты, врачебные амбулатории), реализуемых в рамках пилотного национального проекта "Модернизация сельского здравоохранения";</w:t>
      </w:r>
    </w:p>
    <w:p>
      <w:pPr>
        <w:spacing w:after="0"/>
        <w:ind w:left="0"/>
        <w:jc w:val="both"/>
      </w:pPr>
      <w:r>
        <w:rPr>
          <w:rFonts w:ascii="Times New Roman"/>
          <w:b w:val="false"/>
          <w:i w:val="false"/>
          <w:color w:val="000000"/>
          <w:sz w:val="28"/>
        </w:rPr>
        <w:t>
      объектов инфраструктуры биологической безопасности, осуществляющих обращение с патогенными биологическими агентами 1, 2, 3, 4 групп патогенности, в том числе обеспечения их физической защиты;</w:t>
      </w:r>
    </w:p>
    <w:p>
      <w:pPr>
        <w:spacing w:after="0"/>
        <w:ind w:left="0"/>
        <w:jc w:val="both"/>
      </w:pPr>
      <w:r>
        <w:rPr>
          <w:rFonts w:ascii="Times New Roman"/>
          <w:b w:val="false"/>
          <w:i w:val="false"/>
          <w:color w:val="000000"/>
          <w:sz w:val="28"/>
        </w:rPr>
        <w:t>
      центров инновационного творчества школьников (дворцы школьников на 500-600 мест, детские школы искусства на 150 мест).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финансов РК от 28.11.2017 </w:t>
      </w:r>
      <w:r>
        <w:rPr>
          <w:rFonts w:ascii="Times New Roman"/>
          <w:b w:val="false"/>
          <w:i w:val="false"/>
          <w:color w:val="000000"/>
          <w:sz w:val="28"/>
        </w:rPr>
        <w:t>№ 689</w:t>
      </w:r>
      <w:r>
        <w:rPr>
          <w:rFonts w:ascii="Times New Roman"/>
          <w:b w:val="false"/>
          <w:i w:val="false"/>
          <w:color w:val="ff0000"/>
          <w:sz w:val="28"/>
        </w:rPr>
        <w:t xml:space="preserve">; в редакции приказа Заместителя Премьер-Министра - Министра финансов РК от 02.02.2023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16.05.2023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9"/>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района (города областного значения), аппарат акима города районного значения, села, поселка, сельского округа для определения сумм целевых трансфертов на развитие не позднее 15 марта текущего финансового года представляют в соответствующий центральный государственный орган или исполнительный орган, финансируемый из областного бюджета, бюджетов города республиканского значения, столицы, районного (города областного значения) бюджета:</w:t>
      </w:r>
    </w:p>
    <w:bookmarkEnd w:id="29"/>
    <w:bookmarkStart w:name="z30" w:id="30"/>
    <w:p>
      <w:pPr>
        <w:spacing w:after="0"/>
        <w:ind w:left="0"/>
        <w:jc w:val="both"/>
      </w:pPr>
      <w:r>
        <w:rPr>
          <w:rFonts w:ascii="Times New Roman"/>
          <w:b w:val="false"/>
          <w:i w:val="false"/>
          <w:color w:val="000000"/>
          <w:sz w:val="28"/>
        </w:rPr>
        <w:t>
      1) заявку с указанием перечня МБИ в разрезе объектов и сумму расходов по ним;</w:t>
      </w:r>
    </w:p>
    <w:bookmarkEnd w:id="30"/>
    <w:bookmarkStart w:name="z31" w:id="31"/>
    <w:p>
      <w:pPr>
        <w:spacing w:after="0"/>
        <w:ind w:left="0"/>
        <w:jc w:val="both"/>
      </w:pPr>
      <w:r>
        <w:rPr>
          <w:rFonts w:ascii="Times New Roman"/>
          <w:b w:val="false"/>
          <w:i w:val="false"/>
          <w:color w:val="000000"/>
          <w:sz w:val="28"/>
        </w:rPr>
        <w:t>
      2) технико-экономическое обоснование с заключением государственной экспертизы (в случае наличия) по местным бюджетным инвестиционным проектам, требующим разработки технико-экономического обоснования;</w:t>
      </w:r>
    </w:p>
    <w:bookmarkEnd w:id="31"/>
    <w:bookmarkStart w:name="z32" w:id="32"/>
    <w:p>
      <w:pPr>
        <w:spacing w:after="0"/>
        <w:ind w:left="0"/>
        <w:jc w:val="both"/>
      </w:pPr>
      <w:r>
        <w:rPr>
          <w:rFonts w:ascii="Times New Roman"/>
          <w:b w:val="false"/>
          <w:i w:val="false"/>
          <w:color w:val="000000"/>
          <w:sz w:val="28"/>
        </w:rPr>
        <w:t>
      3) проектно-сметную документацию с заключением государственной экспертизы (в случае наличия) по местным бюджетным инвестиционным проектам;</w:t>
      </w:r>
    </w:p>
    <w:bookmarkEnd w:id="32"/>
    <w:bookmarkStart w:name="z33" w:id="33"/>
    <w:p>
      <w:pPr>
        <w:spacing w:after="0"/>
        <w:ind w:left="0"/>
        <w:jc w:val="both"/>
      </w:pPr>
      <w:r>
        <w:rPr>
          <w:rFonts w:ascii="Times New Roman"/>
          <w:b w:val="false"/>
          <w:i w:val="false"/>
          <w:color w:val="000000"/>
          <w:sz w:val="28"/>
        </w:rPr>
        <w:t>
      4) приказ государственного органа - администратора программ или ведомства уполномоченного государственного органа по делам архитектуры, градостроительства и строительства на технико-экономическое обоснование или проектно-сметную документацию (в случае наличия);</w:t>
      </w:r>
    </w:p>
    <w:bookmarkEnd w:id="33"/>
    <w:bookmarkStart w:name="z34" w:id="34"/>
    <w:p>
      <w:pPr>
        <w:spacing w:after="0"/>
        <w:ind w:left="0"/>
        <w:jc w:val="both"/>
      </w:pPr>
      <w:r>
        <w:rPr>
          <w:rFonts w:ascii="Times New Roman"/>
          <w:b w:val="false"/>
          <w:i w:val="false"/>
          <w:color w:val="000000"/>
          <w:sz w:val="28"/>
        </w:rPr>
        <w:t>
      5) инвестиционное предложение по местным государственным инвестиционным проектам;</w:t>
      </w:r>
    </w:p>
    <w:bookmarkEnd w:id="34"/>
    <w:bookmarkStart w:name="z35" w:id="35"/>
    <w:p>
      <w:pPr>
        <w:spacing w:after="0"/>
        <w:ind w:left="0"/>
        <w:jc w:val="both"/>
      </w:pPr>
      <w:r>
        <w:rPr>
          <w:rFonts w:ascii="Times New Roman"/>
          <w:b w:val="false"/>
          <w:i w:val="false"/>
          <w:color w:val="000000"/>
          <w:sz w:val="28"/>
        </w:rPr>
        <w:t>
      6) финансово-экономическое обоснование местных бюджетных инвестиций, планируемых к реализации посредством участия государства в уставном капитале юридических лиц;</w:t>
      </w:r>
    </w:p>
    <w:bookmarkEnd w:id="35"/>
    <w:bookmarkStart w:name="z36" w:id="36"/>
    <w:p>
      <w:pPr>
        <w:spacing w:after="0"/>
        <w:ind w:left="0"/>
        <w:jc w:val="both"/>
      </w:pPr>
      <w:r>
        <w:rPr>
          <w:rFonts w:ascii="Times New Roman"/>
          <w:b w:val="false"/>
          <w:i w:val="false"/>
          <w:color w:val="000000"/>
          <w:sz w:val="28"/>
        </w:rPr>
        <w:t>
      7) экономические заключения на инвестиционные предложения, экономические заключения по бюджетным инвестиционным проектам и экономические заключения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w:t>
      </w:r>
    </w:p>
    <w:bookmarkEnd w:id="36"/>
    <w:bookmarkStart w:name="z37" w:id="37"/>
    <w:p>
      <w:pPr>
        <w:spacing w:after="0"/>
        <w:ind w:left="0"/>
        <w:jc w:val="both"/>
      </w:pPr>
      <w:r>
        <w:rPr>
          <w:rFonts w:ascii="Times New Roman"/>
          <w:b w:val="false"/>
          <w:i w:val="false"/>
          <w:color w:val="000000"/>
          <w:sz w:val="28"/>
        </w:rPr>
        <w:t>
      8) отраслевое заключение соответствующего исполнительного органа, финансируемого за счет областного бюджета, бюджетов города республиканского значения, столицы или районного (города областного значения) бюджета;</w:t>
      </w:r>
    </w:p>
    <w:bookmarkEnd w:id="37"/>
    <w:bookmarkStart w:name="z38" w:id="38"/>
    <w:p>
      <w:pPr>
        <w:spacing w:after="0"/>
        <w:ind w:left="0"/>
        <w:jc w:val="both"/>
      </w:pPr>
      <w:r>
        <w:rPr>
          <w:rFonts w:ascii="Times New Roman"/>
          <w:b w:val="false"/>
          <w:i w:val="false"/>
          <w:color w:val="000000"/>
          <w:sz w:val="28"/>
        </w:rPr>
        <w:t>
      9) расчет стоимости строительства, письмо-согласование о результатах расчета лимита сметной стоимости объекта по пилотным инвестиционным бюджетным проектам, планируемым к реализации в рамках строительства объектов в отраслях здравоохранения, образования, жилищного строительства в городе Астана, Жамбылской и Северо-Казахстанской областях.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 с изменением, внесенным приказом Заместителя Премьер-Министра - Министра финансов РК от 02.02.2023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9"/>
    <w:p>
      <w:pPr>
        <w:spacing w:after="0"/>
        <w:ind w:left="0"/>
        <w:jc w:val="both"/>
      </w:pPr>
      <w:r>
        <w:rPr>
          <w:rFonts w:ascii="Times New Roman"/>
          <w:b w:val="false"/>
          <w:i w:val="false"/>
          <w:color w:val="000000"/>
          <w:sz w:val="28"/>
        </w:rPr>
        <w:t xml:space="preserve">
      7. Соответствующий центральный государственный орган или исполнительный орган, финансируемый из областного бюджета, бюджета города республиканского значения, столицы, включает МБИ, отвечающие требованиям, установленным </w:t>
      </w:r>
      <w:r>
        <w:rPr>
          <w:rFonts w:ascii="Times New Roman"/>
          <w:b w:val="false"/>
          <w:i w:val="false"/>
          <w:color w:val="000000"/>
          <w:sz w:val="28"/>
        </w:rPr>
        <w:t>Приказом № 129</w:t>
      </w:r>
      <w:r>
        <w:rPr>
          <w:rFonts w:ascii="Times New Roman"/>
          <w:b w:val="false"/>
          <w:i w:val="false"/>
          <w:color w:val="000000"/>
          <w:sz w:val="28"/>
        </w:rPr>
        <w:t>, в перечень МБИ в разрезе объектов, с учетом:</w:t>
      </w:r>
    </w:p>
    <w:bookmarkEnd w:id="39"/>
    <w:bookmarkStart w:name="z84" w:id="40"/>
    <w:p>
      <w:pPr>
        <w:spacing w:after="0"/>
        <w:ind w:left="0"/>
        <w:jc w:val="both"/>
      </w:pPr>
      <w:r>
        <w:rPr>
          <w:rFonts w:ascii="Times New Roman"/>
          <w:b w:val="false"/>
          <w:i w:val="false"/>
          <w:color w:val="000000"/>
          <w:sz w:val="28"/>
        </w:rPr>
        <w:t>
      1) приоритетности развития соответствующей отрасли на основании документов Системы государственного планирования;</w:t>
      </w:r>
    </w:p>
    <w:bookmarkEnd w:id="40"/>
    <w:bookmarkStart w:name="z85" w:id="41"/>
    <w:p>
      <w:pPr>
        <w:spacing w:after="0"/>
        <w:ind w:left="0"/>
        <w:jc w:val="both"/>
      </w:pPr>
      <w:r>
        <w:rPr>
          <w:rFonts w:ascii="Times New Roman"/>
          <w:b w:val="false"/>
          <w:i w:val="false"/>
          <w:color w:val="000000"/>
          <w:sz w:val="28"/>
        </w:rPr>
        <w:t>
      2) местонахождения и плотности населения региона;</w:t>
      </w:r>
    </w:p>
    <w:bookmarkEnd w:id="41"/>
    <w:bookmarkStart w:name="z86" w:id="42"/>
    <w:p>
      <w:pPr>
        <w:spacing w:after="0"/>
        <w:ind w:left="0"/>
        <w:jc w:val="both"/>
      </w:pPr>
      <w:r>
        <w:rPr>
          <w:rFonts w:ascii="Times New Roman"/>
          <w:b w:val="false"/>
          <w:i w:val="false"/>
          <w:color w:val="000000"/>
          <w:sz w:val="28"/>
        </w:rPr>
        <w:t>
      3) уровня заболеваемости и смертности населения в регионе (для строительства объектов здравоохранения);</w:t>
      </w:r>
    </w:p>
    <w:bookmarkEnd w:id="42"/>
    <w:bookmarkStart w:name="z87" w:id="43"/>
    <w:p>
      <w:pPr>
        <w:spacing w:after="0"/>
        <w:ind w:left="0"/>
        <w:jc w:val="both"/>
      </w:pPr>
      <w:r>
        <w:rPr>
          <w:rFonts w:ascii="Times New Roman"/>
          <w:b w:val="false"/>
          <w:i w:val="false"/>
          <w:color w:val="000000"/>
          <w:sz w:val="28"/>
        </w:rPr>
        <w:t>
      4) решения проблемы объектов, находящихся в аварийном состоянии;</w:t>
      </w:r>
    </w:p>
    <w:bookmarkEnd w:id="43"/>
    <w:bookmarkStart w:name="z88" w:id="44"/>
    <w:p>
      <w:pPr>
        <w:spacing w:after="0"/>
        <w:ind w:left="0"/>
        <w:jc w:val="both"/>
      </w:pPr>
      <w:r>
        <w:rPr>
          <w:rFonts w:ascii="Times New Roman"/>
          <w:b w:val="false"/>
          <w:i w:val="false"/>
          <w:color w:val="000000"/>
          <w:sz w:val="28"/>
        </w:rPr>
        <w:t>
      5) состояния объектов здравоохранения (отсутствие достаточного набора помещений, несоответствие фактической мощности организации плановой);</w:t>
      </w:r>
    </w:p>
    <w:bookmarkEnd w:id="44"/>
    <w:bookmarkStart w:name="z89" w:id="45"/>
    <w:p>
      <w:pPr>
        <w:spacing w:after="0"/>
        <w:ind w:left="0"/>
        <w:jc w:val="both"/>
      </w:pPr>
      <w:r>
        <w:rPr>
          <w:rFonts w:ascii="Times New Roman"/>
          <w:b w:val="false"/>
          <w:i w:val="false"/>
          <w:color w:val="000000"/>
          <w:sz w:val="28"/>
        </w:rPr>
        <w:t>
      6) приведения действующей сети в соответствие с утвержденным нормативом сети организаций здравоохранения и образования (для строительства объектов здравоохранения и образования);</w:t>
      </w:r>
    </w:p>
    <w:bookmarkEnd w:id="45"/>
    <w:bookmarkStart w:name="z90" w:id="46"/>
    <w:p>
      <w:pPr>
        <w:spacing w:after="0"/>
        <w:ind w:left="0"/>
        <w:jc w:val="both"/>
      </w:pPr>
      <w:r>
        <w:rPr>
          <w:rFonts w:ascii="Times New Roman"/>
          <w:b w:val="false"/>
          <w:i w:val="false"/>
          <w:color w:val="000000"/>
          <w:sz w:val="28"/>
        </w:rPr>
        <w:t>
      7) планируемых объемов гарантированных государством специальных социальных услуг;</w:t>
      </w:r>
    </w:p>
    <w:bookmarkEnd w:id="46"/>
    <w:bookmarkStart w:name="z91" w:id="47"/>
    <w:p>
      <w:pPr>
        <w:spacing w:after="0"/>
        <w:ind w:left="0"/>
        <w:jc w:val="both"/>
      </w:pPr>
      <w:r>
        <w:rPr>
          <w:rFonts w:ascii="Times New Roman"/>
          <w:b w:val="false"/>
          <w:i w:val="false"/>
          <w:color w:val="000000"/>
          <w:sz w:val="28"/>
        </w:rPr>
        <w:t>
      8) численности лиц с инвалидностью, структуры инвалидности по видам нозологии (заболеваний), степени тяжести инвалидности по регионам;</w:t>
      </w:r>
    </w:p>
    <w:bookmarkEnd w:id="47"/>
    <w:bookmarkStart w:name="z92" w:id="48"/>
    <w:p>
      <w:pPr>
        <w:spacing w:after="0"/>
        <w:ind w:left="0"/>
        <w:jc w:val="both"/>
      </w:pPr>
      <w:r>
        <w:rPr>
          <w:rFonts w:ascii="Times New Roman"/>
          <w:b w:val="false"/>
          <w:i w:val="false"/>
          <w:color w:val="000000"/>
          <w:sz w:val="28"/>
        </w:rPr>
        <w:t>
      9) прогнозируемой численности престарелых и лиц с инвалидностью, в том числе по отдельным заболеваниям;</w:t>
      </w:r>
    </w:p>
    <w:bookmarkEnd w:id="48"/>
    <w:bookmarkStart w:name="z93" w:id="49"/>
    <w:p>
      <w:pPr>
        <w:spacing w:after="0"/>
        <w:ind w:left="0"/>
        <w:jc w:val="both"/>
      </w:pPr>
      <w:r>
        <w:rPr>
          <w:rFonts w:ascii="Times New Roman"/>
          <w:b w:val="false"/>
          <w:i w:val="false"/>
          <w:color w:val="000000"/>
          <w:sz w:val="28"/>
        </w:rPr>
        <w:t>
      10) сокращения дефицита мест в объектах социального обслуживания;</w:t>
      </w:r>
    </w:p>
    <w:bookmarkEnd w:id="49"/>
    <w:bookmarkStart w:name="z94" w:id="50"/>
    <w:p>
      <w:pPr>
        <w:spacing w:after="0"/>
        <w:ind w:left="0"/>
        <w:jc w:val="both"/>
      </w:pPr>
      <w:r>
        <w:rPr>
          <w:rFonts w:ascii="Times New Roman"/>
          <w:b w:val="false"/>
          <w:i w:val="false"/>
          <w:color w:val="000000"/>
          <w:sz w:val="28"/>
        </w:rPr>
        <w:t>
      11) наличия функционирующих сетей организаций соответствующей отрасли (мощность, фактическая нагрузка и их техническое состояние), независимо от форм собственности;</w:t>
      </w:r>
    </w:p>
    <w:bookmarkEnd w:id="50"/>
    <w:bookmarkStart w:name="z95" w:id="51"/>
    <w:p>
      <w:pPr>
        <w:spacing w:after="0"/>
        <w:ind w:left="0"/>
        <w:jc w:val="both"/>
      </w:pPr>
      <w:r>
        <w:rPr>
          <w:rFonts w:ascii="Times New Roman"/>
          <w:b w:val="false"/>
          <w:i w:val="false"/>
          <w:color w:val="000000"/>
          <w:sz w:val="28"/>
        </w:rPr>
        <w:t>
      12) развития (создания) инфраструктуры для внедрения современных форм социального обслуживания;</w:t>
      </w:r>
    </w:p>
    <w:bookmarkEnd w:id="51"/>
    <w:bookmarkStart w:name="z96" w:id="52"/>
    <w:p>
      <w:pPr>
        <w:spacing w:after="0"/>
        <w:ind w:left="0"/>
        <w:jc w:val="both"/>
      </w:pPr>
      <w:r>
        <w:rPr>
          <w:rFonts w:ascii="Times New Roman"/>
          <w:b w:val="false"/>
          <w:i w:val="false"/>
          <w:color w:val="000000"/>
          <w:sz w:val="28"/>
        </w:rPr>
        <w:t>
      13) состояния объектов питьевого водоснабжения для создания условий по устойчивому водообеспечению и эффективному уровню водопользования;</w:t>
      </w:r>
    </w:p>
    <w:bookmarkEnd w:id="52"/>
    <w:bookmarkStart w:name="z97" w:id="53"/>
    <w:p>
      <w:pPr>
        <w:spacing w:after="0"/>
        <w:ind w:left="0"/>
        <w:jc w:val="both"/>
      </w:pPr>
      <w:r>
        <w:rPr>
          <w:rFonts w:ascii="Times New Roman"/>
          <w:b w:val="false"/>
          <w:i w:val="false"/>
          <w:color w:val="000000"/>
          <w:sz w:val="28"/>
        </w:rPr>
        <w:t>
      14) наличия решения соответствующего акимата об отводе земельных участков для реализации МБИ;</w:t>
      </w:r>
    </w:p>
    <w:bookmarkEnd w:id="53"/>
    <w:bookmarkStart w:name="z98" w:id="54"/>
    <w:p>
      <w:pPr>
        <w:spacing w:after="0"/>
        <w:ind w:left="0"/>
        <w:jc w:val="both"/>
      </w:pPr>
      <w:r>
        <w:rPr>
          <w:rFonts w:ascii="Times New Roman"/>
          <w:b w:val="false"/>
          <w:i w:val="false"/>
          <w:color w:val="000000"/>
          <w:sz w:val="28"/>
        </w:rPr>
        <w:t>
      15) наличия средств в местных бюджетах на реализацию МБИ;</w:t>
      </w:r>
    </w:p>
    <w:bookmarkEnd w:id="54"/>
    <w:bookmarkStart w:name="z99" w:id="55"/>
    <w:p>
      <w:pPr>
        <w:spacing w:after="0"/>
        <w:ind w:left="0"/>
        <w:jc w:val="both"/>
      </w:pPr>
      <w:r>
        <w:rPr>
          <w:rFonts w:ascii="Times New Roman"/>
          <w:b w:val="false"/>
          <w:i w:val="false"/>
          <w:color w:val="000000"/>
          <w:sz w:val="28"/>
        </w:rPr>
        <w:t>
      16) достижения прямых и конечных результатов, определенных в соглашениях о результатах по целевым трансфертам на развитие, выделенным в предыдущий финансовый год;</w:t>
      </w:r>
    </w:p>
    <w:bookmarkEnd w:id="55"/>
    <w:bookmarkStart w:name="z100" w:id="56"/>
    <w:p>
      <w:pPr>
        <w:spacing w:after="0"/>
        <w:ind w:left="0"/>
        <w:jc w:val="both"/>
      </w:pPr>
      <w:r>
        <w:rPr>
          <w:rFonts w:ascii="Times New Roman"/>
          <w:b w:val="false"/>
          <w:i w:val="false"/>
          <w:color w:val="000000"/>
          <w:sz w:val="28"/>
        </w:rPr>
        <w:t>
      17) оценки предполагаемого эффекта от реализации МБИ на смежные отрасли (сферы) экономики;</w:t>
      </w:r>
    </w:p>
    <w:bookmarkEnd w:id="56"/>
    <w:bookmarkStart w:name="z101" w:id="57"/>
    <w:p>
      <w:pPr>
        <w:spacing w:after="0"/>
        <w:ind w:left="0"/>
        <w:jc w:val="both"/>
      </w:pPr>
      <w:r>
        <w:rPr>
          <w:rFonts w:ascii="Times New Roman"/>
          <w:b w:val="false"/>
          <w:i w:val="false"/>
          <w:color w:val="000000"/>
          <w:sz w:val="28"/>
        </w:rPr>
        <w:t>
      18) протяженности автомобильных дорог областного и районного значения.</w:t>
      </w:r>
    </w:p>
    <w:bookmarkEnd w:id="57"/>
    <w:bookmarkStart w:name="z102" w:id="58"/>
    <w:p>
      <w:pPr>
        <w:spacing w:after="0"/>
        <w:ind w:left="0"/>
        <w:jc w:val="both"/>
      </w:pPr>
      <w:r>
        <w:rPr>
          <w:rFonts w:ascii="Times New Roman"/>
          <w:b w:val="false"/>
          <w:i w:val="false"/>
          <w:color w:val="000000"/>
          <w:sz w:val="28"/>
        </w:rPr>
        <w:t>
      В приоритетном порядке отбираются МБИ, начатые (продолжающиеся) и не завершенные в предыдущий финансовый год по объективным причинам.</w:t>
      </w:r>
    </w:p>
    <w:bookmarkEnd w:id="58"/>
    <w:bookmarkStart w:name="z103" w:id="59"/>
    <w:p>
      <w:pPr>
        <w:spacing w:after="0"/>
        <w:ind w:left="0"/>
        <w:jc w:val="both"/>
      </w:pPr>
      <w:r>
        <w:rPr>
          <w:rFonts w:ascii="Times New Roman"/>
          <w:b w:val="false"/>
          <w:i w:val="false"/>
          <w:color w:val="000000"/>
          <w:sz w:val="28"/>
        </w:rPr>
        <w:t>
      Объемы финансирования из местного бюджета МБИ, на реализацию которых выделяются средства из республиканского бюджета в виде целевых трансфертов на развитие, на плановый период определяются в размере не менее 10 % по каждому новому местному инвестиционному проекту по всем отраслям, за исключением местного бюджета города Астана, для которого объемы финансирования МБИ определяются в размере не менее 3 %. При выделении средств из резервов Правительства Республики Казахстан и местных исполнительных органов в виде целевых трансфертов на развитие, а также на бюджетные инвестиционные проекты в рамках пилотного национального проекта в области образования софинансирование из соответствующих местных бюджетов не требуется.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02.02.2023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60"/>
    <w:p>
      <w:pPr>
        <w:spacing w:after="0"/>
        <w:ind w:left="0"/>
        <w:jc w:val="both"/>
      </w:pPr>
      <w:r>
        <w:rPr>
          <w:rFonts w:ascii="Times New Roman"/>
          <w:b w:val="false"/>
          <w:i w:val="false"/>
          <w:color w:val="000000"/>
          <w:sz w:val="28"/>
        </w:rPr>
        <w:t>
      8. Соответствующий центральный государственный орган для рассмотрения и согласования не позднее 25 марта текущего финансового года направляет перечень МБИ в разрезе объектов, финансируемых за счет целевых трансфертов на развитие из республиканского бюджета, с заключением отраслевой экспертизы в центральный уполномоченный орган по государственному планированию.</w:t>
      </w:r>
    </w:p>
    <w:bookmarkEnd w:id="60"/>
    <w:p>
      <w:pPr>
        <w:spacing w:after="0"/>
        <w:ind w:left="0"/>
        <w:jc w:val="both"/>
      </w:pPr>
      <w:r>
        <w:rPr>
          <w:rFonts w:ascii="Times New Roman"/>
          <w:b w:val="false"/>
          <w:i w:val="false"/>
          <w:color w:val="000000"/>
          <w:sz w:val="28"/>
        </w:rPr>
        <w:t>
      Перечень МБИ в разрезе объектов, предлагаемых к финансированию за счет целевых трансфертов на развитие с документами, направляется местным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финансируемым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финансов РК от 21.08.2017 </w:t>
      </w:r>
      <w:r>
        <w:rPr>
          <w:rFonts w:ascii="Times New Roman"/>
          <w:b w:val="false"/>
          <w:i w:val="false"/>
          <w:color w:val="000000"/>
          <w:sz w:val="28"/>
        </w:rPr>
        <w:t>№ 506</w:t>
      </w:r>
      <w:r>
        <w:rPr>
          <w:rFonts w:ascii="Times New Roman"/>
          <w:b w:val="false"/>
          <w:i w:val="false"/>
          <w:color w:val="ff0000"/>
          <w:sz w:val="28"/>
        </w:rPr>
        <w:t>.</w:t>
      </w:r>
      <w:r>
        <w:br/>
      </w:r>
      <w:r>
        <w:rPr>
          <w:rFonts w:ascii="Times New Roman"/>
          <w:b w:val="false"/>
          <w:i w:val="false"/>
          <w:color w:val="000000"/>
          <w:sz w:val="28"/>
        </w:rPr>
        <w:t>
</w:t>
      </w:r>
    </w:p>
    <w:bookmarkStart w:name="z16" w:id="61"/>
    <w:p>
      <w:pPr>
        <w:spacing w:after="0"/>
        <w:ind w:left="0"/>
        <w:jc w:val="both"/>
      </w:pPr>
      <w:r>
        <w:rPr>
          <w:rFonts w:ascii="Times New Roman"/>
          <w:b w:val="false"/>
          <w:i w:val="false"/>
          <w:color w:val="000000"/>
          <w:sz w:val="28"/>
        </w:rPr>
        <w:t xml:space="preserve">
      9. Центральный или местный уполномоченный орган по государственному планированию рассматривает представленные администраторами бюджетных программ перечни МБИ на: </w:t>
      </w:r>
    </w:p>
    <w:bookmarkEnd w:id="61"/>
    <w:p>
      <w:pPr>
        <w:spacing w:after="0"/>
        <w:ind w:left="0"/>
        <w:jc w:val="both"/>
      </w:pPr>
      <w:r>
        <w:rPr>
          <w:rFonts w:ascii="Times New Roman"/>
          <w:b w:val="false"/>
          <w:i w:val="false"/>
          <w:color w:val="000000"/>
          <w:sz w:val="28"/>
        </w:rPr>
        <w:t>
      1) соответствие документам Системы государственного планирования (Национальному плану; национальным проектам; планам развития области, города республиканского значения, столицы; планам развития государственных органов);</w:t>
      </w:r>
    </w:p>
    <w:p>
      <w:pPr>
        <w:spacing w:after="0"/>
        <w:ind w:left="0"/>
        <w:jc w:val="both"/>
      </w:pPr>
      <w:r>
        <w:rPr>
          <w:rFonts w:ascii="Times New Roman"/>
          <w:b w:val="false"/>
          <w:i w:val="false"/>
          <w:color w:val="000000"/>
          <w:sz w:val="28"/>
        </w:rPr>
        <w:t xml:space="preserve">
      2) достижение целей и задач проекта плана развития государственного органа; </w:t>
      </w:r>
    </w:p>
    <w:p>
      <w:pPr>
        <w:spacing w:after="0"/>
        <w:ind w:left="0"/>
        <w:jc w:val="both"/>
      </w:pPr>
      <w:r>
        <w:rPr>
          <w:rFonts w:ascii="Times New Roman"/>
          <w:b w:val="false"/>
          <w:i w:val="false"/>
          <w:color w:val="000000"/>
          <w:sz w:val="28"/>
        </w:rPr>
        <w:t xml:space="preserve">
      3) соответствие стратегическим направлениям и социально-экономическому развитию региона; </w:t>
      </w:r>
    </w:p>
    <w:p>
      <w:pPr>
        <w:spacing w:after="0"/>
        <w:ind w:left="0"/>
        <w:jc w:val="both"/>
      </w:pPr>
      <w:r>
        <w:rPr>
          <w:rFonts w:ascii="Times New Roman"/>
          <w:b w:val="false"/>
          <w:i w:val="false"/>
          <w:color w:val="000000"/>
          <w:sz w:val="28"/>
        </w:rPr>
        <w:t xml:space="preserve">
      4) потенциал развития населенного пункта на долгосрочный (более 10 лет) период; </w:t>
      </w:r>
    </w:p>
    <w:p>
      <w:pPr>
        <w:spacing w:after="0"/>
        <w:ind w:left="0"/>
        <w:jc w:val="both"/>
      </w:pPr>
      <w:r>
        <w:rPr>
          <w:rFonts w:ascii="Times New Roman"/>
          <w:b w:val="false"/>
          <w:i w:val="false"/>
          <w:color w:val="000000"/>
          <w:sz w:val="28"/>
        </w:rPr>
        <w:t xml:space="preserve">
      5) соответствие положениям </w:t>
      </w:r>
      <w:r>
        <w:rPr>
          <w:rFonts w:ascii="Times New Roman"/>
          <w:b w:val="false"/>
          <w:i w:val="false"/>
          <w:color w:val="000000"/>
          <w:sz w:val="28"/>
        </w:rPr>
        <w:t>Cистемы</w:t>
      </w:r>
      <w:r>
        <w:rPr>
          <w:rFonts w:ascii="Times New Roman"/>
          <w:b w:val="false"/>
          <w:i w:val="false"/>
          <w:color w:val="000000"/>
          <w:sz w:val="28"/>
        </w:rPr>
        <w:t xml:space="preserve"> региональных стандартов для населенных пунктов, утвержденной совместным приказом Министра национальной экономики Республики Казахстан от 20 апреля 2019 года № 29, Министра образования и науки Республики Казахстан от 23 апреля 2019 года № 164, Министра здравоохранения Республики Казахстан от 25 апреля 2019 года № ҚР ДСМ-50, Министра индустрии и инфраструктурного развития Республики Казахстан от 23 апреля 2019 года № 243, Министра культуры и спорта Республики Казахстан от 22 апреля 2019 года № 113 и Министра цифрового развития, оборонной и аэрокосмической промышленности Республики Казахстан от 25 апреля 2019 года № 56/НҚ (зарегистрирован в Реестре государственной регистрации нормативных правовых актов под № 18592);</w:t>
      </w:r>
    </w:p>
    <w:p>
      <w:pPr>
        <w:spacing w:after="0"/>
        <w:ind w:left="0"/>
        <w:jc w:val="both"/>
      </w:pPr>
      <w:r>
        <w:rPr>
          <w:rFonts w:ascii="Times New Roman"/>
          <w:b w:val="false"/>
          <w:i w:val="false"/>
          <w:color w:val="000000"/>
          <w:sz w:val="28"/>
        </w:rPr>
        <w:t>
      6) наличие соответствующей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финансов РК от 05.01.2020 </w:t>
      </w:r>
      <w:r>
        <w:rPr>
          <w:rFonts w:ascii="Times New Roman"/>
          <w:b w:val="false"/>
          <w:i w:val="false"/>
          <w:color w:val="000000"/>
          <w:sz w:val="28"/>
        </w:rPr>
        <w:t>№ 1457</w:t>
      </w:r>
      <w:r>
        <w:rPr>
          <w:rFonts w:ascii="Times New Roman"/>
          <w:b w:val="false"/>
          <w:i w:val="false"/>
          <w:color w:val="ff0000"/>
          <w:sz w:val="28"/>
        </w:rPr>
        <w:t xml:space="preserve">; с изменениями, внесенными приказами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02.02.2023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2"/>
    <w:p>
      <w:pPr>
        <w:spacing w:after="0"/>
        <w:ind w:left="0"/>
        <w:jc w:val="both"/>
      </w:pPr>
      <w:r>
        <w:rPr>
          <w:rFonts w:ascii="Times New Roman"/>
          <w:b w:val="false"/>
          <w:i w:val="false"/>
          <w:color w:val="000000"/>
          <w:sz w:val="28"/>
        </w:rPr>
        <w:t>
      10. Центральный уполномоченный орган по государственному планированию рассматривает перечень МБИ, финансируемых за счет целевых трансфертов на развитие из республиканского бюджета, и не позднее 5 мая текущего финансового года готовит заключение о целесообразности включения в проект республиканского бюджета на соответствующий плановый период МБИ в пределах доведенного лимита расходов по отраслям и регионам и направляет соответствующему центральному государственному органу.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p>
    <w:bookmarkStart w:name="z19" w:id="63"/>
    <w:p>
      <w:pPr>
        <w:spacing w:after="0"/>
        <w:ind w:left="0"/>
        <w:jc w:val="left"/>
      </w:pPr>
      <w:r>
        <w:rPr>
          <w:rFonts w:ascii="Times New Roman"/>
          <w:b/>
          <w:i w:val="false"/>
          <w:color w:val="000000"/>
        </w:rPr>
        <w:t xml:space="preserve"> Глава 3. Порядок отбора целевых трансфертов на развитие</w:t>
      </w:r>
    </w:p>
    <w:bookmarkEnd w:id="63"/>
    <w:p>
      <w:pPr>
        <w:spacing w:after="0"/>
        <w:ind w:left="0"/>
        <w:jc w:val="both"/>
      </w:pPr>
      <w:r>
        <w:rPr>
          <w:rFonts w:ascii="Times New Roman"/>
          <w:b w:val="false"/>
          <w:i w:val="false"/>
          <w:color w:val="ff0000"/>
          <w:sz w:val="28"/>
        </w:rPr>
        <w:t xml:space="preserve">
      Сноска. Заголовок главы 3 – в редакции приказа Заместителя Премьер-Министра - Министра финансов РК от 05.07.2022 </w:t>
      </w:r>
      <w:r>
        <w:rPr>
          <w:rFonts w:ascii="Times New Roman"/>
          <w:b w:val="false"/>
          <w:i w:val="false"/>
          <w:color w:val="ff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64"/>
    <w:p>
      <w:pPr>
        <w:spacing w:after="0"/>
        <w:ind w:left="0"/>
        <w:jc w:val="both"/>
      </w:pPr>
      <w:r>
        <w:rPr>
          <w:rFonts w:ascii="Times New Roman"/>
          <w:b w:val="false"/>
          <w:i w:val="false"/>
          <w:color w:val="000000"/>
          <w:sz w:val="28"/>
        </w:rPr>
        <w:t>
      12. Соответствующий центральный государственный орган в установленном бюджетным законодательством порядке направляет:</w:t>
      </w:r>
    </w:p>
    <w:bookmarkEnd w:id="64"/>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бюджетных программ;</w:t>
      </w:r>
    </w:p>
    <w:p>
      <w:pPr>
        <w:spacing w:after="0"/>
        <w:ind w:left="0"/>
        <w:jc w:val="both"/>
      </w:pPr>
      <w:r>
        <w:rPr>
          <w:rFonts w:ascii="Times New Roman"/>
          <w:b w:val="false"/>
          <w:i w:val="false"/>
          <w:color w:val="000000"/>
          <w:sz w:val="28"/>
        </w:rPr>
        <w:t>
      в центральный уполномоченный орган по бюджетному планированию бюджетные заявки в полном объеме и проекты бюджетных программ, а также проекты планов развития государственных органов или проекты изменений и дополнений в планы развития государственных органов.</w:t>
      </w:r>
    </w:p>
    <w:p>
      <w:pPr>
        <w:spacing w:after="0"/>
        <w:ind w:left="0"/>
        <w:jc w:val="both"/>
      </w:pPr>
      <w:r>
        <w:rPr>
          <w:rFonts w:ascii="Times New Roman"/>
          <w:b w:val="false"/>
          <w:i w:val="false"/>
          <w:color w:val="000000"/>
          <w:sz w:val="28"/>
        </w:rPr>
        <w:t>
      В установленном бюджетным законодательством порядке проекты бюджетных программ и бюджетная заявка направляются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финансируемый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65"/>
    <w:p>
      <w:pPr>
        <w:spacing w:after="0"/>
        <w:ind w:left="0"/>
        <w:jc w:val="both"/>
      </w:pPr>
      <w:r>
        <w:rPr>
          <w:rFonts w:ascii="Times New Roman"/>
          <w:b w:val="false"/>
          <w:i w:val="false"/>
          <w:color w:val="000000"/>
          <w:sz w:val="28"/>
        </w:rPr>
        <w:t>
      13. Центральный уполномоченный орган по бюджетному планированию с учетом рекомендаций комиссии по вопросам региональной политики или местный уполномоченный орган по государственному планированию, формирует перечень МБИ по целевым трансфертам на развитие и вносит на рассмотрение соответствующей бюджетной комиссии.</w:t>
      </w:r>
    </w:p>
    <w:bookmarkEnd w:id="65"/>
    <w:bookmarkStart w:name="z22" w:id="66"/>
    <w:p>
      <w:pPr>
        <w:spacing w:after="0"/>
        <w:ind w:left="0"/>
        <w:jc w:val="both"/>
      </w:pPr>
      <w:r>
        <w:rPr>
          <w:rFonts w:ascii="Times New Roman"/>
          <w:b w:val="false"/>
          <w:i w:val="false"/>
          <w:color w:val="000000"/>
          <w:sz w:val="28"/>
        </w:rPr>
        <w:t>
      14.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определяют общую сумму целевых трансфертов на развитие по каждой отрасли в разрезе регионов для включения в проект республиканского, областных бюджетов, районного (города областного значения) бюджета на соответствующий плановый период.</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p>
    <w:bookmarkStart w:name="z23" w:id="67"/>
    <w:p>
      <w:pPr>
        <w:spacing w:after="0"/>
        <w:ind w:left="0"/>
        <w:jc w:val="both"/>
      </w:pPr>
      <w:r>
        <w:rPr>
          <w:rFonts w:ascii="Times New Roman"/>
          <w:b w:val="false"/>
          <w:i w:val="false"/>
          <w:color w:val="000000"/>
          <w:sz w:val="28"/>
        </w:rPr>
        <w:t>
      15. Сводная информация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плановый период, в двухнедельный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направляется:</w:t>
      </w:r>
    </w:p>
    <w:bookmarkEnd w:id="67"/>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столицы в центральный уполномоченный орган по бюджетному планированию;</w:t>
      </w:r>
    </w:p>
    <w:p>
      <w:pPr>
        <w:spacing w:after="0"/>
        <w:ind w:left="0"/>
        <w:jc w:val="both"/>
      </w:pPr>
      <w:r>
        <w:rPr>
          <w:rFonts w:ascii="Times New Roman"/>
          <w:b w:val="false"/>
          <w:i w:val="false"/>
          <w:color w:val="000000"/>
          <w:sz w:val="28"/>
        </w:rPr>
        <w:t xml:space="preserve">
      местными исполнительными органами районов (городов областного значения) в местный уполномоченный орган по государственному планированию области; </w:t>
      </w:r>
    </w:p>
    <w:p>
      <w:pPr>
        <w:spacing w:after="0"/>
        <w:ind w:left="0"/>
        <w:jc w:val="both"/>
      </w:pPr>
      <w:r>
        <w:rPr>
          <w:rFonts w:ascii="Times New Roman"/>
          <w:b w:val="false"/>
          <w:i w:val="false"/>
          <w:color w:val="000000"/>
          <w:sz w:val="28"/>
        </w:rPr>
        <w:t>
      аппаратами акимов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финансов РК от 21.08.2017 </w:t>
      </w:r>
      <w:r>
        <w:rPr>
          <w:rFonts w:ascii="Times New Roman"/>
          <w:b w:val="false"/>
          <w:i w:val="false"/>
          <w:color w:val="000000"/>
          <w:sz w:val="28"/>
        </w:rPr>
        <w:t>№ 506</w:t>
      </w:r>
      <w:r>
        <w:rPr>
          <w:rFonts w:ascii="Times New Roman"/>
          <w:b w:val="false"/>
          <w:i w:val="false"/>
          <w:color w:val="ff0000"/>
          <w:sz w:val="28"/>
        </w:rPr>
        <w:t>.</w:t>
      </w:r>
      <w:r>
        <w:br/>
      </w:r>
      <w:r>
        <w:rPr>
          <w:rFonts w:ascii="Times New Roman"/>
          <w:b w:val="false"/>
          <w:i w:val="false"/>
          <w:color w:val="000000"/>
          <w:sz w:val="28"/>
        </w:rPr>
        <w:t>
</w:t>
      </w:r>
    </w:p>
    <w:bookmarkStart w:name="z24" w:id="68"/>
    <w:p>
      <w:pPr>
        <w:spacing w:after="0"/>
        <w:ind w:left="0"/>
        <w:jc w:val="both"/>
      </w:pPr>
      <w:r>
        <w:rPr>
          <w:rFonts w:ascii="Times New Roman"/>
          <w:b w:val="false"/>
          <w:i w:val="false"/>
          <w:color w:val="000000"/>
          <w:sz w:val="28"/>
        </w:rPr>
        <w:t xml:space="preserve">
      16. При разработке проекта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центральный уполномоченный орган по бюджетному планированию или местный уполномоченный орган по государственному планированию на соответствующий плановый период предусматривают суммы целевых трансфертов на развитие по каждому администратору бюджетных программ в разрезе регионов.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