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6752" w14:textId="3366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баланса производства, реализации и потребления углеводородного сырья, в том числе национального топливно-энергетического баланса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февраля 2015 года № 151. Зарегистрирован в Министерстве юстиции Республики Казахстан 30 марта 2015 года № 10581.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18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производства, реализации и потребления углеводородного сырья, в том числе национальный топливно-энергетический баланс.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</w:t>
      </w:r>
      <w:r>
        <w:rPr>
          <w:rFonts w:ascii="Times New Roman"/>
          <w:b w:val="false"/>
          <w:i/>
          <w:color w:val="000000"/>
          <w:sz w:val="28"/>
        </w:rPr>
        <w:t>государственной регистрации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151 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баланс производства, реализации и потребления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в том числе национальный</w:t>
      </w:r>
      <w:r>
        <w:br/>
      </w:r>
      <w:r>
        <w:rPr>
          <w:rFonts w:ascii="Times New Roman"/>
          <w:b/>
          <w:i w:val="false"/>
          <w:color w:val="000000"/>
        </w:rPr>
        <w:t>топливно-энергетический баланс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 нефти и газового конденсата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8767"/>
        <w:gridCol w:w="2000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тонн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Добыча, всего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транспортные системы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к распределению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на внутренний рынок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"CASPI BITUM"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Нефтеперерабатывающие заводы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из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Атырау-Самара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Трубопроводный Консорциум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Казахстан-Китай (Атасу-Алашанькоу)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Актау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и 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Оренбургский Газоперерабатывающий завод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Остатки, потери при подготовке, транспортировке, стабилизации и собственные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Баланс добычи, переработки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распределения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6350"/>
        <w:gridCol w:w="3160"/>
      </w:tblGrid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Миллиард кубических метров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добыча сырого газа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сырого газа на собственные нужды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технологические и собственные нужды (на выработку электроэнергии, в том числе сжигание газа)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закачка в пласт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 к распределению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потребление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урана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4577"/>
        <w:gridCol w:w="6005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урана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готовой продукции (закись-окись урана)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Баланс угля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(без угольного концентрата)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491"/>
        <w:gridCol w:w="7318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тонн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Добыча, всего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потребление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Баланс электрической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2024"/>
        <w:gridCol w:w="6692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Миллиард киловатт в час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электроэнергии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92,7 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электроэнергии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