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6752" w14:textId="3366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баланса производства, реализации и потребления углеводородного сырья, в том числе национального топливно-энергетического баланса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февраля 2015 года № 151. Зарегистрирован в Министерстве юстиции Республики Казахстан 30 марта 2015 года № 10581.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18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производства, реализации и потребления углеводородного сырья, в том числе национальный топливно-энергетический баланс.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энергетики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</w:t>
      </w:r>
      <w:r>
        <w:rPr>
          <w:rFonts w:ascii="Times New Roman"/>
          <w:b w:val="false"/>
          <w:i/>
          <w:color w:val="000000"/>
          <w:sz w:val="28"/>
        </w:rPr>
        <w:t>государственной регистрации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151 </w:t>
            </w:r>
          </w:p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баланс производства, реализации и потребления</w:t>
      </w:r>
      <w:r>
        <w:br/>
      </w:r>
      <w:r>
        <w:rPr>
          <w:rFonts w:ascii="Times New Roman"/>
          <w:b/>
          <w:i w:val="false"/>
          <w:color w:val="000000"/>
        </w:rPr>
        <w:t>углеводородного сырья, в том числе национальный</w:t>
      </w:r>
      <w:r>
        <w:br/>
      </w:r>
      <w:r>
        <w:rPr>
          <w:rFonts w:ascii="Times New Roman"/>
          <w:b/>
          <w:i w:val="false"/>
          <w:color w:val="000000"/>
        </w:rPr>
        <w:t>топливно-энергетический баланс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 нефти и газового конденсата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8767"/>
        <w:gridCol w:w="2000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тонн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Добыча, всего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 транспортные системы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к распределению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на внутренний рынок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"CASPI BITUM"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Нефтеперерабатывающие заводы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из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Атырау-Самара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Трубопроводный Консорциум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Казахстан-Китай (Атасу-Алашанькоу)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Актау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и 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Оренбургский Газоперерабатывающий завод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Остатки, потери при подготовке, транспортировке, стабилизации и собственные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Баланс добычи, переработки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распределения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0"/>
        <w:gridCol w:w="6350"/>
        <w:gridCol w:w="3160"/>
      </w:tblGrid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Миллиард кубических метров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добыча сырого газа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сырого газа на собственные нужды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технологические и собственные нужды (на выработку электроэнергии, в том числе сжигание газа)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закачка в пласт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 к распределению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потребление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 урана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4577"/>
        <w:gridCol w:w="6005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урана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готовой продукции (закись-окись урана)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Баланс угля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(без угольного концентрата)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2491"/>
        <w:gridCol w:w="7318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тонн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Добыча, всего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потребление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Баланс электрической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4"/>
        <w:gridCol w:w="2024"/>
        <w:gridCol w:w="6692"/>
      </w:tblGrid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Миллиард киловатт в час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электроэнергии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92,7 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электроэнергии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