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33ea" w14:textId="14d3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систематической регистрации прав на недвижимое имущество в правовом кадастре</w:t>
      </w:r>
    </w:p>
    <w:p>
      <w:pPr>
        <w:spacing w:after="0"/>
        <w:ind w:left="0"/>
        <w:jc w:val="both"/>
      </w:pPr>
      <w:r>
        <w:rPr>
          <w:rFonts w:ascii="Times New Roman"/>
          <w:b w:val="false"/>
          <w:i w:val="false"/>
          <w:color w:val="000000"/>
          <w:sz w:val="28"/>
        </w:rPr>
        <w:t>Приказ Министра юстиции Республики Казахстан от 24 февраля 2015 года № 110. Зарегистрирован в Министерстве юстиции Республики Казахстан 26 марта 2015 года № 10539.</w:t>
      </w:r>
    </w:p>
    <w:p>
      <w:pPr>
        <w:spacing w:after="0"/>
        <w:ind w:left="0"/>
        <w:jc w:val="both"/>
      </w:pPr>
      <w:bookmarkStart w:name="z40" w:id="0"/>
      <w:r>
        <w:rPr>
          <w:rFonts w:ascii="Times New Roman"/>
          <w:b w:val="false"/>
          <w:i w:val="false"/>
          <w:color w:val="ff0000"/>
          <w:sz w:val="28"/>
        </w:rPr>
        <w:t xml:space="preserve">
      Сноска. В заголовок приказа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Закона от 26 июля 2007 года "О государственной регистрации прав на недвижимое имущество", </w:t>
      </w:r>
      <w:r>
        <w:rPr>
          <w:rFonts w:ascii="Times New Roman"/>
          <w:b/>
          <w:i w:val="false"/>
          <w:color w:val="000000"/>
          <w:sz w:val="28"/>
        </w:rPr>
        <w:t>ПРИКАЗЫВАЮ</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систематической регистрации прав на недвижимое имущество в правовом кадастре.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юстиции Республики Казахстан. </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Б. Султанов   </w:t>
      </w:r>
    </w:p>
    <w:p>
      <w:pPr>
        <w:spacing w:after="0"/>
        <w:ind w:left="0"/>
        <w:jc w:val="both"/>
      </w:pPr>
      <w:r>
        <w:rPr>
          <w:rFonts w:ascii="Times New Roman"/>
          <w:b w:val="false"/>
          <w:i w:val="false"/>
          <w:color w:val="000000"/>
          <w:sz w:val="28"/>
        </w:rPr>
        <w:t>
      "__" ________ 2015 года</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"__" 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110</w:t>
            </w:r>
          </w:p>
        </w:tc>
      </w:tr>
    </w:tbl>
    <w:bookmarkStart w:name="z5"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систематической регистрации прав на</w:t>
      </w:r>
      <w:r>
        <w:br/>
      </w:r>
      <w:r>
        <w:rPr>
          <w:rFonts w:ascii="Times New Roman"/>
          <w:b/>
          <w:i w:val="false"/>
          <w:color w:val="000000"/>
        </w:rPr>
        <w:t>недвижимое имущество в правовом кадастре</w:t>
      </w:r>
    </w:p>
    <w:bookmarkEnd w:id="5"/>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7"/>
    <w:p>
      <w:pPr>
        <w:spacing w:after="0"/>
        <w:ind w:left="0"/>
        <w:jc w:val="both"/>
      </w:pPr>
      <w:r>
        <w:rPr>
          <w:rFonts w:ascii="Times New Roman"/>
          <w:b w:val="false"/>
          <w:i w:val="false"/>
          <w:color w:val="000000"/>
          <w:sz w:val="28"/>
        </w:rPr>
        <w:t xml:space="preserve">
      1. Настоящие Правила проведения систематической регистрации прав на недвижимое имущество в правовом кадастре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57 Закона Республики Казахстан "О государственной регистрации прав на недвижимое имущество", которые определяют сроки и порядок проведения систематической регистрации прав (обременении прав) в целях пополнения правового кадастра сведениями о ранее возникших правах (обременениях прав) на недвижимое имущество и их учета.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2. Дата возникновения ранее возникшего права (обременения права) на недвижимое имущество при систематической регистрации определяется на основании правоустанавливающих документов в соответствии с законодательством Республики Казахстан, действовавшим в момент возникновения ранее возникшего права (обременения права). </w:t>
      </w:r>
    </w:p>
    <w:bookmarkEnd w:id="8"/>
    <w:bookmarkStart w:name="z9" w:id="9"/>
    <w:p>
      <w:pPr>
        <w:spacing w:after="0"/>
        <w:ind w:left="0"/>
        <w:jc w:val="both"/>
      </w:pPr>
      <w:r>
        <w:rPr>
          <w:rFonts w:ascii="Times New Roman"/>
          <w:b w:val="false"/>
          <w:i w:val="false"/>
          <w:color w:val="000000"/>
          <w:sz w:val="28"/>
        </w:rPr>
        <w:t>
      3. Настоящие Правила распространяются на местные исполнительные органы областей, городов республиканского значения, столицы, уполномоченные органы по земельным отношениям, по делам архитектуры, градостроительства и строительства местных исполнительных органов областей, городов республиканского значения, столицы, районов, городов областного значения, уполномоченный орган по государственному имуществу и его территориальные органы (далее – государственные органы) и регистрирующий орган.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юстиции РК от 31.07.2018 </w:t>
      </w:r>
      <w:r>
        <w:rPr>
          <w:rFonts w:ascii="Times New Roman"/>
          <w:b w:val="false"/>
          <w:i w:val="false"/>
          <w:color w:val="00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4. Основной задачей государственных органов при государственной регистрации прав на недвижимое имущество является обеспечение регистрирующего органа информацией об объектах недвижимости, их правообладателях, видах и основаниях возникновения прав на недвижимое имущество.</w:t>
      </w:r>
    </w:p>
    <w:bookmarkEnd w:id="10"/>
    <w:bookmarkStart w:name="z11" w:id="11"/>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1"/>
    <w:bookmarkStart w:name="z41" w:id="12"/>
    <w:p>
      <w:pPr>
        <w:spacing w:after="0"/>
        <w:ind w:left="0"/>
        <w:jc w:val="both"/>
      </w:pPr>
      <w:r>
        <w:rPr>
          <w:rFonts w:ascii="Times New Roman"/>
          <w:b w:val="false"/>
          <w:i w:val="false"/>
          <w:color w:val="000000"/>
          <w:sz w:val="28"/>
        </w:rPr>
        <w:t>
      1) ранее возникшее право (обременение права) – право (обременение права) на недвижимое имущество, которое возникло до 1 марта 1996 года и действительно при условии его соответствия законодательству, действовавшему на момент возникновения соответствующего права;</w:t>
      </w:r>
    </w:p>
    <w:bookmarkEnd w:id="12"/>
    <w:bookmarkStart w:name="z42" w:id="13"/>
    <w:p>
      <w:pPr>
        <w:spacing w:after="0"/>
        <w:ind w:left="0"/>
        <w:jc w:val="both"/>
      </w:pPr>
      <w:r>
        <w:rPr>
          <w:rFonts w:ascii="Times New Roman"/>
          <w:b w:val="false"/>
          <w:i w:val="false"/>
          <w:color w:val="000000"/>
          <w:sz w:val="28"/>
        </w:rPr>
        <w:t>
      2) систематическая регистрация ранее возникших прав в правовом кадастре – учетная регистрация прав (обременении прав) на недвижимое имущество, которые возникли до введения системы государственной регистрации прав на недвижимое имущество и действительные, если они соответствуют законодательству, действовавшему в момент их возникновения;</w:t>
      </w:r>
    </w:p>
    <w:bookmarkEnd w:id="13"/>
    <w:bookmarkStart w:name="z43" w:id="14"/>
    <w:p>
      <w:pPr>
        <w:spacing w:after="0"/>
        <w:ind w:left="0"/>
        <w:jc w:val="both"/>
      </w:pPr>
      <w:r>
        <w:rPr>
          <w:rFonts w:ascii="Times New Roman"/>
          <w:b w:val="false"/>
          <w:i w:val="false"/>
          <w:color w:val="000000"/>
          <w:sz w:val="28"/>
        </w:rPr>
        <w:t>
      3) учетная регистрация – регистрация прав (обременении прав) на недвижимое имущество с целью учета прав (обременении прав) на недвижимое имущество, действительных без государственной регистрации в правовом кадастре, в том числе ранее возникших прав;</w:t>
      </w:r>
    </w:p>
    <w:bookmarkEnd w:id="14"/>
    <w:bookmarkStart w:name="z44" w:id="15"/>
    <w:p>
      <w:pPr>
        <w:spacing w:after="0"/>
        <w:ind w:left="0"/>
        <w:jc w:val="both"/>
      </w:pPr>
      <w:r>
        <w:rPr>
          <w:rFonts w:ascii="Times New Roman"/>
          <w:b w:val="false"/>
          <w:i w:val="false"/>
          <w:color w:val="000000"/>
          <w:sz w:val="28"/>
        </w:rPr>
        <w:t>
      4)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15"/>
    <w:bookmarkStart w:name="z45" w:id="16"/>
    <w:p>
      <w:pPr>
        <w:spacing w:after="0"/>
        <w:ind w:left="0"/>
        <w:jc w:val="both"/>
      </w:pPr>
      <w:r>
        <w:rPr>
          <w:rFonts w:ascii="Times New Roman"/>
          <w:b w:val="false"/>
          <w:i w:val="false"/>
          <w:color w:val="000000"/>
          <w:sz w:val="28"/>
        </w:rPr>
        <w:t>
      5) первичный объект недвижимости – здания и сооружения различного функционального назначения, а также объекты особого регулирования и градостроительной регламентации;</w:t>
      </w:r>
    </w:p>
    <w:bookmarkEnd w:id="16"/>
    <w:bookmarkStart w:name="z46" w:id="17"/>
    <w:p>
      <w:pPr>
        <w:spacing w:after="0"/>
        <w:ind w:left="0"/>
        <w:jc w:val="both"/>
      </w:pPr>
      <w:r>
        <w:rPr>
          <w:rFonts w:ascii="Times New Roman"/>
          <w:b w:val="false"/>
          <w:i w:val="false"/>
          <w:color w:val="000000"/>
          <w:sz w:val="28"/>
        </w:rPr>
        <w:t>
      6) обременение права на недвижимое имущество – любое ограничение права на недвижимое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недвижимым имуществом;</w:t>
      </w:r>
    </w:p>
    <w:bookmarkEnd w:id="17"/>
    <w:bookmarkStart w:name="z47" w:id="18"/>
    <w:p>
      <w:pPr>
        <w:spacing w:after="0"/>
        <w:ind w:left="0"/>
        <w:jc w:val="both"/>
      </w:pPr>
      <w:r>
        <w:rPr>
          <w:rFonts w:ascii="Times New Roman"/>
          <w:b w:val="false"/>
          <w:i w:val="false"/>
          <w:color w:val="000000"/>
          <w:sz w:val="28"/>
        </w:rPr>
        <w:t>
      7) государственное техническое обследование недвижимого имущества – определение технических, идентификационных характеристик зданий, сооружений и их составляющих, необходимых для ведения правового кадастра;</w:t>
      </w:r>
    </w:p>
    <w:bookmarkEnd w:id="18"/>
    <w:bookmarkStart w:name="z48" w:id="19"/>
    <w:p>
      <w:pPr>
        <w:spacing w:after="0"/>
        <w:ind w:left="0"/>
        <w:jc w:val="both"/>
      </w:pPr>
      <w:r>
        <w:rPr>
          <w:rFonts w:ascii="Times New Roman"/>
          <w:b w:val="false"/>
          <w:i w:val="false"/>
          <w:color w:val="000000"/>
          <w:sz w:val="28"/>
        </w:rPr>
        <w:t>
      8) вторичный объект недвижимости – жилые и нежилые помещения, которым в целях регистрации прав на них присваиваются кадастровые номера как объектам индивидуального (раздельного) права собственности (иного вещного права);</w:t>
      </w:r>
    </w:p>
    <w:bookmarkEnd w:id="19"/>
    <w:bookmarkStart w:name="z49" w:id="20"/>
    <w:p>
      <w:pPr>
        <w:spacing w:after="0"/>
        <w:ind w:left="0"/>
        <w:jc w:val="both"/>
      </w:pPr>
      <w:r>
        <w:rPr>
          <w:rFonts w:ascii="Times New Roman"/>
          <w:b w:val="false"/>
          <w:i w:val="false"/>
          <w:color w:val="000000"/>
          <w:sz w:val="28"/>
        </w:rPr>
        <w:t>
      9) идентификационные характеристики объекта недвижимости – сведения об объекте недвижимого имущества, включая адрес, регистрационный код адреса (при его наличии), вид недвижимости, кадастровый номер, форму собственности, количество составляющих, категорию земель, делимость, целевое назначение, этажность, площадь (общая, жилая, полезная), необходимые для целей ведения правового кадастра;</w:t>
      </w:r>
    </w:p>
    <w:bookmarkEnd w:id="20"/>
    <w:bookmarkStart w:name="z50" w:id="21"/>
    <w:p>
      <w:pPr>
        <w:spacing w:after="0"/>
        <w:ind w:left="0"/>
        <w:jc w:val="both"/>
      </w:pPr>
      <w:r>
        <w:rPr>
          <w:rFonts w:ascii="Times New Roman"/>
          <w:b w:val="false"/>
          <w:i w:val="false"/>
          <w:color w:val="000000"/>
          <w:sz w:val="28"/>
        </w:rPr>
        <w:t>
      10)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21"/>
    <w:bookmarkStart w:name="z51" w:id="22"/>
    <w:p>
      <w:pPr>
        <w:spacing w:after="0"/>
        <w:ind w:left="0"/>
        <w:jc w:val="both"/>
      </w:pPr>
      <w:r>
        <w:rPr>
          <w:rFonts w:ascii="Times New Roman"/>
          <w:b w:val="false"/>
          <w:i w:val="false"/>
          <w:color w:val="000000"/>
          <w:sz w:val="28"/>
        </w:rPr>
        <w:t>
      11) правовой кадастр – единый государственный реестр зарегистрированных прав (обременений прав) на недвижимое имущество;</w:t>
      </w:r>
    </w:p>
    <w:bookmarkEnd w:id="22"/>
    <w:bookmarkStart w:name="z52" w:id="23"/>
    <w:p>
      <w:pPr>
        <w:spacing w:after="0"/>
        <w:ind w:left="0"/>
        <w:jc w:val="both"/>
      </w:pPr>
      <w:r>
        <w:rPr>
          <w:rFonts w:ascii="Times New Roman"/>
          <w:b w:val="false"/>
          <w:i w:val="false"/>
          <w:color w:val="000000"/>
          <w:sz w:val="28"/>
        </w:rPr>
        <w:t>
      12) сведения из правового кадастра – информация о зарегистрированных правах (обременениях прав) на недвижимое имущество и иных объектах государственной регистрации, содержащихся в правовом кадастре, и копии документов, находящиеся в регистрационном деле, предоставляемые регистрирующим органом;</w:t>
      </w:r>
    </w:p>
    <w:bookmarkEnd w:id="23"/>
    <w:bookmarkStart w:name="z53" w:id="24"/>
    <w:p>
      <w:pPr>
        <w:spacing w:after="0"/>
        <w:ind w:left="0"/>
        <w:jc w:val="both"/>
      </w:pPr>
      <w:r>
        <w:rPr>
          <w:rFonts w:ascii="Times New Roman"/>
          <w:b w:val="false"/>
          <w:i w:val="false"/>
          <w:color w:val="000000"/>
          <w:sz w:val="28"/>
        </w:rPr>
        <w:t>
      13) заявитель – правообладатель, приобретатель и иные лица, в интересах которых осуществляется государственная регистрация;</w:t>
      </w:r>
    </w:p>
    <w:bookmarkEnd w:id="24"/>
    <w:bookmarkStart w:name="z54" w:id="25"/>
    <w:p>
      <w:pPr>
        <w:spacing w:after="0"/>
        <w:ind w:left="0"/>
        <w:jc w:val="both"/>
      </w:pPr>
      <w:r>
        <w:rPr>
          <w:rFonts w:ascii="Times New Roman"/>
          <w:b w:val="false"/>
          <w:i w:val="false"/>
          <w:color w:val="000000"/>
          <w:sz w:val="28"/>
        </w:rPr>
        <w:t>
      14) уполномоченный представитель заявителя – лицо, которое от имени заявителя подает заявление и осуществляет иные действия, связанные с государственной регистрацией, в силу полномочия, основанного на доверенности, законодательстве, решении суда либо правовом акте;</w:t>
      </w:r>
    </w:p>
    <w:bookmarkEnd w:id="25"/>
    <w:bookmarkStart w:name="z55" w:id="26"/>
    <w:p>
      <w:pPr>
        <w:spacing w:after="0"/>
        <w:ind w:left="0"/>
        <w:jc w:val="both"/>
      </w:pPr>
      <w:r>
        <w:rPr>
          <w:rFonts w:ascii="Times New Roman"/>
          <w:b w:val="false"/>
          <w:i w:val="false"/>
          <w:color w:val="000000"/>
          <w:sz w:val="28"/>
        </w:rPr>
        <w:t>
      15) кадастровый паспорт объекта недвижимости – идентификационный документ, содержащий технические, идентификационные характеристики первичного или вторичного объекта недвижимости, а также идентификационные характеристики земельного участка, расположенного в городах республиканского значения, столице, городах областного и районного значения, согласно форме, установленной уполномоченным органом по государственному регулированию и контролю деятельности в сфере государственной регистрации прав на недвижимое имущество и государственного технического обследования недвижимого имущества и центральным уполномоченным органом по управлению земельными ресурсами;</w:t>
      </w:r>
    </w:p>
    <w:bookmarkEnd w:id="26"/>
    <w:bookmarkStart w:name="z56" w:id="27"/>
    <w:p>
      <w:pPr>
        <w:spacing w:after="0"/>
        <w:ind w:left="0"/>
        <w:jc w:val="both"/>
      </w:pPr>
      <w:r>
        <w:rPr>
          <w:rFonts w:ascii="Times New Roman"/>
          <w:b w:val="false"/>
          <w:i w:val="false"/>
          <w:color w:val="000000"/>
          <w:sz w:val="28"/>
        </w:rPr>
        <w:t>
      16) регистрирующий орган – Государственная корпорация "Правительство для граждан", осуществляющая государственную регистрацию по месту нахождения недвижимого имущества;</w:t>
      </w:r>
    </w:p>
    <w:bookmarkEnd w:id="27"/>
    <w:bookmarkStart w:name="z57" w:id="28"/>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юстиции РК от 29.03.2021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юстиции РК от 20.06.2023 </w:t>
      </w:r>
      <w:r>
        <w:rPr>
          <w:rFonts w:ascii="Times New Roman"/>
          <w:b w:val="false"/>
          <w:i w:val="false"/>
          <w:color w:val="000000"/>
          <w:sz w:val="28"/>
        </w:rPr>
        <w:t>№ 392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Глава 2. Порядок осуществления систематической регистрации в правовом кадастре</w:t>
      </w:r>
    </w:p>
    <w:bookmarkEnd w:id="29"/>
    <w:p>
      <w:pPr>
        <w:spacing w:after="0"/>
        <w:ind w:left="0"/>
        <w:jc w:val="both"/>
      </w:pPr>
      <w:r>
        <w:rPr>
          <w:rFonts w:ascii="Times New Roman"/>
          <w:b w:val="false"/>
          <w:i w:val="false"/>
          <w:color w:val="ff0000"/>
          <w:sz w:val="28"/>
        </w:rPr>
        <w:t xml:space="preserve">
      Сноска. Заголовок главы 2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30"/>
    <w:p>
      <w:pPr>
        <w:spacing w:after="0"/>
        <w:ind w:left="0"/>
        <w:jc w:val="both"/>
      </w:pPr>
      <w:r>
        <w:rPr>
          <w:rFonts w:ascii="Times New Roman"/>
          <w:b w:val="false"/>
          <w:i w:val="false"/>
          <w:color w:val="000000"/>
          <w:sz w:val="28"/>
        </w:rPr>
        <w:t>
      6. Государственные органы в регистрирующий орган представляют следующую информацию в электронном виде и на бумажных носителях:</w:t>
      </w:r>
    </w:p>
    <w:bookmarkEnd w:id="30"/>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 о приватизированных жилых объектах недвижимости, объектах недвижимости, находящихся в коммунальной собственности, их правообладателях, с указанием местонахождения недвижимости, вида и основания возникновения права на недвижимость;</w:t>
      </w:r>
    </w:p>
    <w:p>
      <w:pPr>
        <w:spacing w:after="0"/>
        <w:ind w:left="0"/>
        <w:jc w:val="both"/>
      </w:pPr>
      <w:r>
        <w:rPr>
          <w:rFonts w:ascii="Times New Roman"/>
          <w:b w:val="false"/>
          <w:i w:val="false"/>
          <w:color w:val="000000"/>
          <w:sz w:val="28"/>
        </w:rPr>
        <w:t>
      2) уполномоченные органы по земельным отношениям местных исполнительных органов областей, городов республиканского значения, столицы, районов, городов областного значения – о предоставленных, переданных, перешедших правах на земельные участки, их правообладателях, с указанием местонахождения земельного участка, его целевого назначения, площади, вида и основания возникновения права;</w:t>
      </w:r>
    </w:p>
    <w:p>
      <w:pPr>
        <w:spacing w:after="0"/>
        <w:ind w:left="0"/>
        <w:jc w:val="both"/>
      </w:pPr>
      <w:r>
        <w:rPr>
          <w:rFonts w:ascii="Times New Roman"/>
          <w:b w:val="false"/>
          <w:i w:val="false"/>
          <w:color w:val="000000"/>
          <w:sz w:val="28"/>
        </w:rPr>
        <w:t>
      3) уполномоченный орган по государственному имуществу и его территориальные органы – о приватизированных объектах недвижимости, находившихся в республиканской собственности, с указанием их местонахождения, а также сведения о приобретателях и основаниях возникновения их прав на указанные объекты;</w:t>
      </w:r>
    </w:p>
    <w:p>
      <w:pPr>
        <w:spacing w:after="0"/>
        <w:ind w:left="0"/>
        <w:jc w:val="both"/>
      </w:pPr>
      <w:r>
        <w:rPr>
          <w:rFonts w:ascii="Times New Roman"/>
          <w:b w:val="false"/>
          <w:i w:val="false"/>
          <w:color w:val="000000"/>
          <w:sz w:val="28"/>
        </w:rPr>
        <w:t>
      4) уполномоченные органы по делам архитектуры, градостроительства и строительства местных исполнительных органов областей, городов республиканского значения, столицы, районов, городов областного значения – имеющиеся данные о правообладателях, объектах недвижимости, с указанием технических и других характеристик недвижимого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юстиции РК от 31.07.2018 </w:t>
      </w:r>
      <w:r>
        <w:rPr>
          <w:rFonts w:ascii="Times New Roman"/>
          <w:b w:val="false"/>
          <w:i w:val="false"/>
          <w:color w:val="00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Систематическая регистрация ранее возникших прав (обременении прав) на недвижимое имущество осуществляется в течение трех рабочих дней с момента поступления заявления правообладателей и (или) перевода действительных данных о ранее возникших прав (обременениях прав) из других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юстиции РК от 27.05.2016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8. Государственные органы, перечисленные в пункте 6 настоящих Правил, представляют информацию в регистрирующий орган в рамках систематической регистрации на безвозмездной основе.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казахском языке, текст на русском языке не меняется в соответствии с приказом Министра юстиции РК от 27.05.2016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Регистрирующий орган проводит сверку полученной информации с данными правового кадастра, после чего </w:t>
      </w:r>
      <w:r>
        <w:rPr>
          <w:rFonts w:ascii="Times New Roman"/>
          <w:b w:val="false"/>
          <w:i w:val="false"/>
          <w:color w:val="000000"/>
          <w:sz w:val="28"/>
        </w:rPr>
        <w:t>оповещает</w:t>
      </w:r>
      <w:r>
        <w:rPr>
          <w:rFonts w:ascii="Times New Roman"/>
          <w:b w:val="false"/>
          <w:i w:val="false"/>
          <w:color w:val="000000"/>
          <w:sz w:val="28"/>
        </w:rPr>
        <w:t xml:space="preserve"> правообладателей о проведении систематической регистрации прав (обременении прав) на недвижимое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10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Систематическая регистрация ранее возникших прав (обременении прав) на недвижимое имущество может быть осуществлена путем подачи заявления правообладателем и (или) перевода действительных данных о ранее возникших правах (обременениях прав) из других информационных систем государственных органов.</w:t>
      </w:r>
    </w:p>
    <w:bookmarkStart w:name="z35" w:id="32"/>
    <w:p>
      <w:pPr>
        <w:spacing w:after="0"/>
        <w:ind w:left="0"/>
        <w:jc w:val="both"/>
      </w:pPr>
      <w:r>
        <w:rPr>
          <w:rFonts w:ascii="Times New Roman"/>
          <w:b w:val="false"/>
          <w:i w:val="false"/>
          <w:color w:val="000000"/>
          <w:sz w:val="28"/>
        </w:rPr>
        <w:t>
      11. Перевод данных о ранее возникших правах и обременениях прав на недвижимое имущество в правовой кадастр может быть осуществлен при условии действительности данных, содержащихся в государственных органах.</w:t>
      </w:r>
    </w:p>
    <w:bookmarkEnd w:id="32"/>
    <w:bookmarkStart w:name="z36" w:id="33"/>
    <w:p>
      <w:pPr>
        <w:spacing w:after="0"/>
        <w:ind w:left="0"/>
        <w:jc w:val="both"/>
      </w:pPr>
      <w:r>
        <w:rPr>
          <w:rFonts w:ascii="Times New Roman"/>
          <w:b w:val="false"/>
          <w:i w:val="false"/>
          <w:color w:val="000000"/>
          <w:sz w:val="28"/>
        </w:rPr>
        <w:t xml:space="preserve">
      12. Систематическая регистрация ранее возникших прав (обременении прав) на недвижимое имущество осуществляется безвозмездно. </w:t>
      </w:r>
    </w:p>
    <w:bookmarkEnd w:id="33"/>
    <w:bookmarkStart w:name="z37" w:id="34"/>
    <w:p>
      <w:pPr>
        <w:spacing w:after="0"/>
        <w:ind w:left="0"/>
        <w:jc w:val="left"/>
      </w:pPr>
      <w:r>
        <w:rPr>
          <w:rFonts w:ascii="Times New Roman"/>
          <w:b/>
          <w:i w:val="false"/>
          <w:color w:val="000000"/>
        </w:rPr>
        <w:t xml:space="preserve"> Глава 3. Особенности осуществления систематической регистрации в отдельных случаях</w:t>
      </w:r>
    </w:p>
    <w:bookmarkEnd w:id="34"/>
    <w:p>
      <w:pPr>
        <w:spacing w:after="0"/>
        <w:ind w:left="0"/>
        <w:jc w:val="both"/>
      </w:pPr>
      <w:r>
        <w:rPr>
          <w:rFonts w:ascii="Times New Roman"/>
          <w:b w:val="false"/>
          <w:i w:val="false"/>
          <w:color w:val="ff0000"/>
          <w:sz w:val="28"/>
        </w:rPr>
        <w:t xml:space="preserve">
      Сноска. Заголовок главы 3 в редакции приказа и.о. Министра юстиции РК от 31.07.2018 </w:t>
      </w:r>
      <w:r>
        <w:rPr>
          <w:rFonts w:ascii="Times New Roman"/>
          <w:b w:val="false"/>
          <w:i w:val="false"/>
          <w:color w:val="ff0000"/>
          <w:sz w:val="28"/>
        </w:rPr>
        <w:t>№ 1190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 w:id="35"/>
    <w:p>
      <w:pPr>
        <w:spacing w:after="0"/>
        <w:ind w:left="0"/>
        <w:jc w:val="both"/>
      </w:pPr>
      <w:r>
        <w:rPr>
          <w:rFonts w:ascii="Times New Roman"/>
          <w:b w:val="false"/>
          <w:i w:val="false"/>
          <w:color w:val="000000"/>
          <w:sz w:val="28"/>
        </w:rPr>
        <w:t xml:space="preserve">
      13. Если у правообладателя, подавшего заявление о регистрации прав на первичный или вторичный объект недвижимости, отсутствует правоустанавливающий документ на земельный участок либо на актах старого образца или иных документах, подтверждающих возникновение прав на земельный участок в соответствии с ранее действовавшим законодательством, отсутствуют сведения, необходимые для целей ведения правового кадастра, то регистрирующий орган обязан произвести учетную регистрацию ранее возникшего права на первичный или вторичный объект недвижимости. </w:t>
      </w:r>
    </w:p>
    <w:bookmarkEnd w:id="35"/>
    <w:p>
      <w:pPr>
        <w:spacing w:after="0"/>
        <w:ind w:left="0"/>
        <w:jc w:val="both"/>
      </w:pPr>
      <w:r>
        <w:rPr>
          <w:rFonts w:ascii="Times New Roman"/>
          <w:b w:val="false"/>
          <w:i w:val="false"/>
          <w:color w:val="000000"/>
          <w:sz w:val="28"/>
        </w:rPr>
        <w:t>
      Учетная регистрация ранее возникшего права на земельный участок осуществляется после выдачи уполномоченным органом идентификационного</w:t>
      </w:r>
      <w:r>
        <w:rPr>
          <w:rFonts w:ascii="Times New Roman"/>
          <w:b w:val="false"/>
          <w:i w:val="false"/>
          <w:color w:val="000000"/>
          <w:sz w:val="28"/>
        </w:rPr>
        <w:t xml:space="preserve"> документа</w:t>
      </w:r>
      <w:r>
        <w:rPr>
          <w:rFonts w:ascii="Times New Roman"/>
          <w:b w:val="false"/>
          <w:i w:val="false"/>
          <w:color w:val="000000"/>
          <w:sz w:val="28"/>
        </w:rPr>
        <w:t xml:space="preserve"> на земельный участок на основании акта старого образца или иных документов, подтверждающих возникновение прав на земельный участок в соответствии с ранее действовавшим законодательством. Для регистрации правообладатель представляет акт старого образца или иной документ, подтверждающий возникновение прав на земельный участок в соответствии с ранее действовавшим законодательством, и идентификационный документ на земельный участок. </w:t>
      </w:r>
    </w:p>
    <w:p>
      <w:pPr>
        <w:spacing w:after="0"/>
        <w:ind w:left="0"/>
        <w:jc w:val="both"/>
      </w:pPr>
      <w:r>
        <w:rPr>
          <w:rFonts w:ascii="Times New Roman"/>
          <w:b w:val="false"/>
          <w:i w:val="false"/>
          <w:color w:val="000000"/>
          <w:sz w:val="28"/>
        </w:rPr>
        <w:t>
      При отсутствии у правообладателя правоустанавливающего документа на земельный участок оформление прав на него осуществляется в установленном порядке.</w:t>
      </w:r>
    </w:p>
    <w:bookmarkStart w:name="z39" w:id="36"/>
    <w:p>
      <w:pPr>
        <w:spacing w:after="0"/>
        <w:ind w:left="0"/>
        <w:jc w:val="both"/>
      </w:pPr>
      <w:r>
        <w:rPr>
          <w:rFonts w:ascii="Times New Roman"/>
          <w:b w:val="false"/>
          <w:i w:val="false"/>
          <w:color w:val="000000"/>
          <w:sz w:val="28"/>
        </w:rPr>
        <w:t>
      14. При осуществлении учетной регистрации ранее возникших прав на первичные и вторичные объекты кадастровый паспорт объекта недвижимости правообладателем не представляется. Государственное техническое обследование при проведении систематической регистрации осуществляется безвозмездно Государственной корпорацией "Правительство для граждан", к компетенции которой отнесен государственный технический учет по месту нахождения объекта недвижимости.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20.06.2023 </w:t>
      </w:r>
      <w:r>
        <w:rPr>
          <w:rFonts w:ascii="Times New Roman"/>
          <w:b w:val="false"/>
          <w:i w:val="false"/>
          <w:color w:val="000000"/>
          <w:sz w:val="28"/>
        </w:rPr>
        <w:t>№ 392</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