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e781" w14:textId="281e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налоговой учетной политики для налогоплательщиков, применяющих специальный налоговый режим для субъектов малого бизнеса, специальный налоговый режим для крестьянских или фермерских хозяйств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февраля 2015 года № 86. Зарегистрирован в Министерстве юстиции Республики Казахстан 17 марта 2015 года № 10458. Утратил силу приказом Министра финансов Республики Казахстан от 1 февраля 2018 года № 97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01.02.2018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налоговой учетной политики для налогоплательщиков, применяющих специальный налоговый режим для субъектов малого бизнеса, специальный налоговый режим для крестьянских или фермерских хозяйств.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(Ергожину Д.Е.)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2015 года № 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Налоговая учетная политика</w:t>
      </w:r>
      <w:r>
        <w:br/>
      </w:r>
      <w:r>
        <w:rPr>
          <w:rFonts w:ascii="Times New Roman"/>
          <w:b/>
          <w:i w:val="false"/>
          <w:color w:val="000000"/>
        </w:rPr>
        <w:t>для налогоплательщиков, применяющих специальный налоговый режим</w:t>
      </w:r>
      <w:r>
        <w:br/>
      </w:r>
      <w:r>
        <w:rPr>
          <w:rFonts w:ascii="Times New Roman"/>
          <w:b/>
          <w:i w:val="false"/>
          <w:color w:val="000000"/>
        </w:rPr>
        <w:t>для субъектов малого бизнеса, специальный налоговый режим для</w:t>
      </w:r>
      <w:r>
        <w:br/>
      </w:r>
      <w:r>
        <w:rPr>
          <w:rFonts w:ascii="Times New Roman"/>
          <w:b/>
          <w:i w:val="false"/>
          <w:color w:val="000000"/>
        </w:rPr>
        <w:t>крестьянских или фермерских хозяйств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наличии)/наименование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или бизнес идентификационный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Виды осуществляемой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 отнесения в зачет налога на добавленную стоимость (НДС)*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(раздельный, пропорциональный)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Метод определения себестоимости запасов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60-3 Налогового кодекса**___________________________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налоговых регистров, формы которых разработаны самостоятельно 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налогового учета индивидуальными предпринимателями,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применяющими специальный налоговый режим на основе патента (отметьте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в соответствующей ячейке):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Книге налогового учета для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предпринимателей, применяющих специальный налоговый режим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основе патента и не являющихся плательщиками налога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Книге налогового учета для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предпринимателей, применяющих специальный налоговый режим на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патента и являющихся плательщиками налога на добавленную стоимость,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ведомости учета обязательств по плате за эмиссии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окружающую среду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Лицо, ответственное за соблюдение налоговой учетной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принятия налоговой учетной политики "__" ___ 20___года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заполняется индивидуальными предпринимателями, которые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законодательным актом Республики Казахстан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бухгалтерском учете и финансовой отчетности вправе не осуществлять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бухгалтерского учета и составление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только индивидуальными предпринимателями,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в соответствии с законодательным актом Республики Казахстан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бухгалтерском учете и финансовой отчетности вправе не осуществлять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бухгалтерского учета и составление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заполняется при наличии налоговых регистров, разработанных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налогоплательщиком самостоятельно в дополнение к налоговым регистрам,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которых установлены уполномоченным органом,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Налогового кодекса, а также индивидуальными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предпринимателями, которые в соответствии с законодательным актом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 бухгалтерском учете и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вправе не осуществлять ведение бухгалтерского учета и составление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финансовой отчетности,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кодекса, осуществляющими производство товаров,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выбравшими метод средневзвешенной стоимости.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налоговой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для налогоплательщиков,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применяющих 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режим 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бизнеса, 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режим для 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фермерских хозяйств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налогового учета для индивидуальных предпринимателей,</w:t>
      </w:r>
      <w:r>
        <w:br/>
      </w:r>
      <w:r>
        <w:rPr>
          <w:rFonts w:ascii="Times New Roman"/>
          <w:b/>
          <w:i w:val="false"/>
          <w:color w:val="000000"/>
        </w:rPr>
        <w:t>применяющих специальный налоговый режим на основе патента и</w:t>
      </w:r>
      <w:r>
        <w:br/>
      </w:r>
      <w:r>
        <w:rPr>
          <w:rFonts w:ascii="Times New Roman"/>
          <w:b/>
          <w:i w:val="false"/>
          <w:color w:val="000000"/>
        </w:rPr>
        <w:t>не являющихся плательщиками налога на добавленную стоимость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(титульный лист)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индивидуального предпринимателя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осуществляемой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Ведомость учета доходов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(в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0"/>
        <w:gridCol w:w="4719"/>
        <w:gridCol w:w="3791"/>
      </w:tblGrid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день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заполняется по мере поступления дохода, в хронологическом порядке с подведением итогов на конец рабочего дня. В конце месяца, квартала, года подводятся итоговые данные за месяц, квартал, год.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налоговой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для налогоплательщиков,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применяющих 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режим 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бизнеса, 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режим для 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фермерских хозяйств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налогового учета для индивидуальных предпринимателей,</w:t>
      </w:r>
      <w:r>
        <w:br/>
      </w:r>
      <w:r>
        <w:rPr>
          <w:rFonts w:ascii="Times New Roman"/>
          <w:b/>
          <w:i w:val="false"/>
          <w:color w:val="000000"/>
        </w:rPr>
        <w:t>применяющих специальный налоговый режим на основе патента и</w:t>
      </w:r>
      <w:r>
        <w:br/>
      </w:r>
      <w:r>
        <w:rPr>
          <w:rFonts w:ascii="Times New Roman"/>
          <w:b/>
          <w:i w:val="false"/>
          <w:color w:val="000000"/>
        </w:rPr>
        <w:t>являющихся плательщиками налога на добавленную стоимость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(титульный лист книги)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индивидуального предпринимателя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осуществляемой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постановке на учет по налогу на добавленную стоимость: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___________________ номер _____________________ дата выдачи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Ведомость учета доходов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(в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112"/>
        <w:gridCol w:w="1112"/>
        <w:gridCol w:w="2349"/>
        <w:gridCol w:w="1731"/>
        <w:gridCol w:w="1112"/>
        <w:gridCol w:w="2040"/>
        <w:gridCol w:w="1732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 по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 по счетам-фактурам, выставленным поставщиками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без налога на добавленную стоимость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Оборот, облагаемый налогом на добавленную стоимость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день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заполняется ежедневно, в хронологическом порядке с подведением итогов на конец рабочего дня. В конце месяца, квартала, года подводятся итоговые данные за месяц, квартал, год.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налоговой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для налогоплательщиков,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применяющих 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режим 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бизнеса, 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режим для 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фермерских хозяйств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учета обязательств по плате за эмиссии в</w:t>
      </w:r>
      <w:r>
        <w:br/>
      </w:r>
      <w:r>
        <w:rPr>
          <w:rFonts w:ascii="Times New Roman"/>
          <w:b/>
          <w:i w:val="false"/>
          <w:color w:val="000000"/>
        </w:rPr>
        <w:t>окружающую среду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(в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2762"/>
        <w:gridCol w:w="1864"/>
        <w:gridCol w:w="882"/>
        <w:gridCol w:w="883"/>
        <w:gridCol w:w="2513"/>
        <w:gridCol w:w="2514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 (выбросы, сбросы, размещение отходов)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загрязняющего вещества, топлива, отходов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день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Ведомость заполняется по мере проведения операций (выброса, сброса, размещения отходов), в хронологическом порядке с подведением итогов на конец квартала. В конце года подводятся итоговые данные за год.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header.xml" Type="http://schemas.openxmlformats.org/officeDocument/2006/relationships/header" Id="rId3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