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a0b5d" w14:textId="46a0b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реализации проектных механизмов в сфере регулирования выбросов и поглощений парниковых газов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12 февраля 2015 года № 76. Зарегистрирован в Министерстве юстиции Республики Казахстан 17 марта 2015 года № 10447. Утратил силу приказом и.о. Министра экологии, геологии и природных ресурсов Республики Казахстан от 4 августа 2021 года № 289.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экологии, геологии и природных ресурсов РК от 04.08.2021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Экологического кодекса Республики Казахстан от 9 января 2007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проектных механизмов в сфере регулирования выбросов и поглощений парниковых газов.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изменению климата Министерства энергетики Республики Казахстан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периодические печатные издания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энергетики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2015 года № 76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реализации проектных механизмов в сфере регулирования</w:t>
      </w:r>
      <w:r>
        <w:br/>
      </w:r>
      <w:r>
        <w:rPr>
          <w:rFonts w:ascii="Times New Roman"/>
          <w:b/>
          <w:i w:val="false"/>
          <w:color w:val="000000"/>
        </w:rPr>
        <w:t>выбросов и поглощений парниковых газов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реализации проектных механизмов в сфере регулирования выбросов и поглощений парниковых газов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Экологического Кодекса Республики Казахстан (далее - Кодекс) и определяют порядок реализации проектных механизмов в сфере регулирования выбросов и поглощений парниковых газов.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6"/>
    <w:bookmarkStart w:name="z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базовый сценарий – сценарий, отражающий уровень выбросов парниковых газов или уровень поглощения парниковых газов в случае отсутствия предлагаемого внутреннего проекта, в сравнении с которым оценивается достигнутый объем сокращения выбросов и (или) поглощения парниковых газов;</w:t>
      </w:r>
    </w:p>
    <w:bookmarkEnd w:id="7"/>
    <w:bookmarkStart w:name="z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проектный период – срок, в течение которого производится или может производиться выпуск проектных углеродных единиц на основе периодического подтверждения и утверждения результатов проекта;</w:t>
      </w:r>
    </w:p>
    <w:bookmarkEnd w:id="8"/>
    <w:bookmarkStart w:name="z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проектные углеродные единицы - единицы внутреннего сокращения выбросов, единицы сокращения выбросов, единицы сертифицированного сокращения выбросов;</w:t>
      </w:r>
    </w:p>
    <w:bookmarkEnd w:id="9"/>
    <w:bookmarkStart w:name="z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проектный механизм - последовательный процесс разработки и реализации проектов, направленных на сокращение выбросов и (или) увеличение поглощений парниковых газов в соответствии с порядком и критериями, установленными Киотским протоколом к Рамочной конвенции Организации Объединенных Наций об изменении климата и (или) экологическим законодательством Республики Казахстан;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базовый уровень поглощения парниковых газов - выраженная в тоннах эквивалента двуокиси углерода величина поглощения парниковых газов за определенный период при существующих условиях эксплуатации без реализации проекта, направленного на увеличение поглощения парниковых газов;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увеличение поглощения парниковых газов - расчетное увеличение поглощения парниковых газов по отношению к базовому сценарию;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сокращение выбросов парниковых газов - расчетное снижение выбросов парниковых газов по отношению к базовому сценарию;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базовый уровень выбросов парниковых газов - выраженная в тоннах эквивалента двуокиси углерода величина выбросов парниковых газов, произведенных объектом выбросов этих газов за определенный период при условии использования существующих на данном объекте технологий, оборудования и при других наиболее вероятных условиях, которые могут иметь место без реализации проекта, направленного на сокращение выбросов парниковых газов;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трэк I - способ осуществления проектов по механизму совместного осуществления, который позволяет самой стране при условии соответствия требованиям, установленным Киотским протоколом к Рамочной конвенции Организации Объединенных Наций об изменении климата (далее - Киотский протокол), верифицировать данные проекты и вводить в обращение соответствующее количество единиц сокращения выбросов;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трэк II - способ осуществления проектов по механизму совместного осуществления, в рамках которого данные проекты проходят процедуру верификации под надзором уполномоченного международного органа;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субъект администрирования - оператор установки, объем выбросов парниковых газов которой составляет от десяти до двадцати тысяч тонн эквивалента двуокиси углерода в год, в следующих регулируемых сферах деятельности: нефтегазовой, электроэнергетической, горнодобывающей, металлургической, химической, обрабатывающей в части производства стройматериалов: цемента, извести, гипса и кирпича.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и.о. Министра энергетики РК от 17.11.2016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Порядок реализации проектных механизмов в сфере</w:t>
      </w:r>
      <w:r>
        <w:br/>
      </w:r>
      <w:r>
        <w:rPr>
          <w:rFonts w:ascii="Times New Roman"/>
          <w:b/>
          <w:i w:val="false"/>
          <w:color w:val="000000"/>
        </w:rPr>
        <w:t>регулирования выбросов и поглощений парниковых газов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Реализация деятельности в Республике Казахстан на основе проектных механизмов в сфере регулирования выбросов и поглощений парниковых газов осуществляется их участниками на добровольной основе и не является основанием для ее финансирования из государственного бюджета.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Проектные механизмы в сфере регулирования выбросов и поглощений парниковых газов разделяются в Республике Казахстан на следующие виды: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механизм </w:t>
      </w:r>
      <w:r>
        <w:rPr>
          <w:rFonts w:ascii="Times New Roman"/>
          <w:b w:val="false"/>
          <w:i w:val="false"/>
          <w:color w:val="000000"/>
          <w:sz w:val="28"/>
        </w:rPr>
        <w:t>внутреннего сокращения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выбросов;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механизм совместного осуществления;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механизм чистого развития.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Проектный механизм внутреннего сокращения выбросов парниковых газов реализуется его участниками на основе положений </w:t>
      </w:r>
      <w:r>
        <w:rPr>
          <w:rFonts w:ascii="Times New Roman"/>
          <w:b w:val="false"/>
          <w:i w:val="false"/>
          <w:color w:val="000000"/>
          <w:sz w:val="28"/>
        </w:rPr>
        <w:t>статьи 94-10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Проекты по механизмам совместного осуществления реализуются на территории республики только после прохождения Республикой Казахстан процедур по определению установленного количества, предусмотренного в рамках </w:t>
      </w:r>
      <w:r>
        <w:rPr>
          <w:rFonts w:ascii="Times New Roman"/>
          <w:b w:val="false"/>
          <w:i w:val="false"/>
          <w:color w:val="000000"/>
          <w:sz w:val="28"/>
        </w:rPr>
        <w:t>Киотского протокола</w:t>
      </w:r>
      <w:r>
        <w:rPr>
          <w:rFonts w:ascii="Times New Roman"/>
          <w:b w:val="false"/>
          <w:i w:val="false"/>
          <w:color w:val="000000"/>
          <w:sz w:val="28"/>
        </w:rPr>
        <w:t>, и представления соответствующих данных в международный регистрационный журнал операций.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Проектные механизмы совместного осуществления, чистого развития реализуются на основе положений </w:t>
      </w:r>
      <w:r>
        <w:rPr>
          <w:rFonts w:ascii="Times New Roman"/>
          <w:b w:val="false"/>
          <w:i w:val="false"/>
          <w:color w:val="000000"/>
          <w:sz w:val="28"/>
        </w:rPr>
        <w:t>статей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Киотского протокола.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Проекты по механизму чистого развития осуществляются участниками из Республики Казахстан на территории других государств, ратифицировавших </w:t>
      </w:r>
      <w:r>
        <w:rPr>
          <w:rFonts w:ascii="Times New Roman"/>
          <w:b w:val="false"/>
          <w:i w:val="false"/>
          <w:color w:val="000000"/>
          <w:sz w:val="28"/>
        </w:rPr>
        <w:t>Киотский 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не входящих в приложение I Рамочной конвенции Организации Объединенных Наций об изменении климата (далее - Конвенция).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проектов по механизмам совместного осуществления по трэку I и по трэку II и механизму чистого развития процедуры определены в рамках Конвенции.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реализации на территории Республики Казахстан проектов по механизму совместного осуществления по трэку I выполняются следующие условия: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национальной системы для оценки антропогенных выбросов из источников и абсорбции поглотителями парниковых газов;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инвентаризации и подготовка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кадастра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источников выбросов и поглощений парниковых газов, что позволяет оценивать на постоянной основе состояние дел с выбросами и поглощениями парниковых газов по стране;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представление в секретариат Конвенции ежегодного доклада о государственном кадастре источников выбросов и поглощений парниковых газов, а также информации об установленном количестве для Республики Казахстан, корректно рассчитанных прибавлениях к нему и вычетов из него.</w:t>
      </w:r>
    </w:p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принятии решений о реализации проектов на условиях проектных механизмов,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уполномоченным органом в области охраны окружающей среды (далее - уполномоченный орган) производится их предварительный отбор на соответствие определенным международным критериям, установленным в рамках </w:t>
      </w:r>
      <w:r>
        <w:rPr>
          <w:rFonts w:ascii="Times New Roman"/>
          <w:b w:val="false"/>
          <w:i w:val="false"/>
          <w:color w:val="000000"/>
          <w:sz w:val="28"/>
        </w:rPr>
        <w:t>Киотского протокола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Проектные механизмы не осуществляются на установках и производственных объектах, подпадающих под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квотированию выбросов парниковых газов и включенных в национальный план распределения квот на выбросы парниковых газов.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целях исключения двойного учета сокращений выбросов парниковых газов по каждой отдельной установке не осуществляется одновременно более одного проектного механизма, направленного на снижение выбросов парниковых газов или увеличение поглощения парниковых газов.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о признании реализации проекта на условиях одного из проектных механизмов в сфере регулирования выбросов и поглощений парниковых газов принимается уполномоченным органом при условии соответствия проекта требованиям, установленным Киотским протоколом и (или) экологическим законодательством Республики Казахстан.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и.о. Министра энергетики РК от 17.11.2016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15. Реализация проектных механизмов в сфере регулирования выбросов и поглощений парниковых газов осуществляется на основе проектной документации и плана мониторинга, подготовку которых осуществляет заявитель проекта.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целях предварительного отбора проектов на соответствие требованиям по отдельным видам проектных механизмов, предварительно предоставляется краткое описание проекта (проектная идея) в порядке,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94-10 Кодекса.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назначает подведомственную организацию, осуществляющую учет и рассмотрение отчетов по проектным механизмам.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Форма проектной документации для проектов по механизму совместного осуществления по трэку I и для проектов по механизму чистого развития и совместного осуществления по трэку II применяется в соответствии с требованиями, установленными в рамках </w:t>
      </w:r>
      <w:r>
        <w:rPr>
          <w:rFonts w:ascii="Times New Roman"/>
          <w:b w:val="false"/>
          <w:i w:val="false"/>
          <w:color w:val="000000"/>
          <w:sz w:val="28"/>
        </w:rPr>
        <w:t>Киотского протокола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случаях, предусмотренных настоящими Правилами по соответствующему виду проектного механизма, проводится валидация проектной документации и плана мониторинга аккредитованным органом по валидации и верификации.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приказа и.о. Министра энергетики РК от 17.11.2016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20. Мониторинг сокращения выбросов и (или) увеличения поглощения парниковых газов относительно определенного в проектном предложении базового сценария осуществляется на основе плана мониторинга проекта.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приказа и.о. Министра энергетики РК от 17.11.2016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21. При подаче отчетности по результатам реализации проекта в уполномоченный орган заявитель проекта предоставляет информацию о любых существенных отклонениях от одобренного плана мониторинга в соответствии с требованиями настоящих Правил по соответствующему проектному механизму.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приказа и.о. Министра энергетики РК от 17.11.2016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22. Для проведения мониторинга по проектным механизмам чистого развития и совместного осуществления используются методики, определенные для применения в рамках Конвенции.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Для расчетов базовых уровней и фактических выбросов и поглощений парниковых газов в результате реализации проектов по проектным механизмам используются следующие коэффициенты выбросов парниковых газов и иные коэффициенты: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применяемые для аналогичных проектов по механизмам совместного осуществления и чистого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утвержденные уполномоченным органом. </w:t>
      </w:r>
    </w:p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Требования по отчетности по результатам реализации проектов по механизмам чистого развития и совместного осуществления по трэку II определяются в рамках </w:t>
      </w:r>
      <w:r>
        <w:rPr>
          <w:rFonts w:ascii="Times New Roman"/>
          <w:b w:val="false"/>
          <w:i w:val="false"/>
          <w:color w:val="000000"/>
          <w:sz w:val="28"/>
        </w:rPr>
        <w:t>Киотского протокола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Требования по периоду выпуска углеродных единиц по проекту, оформлению и периодичности предоставления отчетов по результатам реализации проектов по механизму совместного осуществления по трэку I устанавливаются настоящими Правилами по соответствующему проектному механизму.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Заявленные в периодических отчетах результаты по сокращению выбросов парниковых газов либо увеличению их поглощения в случае проектов, реализуемых на территории Республики Казахстан, подлежат верификации.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в редакции приказа и.о. Министра энергетики РК от 17.11.2016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27. Верификация по проектам по механизмам совместного осуществления по трэку I осуществляется аккредитованными органами по валидации и верификации.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в редакции приказа и.о. Министра энергетики РК от 17.11.2016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28. Отчеты о реализации на территории Республики Казахстан проектов по механизму совместного осуществления по трэку I представляются на утверждение уполномоченного органа.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Выпуск проектных углеродных единиц производится на основе периодической оценки результатов реализации проекта, осуществляемой в пределах установленного для него периода выпуска углеродных единиц по проекту.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Оператор государственного реестра углеродных единиц Республики Казахстан вводит в обращение проектные углеродные единицы по механизму совместного осуществления.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 результатам реализации проектов по механизму совместного осуществления вводятся единицы сокращения выбросов.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Основанием для введения в обращение проектных углеродных единиц оператором государственного реестра углеродных единиц Республики Казахстан является отчет о реализации проекта, утвержденный уполномоченным органом либо получение соответствующего запроса из международного регистрационного журнала операций.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Введение в обращение единиц сокращения выбросов по запросу, полученному из международного регистрационного журнала операций, производится в случае реализации проекта совместного осуществления по трэку II.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Введение в обращение проектных углеродных единиц производится посредством их размещения на счету инвестора либо оператора проекта в государственном реестре углеродных единиц Республики Казахстан в объеме сокращения выбросов парниковых газов или увеличения поглощения согласно отчету о реализации проекта, утвержденному уполномоченным органом.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Передача проектных углеродных единиц инвестору проекта, не являющемуся резидентом Республики Казахстан, производится на его счете в государственном реестре углеродных единиц Республики Казахстан.</w:t>
      </w:r>
    </w:p>
    <w:bookmarkEnd w:id="51"/>
    <w:bookmarkStart w:name="z2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участия субъектов администрирования</w:t>
      </w:r>
      <w:r>
        <w:br/>
      </w:r>
      <w:r>
        <w:rPr>
          <w:rFonts w:ascii="Times New Roman"/>
          <w:b/>
          <w:i w:val="false"/>
          <w:color w:val="000000"/>
        </w:rPr>
        <w:t>в реализации проектных механизмов в сфере регулирования</w:t>
      </w:r>
      <w:r>
        <w:br/>
      </w:r>
      <w:r>
        <w:rPr>
          <w:rFonts w:ascii="Times New Roman"/>
          <w:b/>
          <w:i w:val="false"/>
          <w:color w:val="000000"/>
        </w:rPr>
        <w:t>выбросов и поглощений парниковых газов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3 в соответствии с приказом и.о. Министра энергетики РК от 17.11.2016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bookmarkStart w:name="z2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36. Субъекты администрирования участвуют в проектах по механизмам совместного осуществления, чистого развития только после прохождения Республикой Казахстан международных процедур по определению установленного количества в соответствии с Рамочной Конвенцией Организации Объединенных Наций об изменении климата, ратифицированной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мая 1995 года № 2260, и представления соответствующих данных по стране в международный регистрационный журнал операций.</w:t>
      </w:r>
    </w:p>
    <w:bookmarkEnd w:id="53"/>
    <w:bookmarkStart w:name="z2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Субъекты администрирования участвуют в качестве заявителя проекта, направленного на сокращение выбросов и поглощение парниковых газов.</w:t>
      </w:r>
    </w:p>
    <w:bookmarkEnd w:id="54"/>
    <w:bookmarkStart w:name="z2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Уполномоченный орган на основе представленного субъектом администрирования отчета об инвентаризации парниковых газов определяет соответствие субъекта администрирования требованиям по квотированию выбросов парниковых газов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94-2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 В случае, если объем выбросов парниковых газов превышает эквивалент двадцати тысяч тонн двуокиси углерода в год, субъект администрирования подает документы на оформление квоты на выбросы парниковых газов на соответствующую установку (установки) в уполномоченный орган, в порядке установленным Правилами выдачи, изменения и погашения квот на выбросы парниковых газов,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28 июня 2016 года № 292 (зарегистрирован в Реестре государственной регистрации нормативных правовых актов № 14012), начиная с текущего года.</w:t>
      </w:r>
    </w:p>
    <w:bookmarkEnd w:id="55"/>
    <w:bookmarkStart w:name="z2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Проекты внутреннего сокращения выбросов парниковых газов не осуществляются физическими и юридическими лицами на территории Республики Казахстан в отношении установки (установок), которая подпадает под требования по квотированию выбросов парниковых газов.</w:t>
      </w:r>
    </w:p>
    <w:bookmarkEnd w:id="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