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f939" w14:textId="8fdf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участия субъектов администрирования в реализации проектных механизмов в сфере регулирования выбросов и поглощений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февраля 2015 года № 77. Зарегистрирован в Министерстве юстиции Республики Казахстан 17 марта 2015 года № 10446. Утратил силу приказом Министра энергетики Республики Казахстан от 27 апреля 2016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27.04.2016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94-6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участия субъектов администрирования в реализации проектных механизмов в сфере регулирования выбросов и поглощений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2015 года № 77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участия субъектов администрирования в реализации проектных</w:t>
      </w:r>
      <w:r>
        <w:br/>
      </w:r>
      <w:r>
        <w:rPr>
          <w:rFonts w:ascii="Times New Roman"/>
          <w:b/>
          <w:i w:val="false"/>
          <w:color w:val="000000"/>
        </w:rPr>
        <w:t>
механизмов в сфере регулирования выбросов и поглощений</w:t>
      </w:r>
      <w:r>
        <w:br/>
      </w:r>
      <w:r>
        <w:rPr>
          <w:rFonts w:ascii="Times New Roman"/>
          <w:b/>
          <w:i w:val="false"/>
          <w:color w:val="000000"/>
        </w:rPr>
        <w:t>
парниковых газов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участия субъектов администрирования в реализации проектных механизмов в сфере регулирования выбросов и поглощений парниковых газов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94-6 Экологического кодекса Республики Казахстан (далее - Кодекс) и определяют порядок участия субъектов администрирования в реализации проектных механизмов в сфере регулирования выбросов и поглощений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администрирования природопользователей - юридические лица, осуществляющие деятельность, связанную с выбросами парниковых газов, объем которых не превышает эквивалента двадцати тысяч тонн двуокиси углерода в год, в следующих отраслях экономики: нефтегазовой, энергетической, горно-металлургической, химической, в сельском хозяйстве, транспорте, а также в жилищно-коммунальном хозяйстве;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инвестор проекта - участник проекта, направленного на сокращение выбросов и поглощение парниковых газов, осуществляющий его целевое финансирование на основании договора с оператором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оператор проекта - участник проекта, направленного на сокращение выбросов и поглощение парниковых газов, осуществляющий управление процессом его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Порядок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проектных механизмов в сфере регулирования выбросов и поглощений парниковых газов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 (далее - уполномоченный орган)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Кодекса.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участия субъектов администрирования в реализации проектных механизмов в сфере регулирования выбросов и поглощений парниковых газов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администрирования участвуют в проектах по механизмам совместного осуществления, чистого развития только после прохождения Республикой Казахстан международных процедур по определению установленного количества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Рамочной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об изменении климата, ратифицированной Указом Президента Республики Казахстан от 4 мая 1995 года № 2260, и представления соответствующих данных по стране в международный регистрационный журнал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Субъекты администрирования участвуют в реализации на территории Республики Казахстан проектов по механизму </w:t>
      </w:r>
      <w:r>
        <w:rPr>
          <w:rFonts w:ascii="Times New Roman"/>
          <w:b w:val="false"/>
          <w:i w:val="false"/>
          <w:color w:val="000000"/>
          <w:sz w:val="28"/>
        </w:rPr>
        <w:t>внутреннего сокращения выбросов</w:t>
      </w:r>
      <w:r>
        <w:rPr>
          <w:rFonts w:ascii="Times New Roman"/>
          <w:b w:val="false"/>
          <w:i w:val="false"/>
          <w:color w:val="000000"/>
          <w:sz w:val="28"/>
        </w:rPr>
        <w:t>, определяемым в порядке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Субъекты администрирования участвуют в качестве операторов либо инвесторов внутренних проектов по сокращению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участия в проектных механизмах, субъекты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администрирования подают ежегодно не позднее 1 апреля отчет об инвентаризации парниковых газов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28 июля 2015 года № 502 «Об утверждении форм отчетов об инвентаризации парниковых газов» (Зарегистрированный в Реестре государственной регистрации нормативных правовых актов за № 11818).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Ежегодный отчет об инвентаризации парниковых газов представляется субъектами администрирования на регистрацию до 1 апреля, следующего за отчетным годом, в территориальные подразделения уполномоченного органа в области охраны окружающей среды без подтверждения независимой аккредитованной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отчетов об инвентаризации парниковых газов субъектов администрирования составляет не более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приказом Министра энергетики РК от 04.12.2015 </w:t>
      </w:r>
      <w:r>
        <w:rPr>
          <w:rFonts w:ascii="Times New Roman"/>
          <w:b w:val="false"/>
          <w:i w:val="false"/>
          <w:color w:val="00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на основе представленного субъектом администрирования отчета об инвентаризации парниковых газов определяет соответствие субъекта администрирования требованиям по квотированию выбросов парниковых газов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В случае, если объем выбросов парниковых газов превышает эквивалент двадцати тысяч тонн двуокиси углерода в год, субъект администрирования подает документы на оформление квоты на выбросы парниковых газов на соответствующую установку (установки) в уполномоченный орган, в порядке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начиная с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Проекты внутреннего сокращения выбросов парниковых газов не осуществляются юридическими лицами на территории Республики Казахстан в отношении установки (установок), объемы выбросов парниковых газов которых подпадают под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квотированию. Ранее реализованные мероприятия по сокращению выбросов парниковых газов по подлежащей под квотирование установке учитываются уполномоченным органом при определении квоты на выбросы парниковых газов по соответствующей установке.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