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abcc" w14:textId="bcda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Чингирлауского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4 марта 2014 года № 19-2. Зарегистрировано Департаментом юстиции Западно-Казахстанской области 28 марта 2014 года № 3454. Утратило силу решением Чингирлауского районного маслихата Западно-Казахстанской области от 21 апреля 2016 года № 2-4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Чингирлауского районного маслихата Западно-Казахстанской области от 21.04.2016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Чингирлауский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Чингирлауского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Джумабаева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Чингирлауского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4 марта 2014 года № 19-2</w:t>
            </w:r>
          </w:p>
        </w:tc>
      </w:tr>
    </w:tbl>
    <w:bookmarkStart w:name="z9" w:id="0"/>
    <w:p>
      <w:pPr>
        <w:spacing w:after="0"/>
        <w:ind w:left="0"/>
        <w:jc w:val="left"/>
      </w:pPr>
      <w:r>
        <w:rPr>
          <w:rFonts w:ascii="Times New Roman"/>
          <w:b/>
          <w:i w:val="false"/>
          <w:color w:val="000000"/>
        </w:rPr>
        <w:t xml:space="preserve"> Регламент </w:t>
      </w:r>
      <w:r>
        <w:br/>
      </w:r>
      <w:r>
        <w:rPr>
          <w:rFonts w:ascii="Times New Roman"/>
          <w:b/>
          <w:i w:val="false"/>
          <w:color w:val="000000"/>
        </w:rPr>
        <w:t>Чингирлауского районного маслихата</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Чингирлауского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Чингирлауского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Порядок проведения сессии маслихата</w:t>
      </w:r>
    </w:p>
    <w:bookmarkEnd w:id="2"/>
    <w:bookmarkStart w:name="z15"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w:t>
      </w:r>
      <w:r>
        <w:br/>
      </w:r>
      <w:r>
        <w:rPr>
          <w:rFonts w:ascii="Times New Roman"/>
          <w:b w:val="false"/>
          <w:i w:val="false"/>
          <w:color w:val="000000"/>
          <w:sz w:val="28"/>
        </w:rPr>
        <w:t>
      </w:t>
      </w:r>
      <w:r>
        <w:rPr>
          <w:rFonts w:ascii="Times New Roman"/>
          <w:b w:val="false"/>
          <w:i w:val="false"/>
          <w:color w:val="000000"/>
          <w:sz w:val="28"/>
        </w:rPr>
        <w:t>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определить в следующем порядке:</w:t>
      </w:r>
      <w:r>
        <w:br/>
      </w:r>
      <w:r>
        <w:rPr>
          <w:rFonts w:ascii="Times New Roman"/>
          <w:b w:val="false"/>
          <w:i w:val="false"/>
          <w:color w:val="000000"/>
          <w:sz w:val="28"/>
        </w:rPr>
        <w:t>
      </w:t>
      </w:r>
      <w:r>
        <w:rPr>
          <w:rFonts w:ascii="Times New Roman"/>
          <w:b w:val="false"/>
          <w:i w:val="false"/>
          <w:color w:val="000000"/>
          <w:sz w:val="28"/>
        </w:rPr>
        <w:t>для докладов 30-40 минут;</w:t>
      </w:r>
      <w:r>
        <w:br/>
      </w:r>
      <w:r>
        <w:rPr>
          <w:rFonts w:ascii="Times New Roman"/>
          <w:b w:val="false"/>
          <w:i w:val="false"/>
          <w:color w:val="000000"/>
          <w:sz w:val="28"/>
        </w:rPr>
        <w:t>
      </w:t>
      </w:r>
      <w:r>
        <w:rPr>
          <w:rFonts w:ascii="Times New Roman"/>
          <w:b w:val="false"/>
          <w:i w:val="false"/>
          <w:color w:val="000000"/>
          <w:sz w:val="28"/>
        </w:rPr>
        <w:t>для содокладов 15 минут;</w:t>
      </w:r>
      <w:r>
        <w:br/>
      </w:r>
      <w:r>
        <w:rPr>
          <w:rFonts w:ascii="Times New Roman"/>
          <w:b w:val="false"/>
          <w:i w:val="false"/>
          <w:color w:val="000000"/>
          <w:sz w:val="28"/>
        </w:rPr>
        <w:t>
      </w:t>
      </w:r>
      <w:r>
        <w:rPr>
          <w:rFonts w:ascii="Times New Roman"/>
          <w:b w:val="false"/>
          <w:i w:val="false"/>
          <w:color w:val="000000"/>
          <w:sz w:val="28"/>
        </w:rPr>
        <w:t>для выступлений в прениях до 7 минут;</w:t>
      </w:r>
      <w:r>
        <w:br/>
      </w:r>
      <w:r>
        <w:rPr>
          <w:rFonts w:ascii="Times New Roman"/>
          <w:b w:val="false"/>
          <w:i w:val="false"/>
          <w:color w:val="000000"/>
          <w:sz w:val="28"/>
        </w:rPr>
        <w:t>
      </w:t>
      </w:r>
      <w:r>
        <w:rPr>
          <w:rFonts w:ascii="Times New Roman"/>
          <w:b w:val="false"/>
          <w:i w:val="false"/>
          <w:color w:val="000000"/>
          <w:sz w:val="28"/>
        </w:rPr>
        <w:t>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w:t>
      </w:r>
      <w:r>
        <w:rPr>
          <w:rFonts w:ascii="Times New Roman"/>
          <w:b w:val="false"/>
          <w:i w:val="false"/>
          <w:color w:val="000000"/>
          <w:sz w:val="28"/>
        </w:rPr>
        <w:t>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районного акимата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по вопросам бюджетного развития, финансов, рыночным отношениям,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программы развития территории Чингирлауского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Западно-Казахстанской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w:t>
      </w:r>
      <w:r>
        <w:br/>
      </w:r>
      <w:r>
        <w:rPr>
          <w:rFonts w:ascii="Times New Roman"/>
          <w:b w:val="false"/>
          <w:i w:val="false"/>
          <w:color w:val="000000"/>
          <w:sz w:val="28"/>
        </w:rPr>
        <w:t>
      </w:t>
      </w:r>
      <w:r>
        <w:rPr>
          <w:rFonts w:ascii="Times New Roman"/>
          <w:b w:val="false"/>
          <w:i w:val="false"/>
          <w:color w:val="000000"/>
          <w:sz w:val="28"/>
        </w:rPr>
        <w:t>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8" w:id="7"/>
    <w:p>
      <w:pPr>
        <w:spacing w:after="0"/>
        <w:ind w:left="0"/>
        <w:jc w:val="left"/>
      </w:pPr>
      <w:r>
        <w:rPr>
          <w:rFonts w:ascii="Times New Roman"/>
          <w:b/>
          <w:i w:val="false"/>
          <w:color w:val="000000"/>
        </w:rPr>
        <w:t xml:space="preserve"> 5. Должностные лица, постоянные комиссии и иные органы маслихата, </w:t>
      </w:r>
      <w:r>
        <w:br/>
      </w:r>
      <w:r>
        <w:rPr>
          <w:rFonts w:ascii="Times New Roman"/>
          <w:b/>
          <w:i w:val="false"/>
          <w:color w:val="000000"/>
        </w:rPr>
        <w:t>депутатские объединения маслихата</w:t>
      </w:r>
    </w:p>
    <w:bookmarkEnd w:id="7"/>
    <w:bookmarkStart w:name="z99"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11"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w:t>
      </w:r>
      <w:r>
        <w:br/>
      </w:r>
      <w:r>
        <w:rPr>
          <w:rFonts w:ascii="Times New Roman"/>
          <w:b w:val="false"/>
          <w:i w:val="false"/>
          <w:color w:val="000000"/>
          <w:sz w:val="28"/>
        </w:rPr>
        <w:t>
      </w:t>
      </w:r>
      <w:r>
        <w:rPr>
          <w:rFonts w:ascii="Times New Roman"/>
          <w:b w:val="false"/>
          <w:i w:val="false"/>
          <w:color w:val="000000"/>
          <w:sz w:val="28"/>
        </w:rPr>
        <w:t xml:space="preserve">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20"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осуществления в пределах своей компетенции контрольных функций.</w:t>
      </w:r>
      <w:r>
        <w:br/>
      </w:r>
      <w:r>
        <w:rPr>
          <w:rFonts w:ascii="Times New Roman"/>
          <w:b w:val="false"/>
          <w:i w:val="false"/>
          <w:color w:val="000000"/>
          <w:sz w:val="28"/>
        </w:rPr>
        <w:t>
      </w:t>
      </w:r>
      <w:r>
        <w:rPr>
          <w:rFonts w:ascii="Times New Roman"/>
          <w:b w:val="false"/>
          <w:i w:val="false"/>
          <w:color w:val="000000"/>
          <w:sz w:val="28"/>
        </w:rPr>
        <w:t>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7"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56"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8"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