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ef2f" w14:textId="8ace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Казталовском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апреля 2014 года № 24-3. Зарегистрировано Департаментом юстиции Западно-Казахстанской области 6 мая 2014 года № 3515. Утратило силу решением Казталовского районного маслихата Западно-Казахстанской области от 13 февраля 2020 года № 44-8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 и постановлением Правительства Республики Казахстан от 30 декабря 2009 года № 2314 "Об утверждении Правил предоставления жилищной помощи"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Казталовском районе.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24-3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(гражданам) в Казталовском районе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Казталовском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использование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Казталовском районе, на оплату: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на содержание жилого дома (жилого здания), потребления коммунальных услуг и услуги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Казталовского районного маслихата Западно-Казахстанской области от 24.12.2014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4-4 в соответствии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4-5 в соответствии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4-6 в соответствии решением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 перерасчет ранее назначенной жилищной помощи.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предоставляется в случаях, если в членах семьи имеются трудоспособные лица, которые не работают, не учатся и не зарегистрированы в уполномоченном органе в качестве безработных, за исключением занятых воспитанием ребенка в возрасте до трех лет, лиц, осуществляющих уход за инвалидами, нуждающихся в уходе.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