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c49b" w14:textId="180c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Бурлинского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27 февраля 2014 года № 18-1. Зарегистрировано Департаментом юстиции Западно-Казахстанской области 2 апреля 2014 года № 3473. Утратило силу решением Бурлинского районного маслихата Западно-Казахстанской области от 17 мая 2016 года № 3-6</w:t>
      </w:r>
    </w:p>
    <w:p>
      <w:pPr>
        <w:spacing w:after="0"/>
        <w:ind w:left="0"/>
        <w:jc w:val="left"/>
      </w:pPr>
      <w:r>
        <w:rPr>
          <w:rFonts w:ascii="Times New Roman"/>
          <w:b w:val="false"/>
          <w:i w:val="false"/>
          <w:color w:val="ff0000"/>
          <w:sz w:val="28"/>
        </w:rPr>
        <w:t xml:space="preserve">      Сноска. Утратило силу решением Бурлинского районного маслихата Западно-Казахстанской области от 17.05.2016 </w:t>
      </w:r>
      <w:r>
        <w:rPr>
          <w:rFonts w:ascii="Times New Roman"/>
          <w:b w:val="false"/>
          <w:i w:val="false"/>
          <w:color w:val="ff0000"/>
          <w:sz w:val="28"/>
        </w:rPr>
        <w:t>№ 3-6</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Бурлинский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Бурлинского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Абзалилов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Бурлинского районного маслихата</w:t>
            </w:r>
            <w:r>
              <w:br/>
            </w:r>
            <w:r>
              <w:rPr>
                <w:rFonts w:ascii="Times New Roman"/>
                <w:b w:val="false"/>
                <w:i w:val="false"/>
                <w:color w:val="000000"/>
                <w:sz w:val="20"/>
              </w:rPr>
              <w:t>от 27 февраля 2014 года № 18-1</w:t>
            </w:r>
          </w:p>
        </w:tc>
      </w:tr>
    </w:tbl>
    <w:bookmarkStart w:name="z4" w:id="0"/>
    <w:p>
      <w:pPr>
        <w:spacing w:after="0"/>
        <w:ind w:left="0"/>
        <w:jc w:val="left"/>
      </w:pPr>
      <w:r>
        <w:rPr>
          <w:rFonts w:ascii="Times New Roman"/>
          <w:b/>
          <w:i w:val="false"/>
          <w:color w:val="000000"/>
        </w:rPr>
        <w:t xml:space="preserve"> Регламент</w:t>
      </w:r>
      <w:r>
        <w:br/>
      </w:r>
      <w:r>
        <w:rPr>
          <w:rFonts w:ascii="Times New Roman"/>
          <w:b/>
          <w:i w:val="false"/>
          <w:color w:val="000000"/>
        </w:rPr>
        <w:t>Бурлинского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Бурлинского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города районного значения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акима города районного значения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Должностные лица, постоянные комиссии и иные органы маслихата,</w:t>
      </w:r>
      <w:r>
        <w:br/>
      </w:r>
      <w:r>
        <w:rPr>
          <w:rFonts w:ascii="Times New Roman"/>
          <w:b/>
          <w:i w:val="false"/>
          <w:color w:val="000000"/>
        </w:rPr>
        <w:t>депутатские объединения маслихата</w:t>
      </w:r>
    </w:p>
    <w:bookmarkEnd w:id="5"/>
    <w:bookmarkStart w:name="z11" w:id="6"/>
    <w:p>
      <w:pPr>
        <w:spacing w:after="0"/>
        <w:ind w:left="0"/>
        <w:jc w:val="left"/>
      </w:pPr>
      <w:r>
        <w:rPr>
          <w:rFonts w:ascii="Times New Roman"/>
          <w:b/>
          <w:i w:val="false"/>
          <w:color w:val="000000"/>
        </w:rPr>
        <w:t xml:space="preserve"> 5.1. Председатель сессии маслихата</w:t>
      </w:r>
    </w:p>
    <w:bookmarkEnd w:id="6"/>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5.2. Секретарь маслихата</w:t>
      </w:r>
    </w:p>
    <w:bookmarkEnd w:id="7"/>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5.3. Постоянные и временные комиссии маслихата</w:t>
      </w:r>
    </w:p>
    <w:bookmarkEnd w:id="8"/>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5.4. Редакционная и счетная комиссия маслихата</w:t>
      </w:r>
    </w:p>
    <w:bookmarkEnd w:id="9"/>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5.5. Депутатские объединения в маслихате</w:t>
      </w:r>
    </w:p>
    <w:bookmarkEnd w:id="10"/>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6. Депутатская этика</w:t>
      </w:r>
    </w:p>
    <w:bookmarkEnd w:id="11"/>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 исполнение и (или) не 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7. Организация работы аппарата маслихата</w:t>
      </w:r>
    </w:p>
    <w:bookmarkEnd w:id="12"/>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