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ca4" w14:textId="1dd7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Уральского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27 февраля 2014 года № 20-2. Зарегистрировано Департаментом юстиции Западно-Казахстанской области 1 апреля 2014 года № 3464. Утратило силу решением Уральского городского маслихата Западно-Казахстанской области от 1 июля 2016 года № 5-8</w:t>
      </w:r>
    </w:p>
    <w:p>
      <w:pPr>
        <w:spacing w:after="0"/>
        <w:ind w:left="0"/>
        <w:jc w:val="left"/>
      </w:pPr>
      <w:r>
        <w:rPr>
          <w:rFonts w:ascii="Times New Roman"/>
          <w:b w:val="false"/>
          <w:i w:val="false"/>
          <w:color w:val="ff0000"/>
          <w:sz w:val="28"/>
        </w:rPr>
        <w:t xml:space="preserve">      Сноска. Утратило силу решением Уральского городского маслихата Западно-Казахстанской области от 01.07.2016 </w:t>
      </w:r>
      <w:r>
        <w:rPr>
          <w:rFonts w:ascii="Times New Roman"/>
          <w:b w:val="false"/>
          <w:i w:val="false"/>
          <w:color w:val="ff0000"/>
          <w:sz w:val="28"/>
        </w:rPr>
        <w:t>№ 5-8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Уральский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Уральского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февраля 2014 года № 20-2</w:t>
            </w:r>
          </w:p>
        </w:tc>
      </w:tr>
    </w:tbl>
    <w:p>
      <w:pPr>
        <w:spacing w:after="0"/>
        <w:ind w:left="0"/>
        <w:jc w:val="left"/>
      </w:pPr>
      <w:r>
        <w:rPr>
          <w:rFonts w:ascii="Times New Roman"/>
          <w:b/>
          <w:i w:val="false"/>
          <w:color w:val="000000"/>
        </w:rPr>
        <w:t xml:space="preserve"> Регламент Уральского городского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Уральского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13. По вопросам, относящимся к ведению маслихата, на сессии городского маслихата приглашаются акимы города,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w:t>
      </w:r>
      <w:r>
        <w:br/>
      </w:r>
      <w:r>
        <w:rPr>
          <w:rFonts w:ascii="Times New Roman"/>
          <w:b w:val="false"/>
          <w:i w:val="false"/>
          <w:color w:val="000000"/>
          <w:sz w:val="28"/>
        </w:rPr>
        <w:t xml:space="preserve">
      32. Маслихат заслушивает на сессии отчет акима города, акимов поселков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комиссии Западно-Казахстанской области об исполнении бюджета рассматривается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поселков и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