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14b" w14:textId="ca1e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октября 2014 года № 267. Зарегистрировано Департаментом юстиции Западно-Казахстанской области 30 октября 2014 года № 3672. Утратило силу постановлением акимата Западно-Казахстанской области от 22 сентября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акима Западно-Казахстанской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2014 года № 267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</w:t>
      </w:r>
      <w:r>
        <w:br/>
      </w:r>
      <w:r>
        <w:rPr>
          <w:rFonts w:ascii="Times New Roman"/>
          <w:b/>
          <w:i w:val="false"/>
          <w:color w:val="000000"/>
        </w:rPr>
        <w:t>связанных с питьевым и хозяйственно-бытовым водоснабжением на территориях, где</w:t>
      </w:r>
      <w:r>
        <w:br/>
      </w:r>
      <w:r>
        <w:rPr>
          <w:rFonts w:ascii="Times New Roman"/>
          <w:b/>
          <w:i w:val="false"/>
          <w:color w:val="000000"/>
        </w:rPr>
        <w:t>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услугодатель), расположенный по адресу: Западно-Казахстанская область, город Уральск, улица Дамбовый тупик, дом 5/1, телефон: 8 (7112) 50-92-70, физическим и юридическим лицам (далее - услугополучатель) бесплатно на основании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 (далее - разрешение),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заявление в произвольной форме,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в течении пятнадцати минут с момента поступления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от услугополучателя принимает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течении двух календарных дней рассматривает документы услугополучателя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документы, осуществляет проверку полноты документов, готовит разрешение, либо мотивированный ответ об отказе в течение двадцати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подписывает разрешение, либо мотивированный ответ об отказе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в течении пятнадцати минут разрешение, либо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и передача руководителю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разрешения,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разрешения,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(сотрудниками) с указанием длительности процедуры (действия) сопровождается блок-схемой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процедуры (действия)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