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b1ea" w14:textId="caeb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253. Зарегистрировано в Министерстве юстиции Республики Казахстан 12 февраля 2015 года № 10237. Утратило силу постановлением Правления Национального Банка Республики Казахстан от 30 мая 2016 года № 126.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4360)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выбора внешних управляющих активами Национального фонда Республики Казахстан,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регулируют общий порядок и условия передачи части активов Национального фонда Республики Казахстан (далее - Фонд) во внешнее или внешнее транзитное управление зарубежным банкам и специализированным организациям по управлению активами.";</w:t>
      </w:r>
    </w:p>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активное управление активами - вид управления, при котором допускается превышение 0.5 (ноль целых пять десятых) процентного порога значения отклонения доходности (tracking error);";</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уполномоченное подразделение - Департамент монетарных операций и управления активами Национального Банка.";</w:t>
      </w:r>
    </w:p>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"3. Основные условия внешнего и внешнего транзитного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Общий допустимый объем Фонда, передаваемого во внешнее управление одному внешнему управляющему, составляет не более 10 процентов сберегательного портфеля Фонда.";</w:t>
      </w:r>
    </w:p>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"4. Порядок принятия решения и передачи активов Фонда во внешнее или внешнее транзитное управление";</w:t>
      </w:r>
    </w:p>
    <w:bookmarkStart w:name="z12"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xml:space="preserve">
      "Компания, не удовлетворяющая критериям, установленным </w:t>
      </w:r>
      <w:r>
        <w:rPr>
          <w:rFonts w:ascii="Times New Roman"/>
          <w:b w:val="false"/>
          <w:i w:val="false"/>
          <w:color w:val="000000"/>
          <w:sz w:val="28"/>
        </w:rPr>
        <w:t>пунктами 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настоящих Правил, утверждается в качестве внешнего управляющего на основании решения Правления Национального Банка.";</w:t>
      </w:r>
    </w:p>
    <w:bookmarkStart w:name="z13" w:id="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"19-1. Обязательные критерии для мандатов, в которых объем передаваемых активов одному внешнему управляющему превышает эквивалент 300 (трехсот) миллионов долларов США:</w:t>
      </w:r>
    </w:p>
    <w:p>
      <w:pPr>
        <w:spacing w:after="0"/>
        <w:ind w:left="0"/>
        <w:jc w:val="both"/>
      </w:pPr>
      <w:r>
        <w:rPr>
          <w:rFonts w:ascii="Times New Roman"/>
          <w:b w:val="false"/>
          <w:i w:val="false"/>
          <w:color w:val="000000"/>
          <w:sz w:val="28"/>
        </w:rPr>
        <w:t>
      1) не менее 10 (десяти) лет опыта работы с финансовыми инструментами, в которые предполагается инвестировать активы Фонда, из которых не менее 5 (пяти) лет опыта работы по объявленному типу мандата.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5 (пяти) лет опыта работы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находящихся на консультационном обслуживании) не менее эквивалента 25 (двадцати пяти) миллиардов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 (одного) миллиарда долларов США.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 (одного) миллиарда долларов США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19-2. Обязательные критерии для специализированных мандатов, в которых объем передаваемых активов одному внешнему управляющему не превышает эквивалент 300 (трехсот) миллионов долларов США:</w:t>
      </w:r>
    </w:p>
    <w:p>
      <w:pPr>
        <w:spacing w:after="0"/>
        <w:ind w:left="0"/>
        <w:jc w:val="both"/>
      </w:pPr>
      <w:r>
        <w:rPr>
          <w:rFonts w:ascii="Times New Roman"/>
          <w:b w:val="false"/>
          <w:i w:val="false"/>
          <w:color w:val="000000"/>
          <w:sz w:val="28"/>
        </w:rPr>
        <w:t>
      1) не менее 5 (пяти) лет опыта работы с финансовыми инструментами, в которые предполагается инвестировать активы Фонда, из которых не менее 3 (трех) лет опыта работы по объявленному типу мандата.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3 (трех) лет опыта работы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находящихся на консультационном обслуживании), в размере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составляет не менее 1 (одного) миллиарда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150 (ста пятидесяти) миллионов долларов США.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150 (ста пятидесяти) миллионов долларов США по региональным мандатам, которые составляют не менее 75 (семидесяти пяти) процентов охвата глобального мандата.</w:t>
      </w:r>
    </w:p>
    <w:p>
      <w:pPr>
        <w:spacing w:after="0"/>
        <w:ind w:left="0"/>
        <w:jc w:val="both"/>
      </w:pPr>
      <w:r>
        <w:rPr>
          <w:rFonts w:ascii="Times New Roman"/>
          <w:b w:val="false"/>
          <w:i w:val="false"/>
          <w:color w:val="000000"/>
          <w:sz w:val="28"/>
        </w:rPr>
        <w:t xml:space="preserve">
      После начала действия специализированного мандата одному внешнему управляющему по результатам его управления передаются активы в размере, превышающем 300 (триста) миллионов долларов США, но не более ограничения,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При необходимости уполномоченное подразделение обращается с запросом о результатах и качестве управления внешнего управляющего к его клиентам.";</w:t>
      </w:r>
    </w:p>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"5. Условия соглашения о передаче активов во внешнее управление";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При передаче активов во внешнее управление учитывается переходный период по переводу активов из одного вида в другой (transition period). Длительность переходного периода не превышает 15 (пятнадцати) рабочих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Условия и ограничения соглашения о передаче активов во внешнее управление определяются в соответствии с условиями и ограничениями, установленными в рамках осуществления Национальным Банком инвестиционных операций Фонда.";</w:t>
      </w:r>
    </w:p>
    <w:bookmarkStart w:name="z18"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"6. Результаты внешнего управления и мониторинг".</w:t>
      </w:r>
    </w:p>
    <w:bookmarkStart w:name="z19" w:id="1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_________   </w:t>
      </w:r>
    </w:p>
    <w:p>
      <w:pPr>
        <w:spacing w:after="0"/>
        <w:ind w:left="0"/>
        <w:jc w:val="both"/>
      </w:pPr>
      <w:r>
        <w:rPr>
          <w:rFonts w:ascii="Times New Roman"/>
          <w:b w:val="false"/>
          <w:i w:val="false"/>
          <w:color w:val="000000"/>
          <w:sz w:val="28"/>
        </w:rPr>
        <w:t>
      13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