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24b4" w14:textId="f982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деятельности организатора торгов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2014 года № 98. Зарегистрировано в Министерстве юстиции Республики Казахстан 25 июля 2014 года № 9621.</w:t>
      </w:r>
    </w:p>
    <w:p>
      <w:pPr>
        <w:spacing w:after="0"/>
        <w:ind w:left="0"/>
        <w:jc w:val="both"/>
      </w:pPr>
      <w:bookmarkStart w:name="z3"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деятельности организатора торгов, в которые вносятся изменения и дополнения,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Председатель</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К. Келимбетов</w:t>
            </w:r>
          </w:p>
          <w:bookmarkEnd w:id="4"/>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"СОГЛАСОВАНО"   </w:t>
      </w:r>
    </w:p>
    <w:bookmarkEnd w:id="5"/>
    <w:bookmarkStart w:name="z9" w:id="6"/>
    <w:p>
      <w:pPr>
        <w:spacing w:after="0"/>
        <w:ind w:left="0"/>
        <w:jc w:val="both"/>
      </w:pPr>
      <w:r>
        <w:rPr>
          <w:rFonts w:ascii="Times New Roman"/>
          <w:b w:val="false"/>
          <w:i w:val="false"/>
          <w:color w:val="000000"/>
          <w:sz w:val="28"/>
        </w:rPr>
        <w:t xml:space="preserve">
      Агентство Республики   </w:t>
      </w:r>
    </w:p>
    <w:bookmarkEnd w:id="6"/>
    <w:bookmarkStart w:name="z10" w:id="7"/>
    <w:p>
      <w:pPr>
        <w:spacing w:after="0"/>
        <w:ind w:left="0"/>
        <w:jc w:val="both"/>
      </w:pPr>
      <w:r>
        <w:rPr>
          <w:rFonts w:ascii="Times New Roman"/>
          <w:b w:val="false"/>
          <w:i w:val="false"/>
          <w:color w:val="000000"/>
          <w:sz w:val="28"/>
        </w:rPr>
        <w:t xml:space="preserve">
      Казахстан по статистике   </w:t>
      </w:r>
    </w:p>
    <w:bookmarkEnd w:id="7"/>
    <w:bookmarkStart w:name="z11" w:id="8"/>
    <w:p>
      <w:pPr>
        <w:spacing w:after="0"/>
        <w:ind w:left="0"/>
        <w:jc w:val="both"/>
      </w:pPr>
      <w:r>
        <w:rPr>
          <w:rFonts w:ascii="Times New Roman"/>
          <w:b w:val="false"/>
          <w:i w:val="false"/>
          <w:color w:val="000000"/>
          <w:sz w:val="28"/>
        </w:rPr>
        <w:t xml:space="preserve">
      Председатель Смаилов А.А.   </w:t>
      </w:r>
    </w:p>
    <w:bookmarkEnd w:id="8"/>
    <w:bookmarkStart w:name="z12" w:id="9"/>
    <w:p>
      <w:pPr>
        <w:spacing w:after="0"/>
        <w:ind w:left="0"/>
        <w:jc w:val="both"/>
      </w:pPr>
      <w:r>
        <w:rPr>
          <w:rFonts w:ascii="Times New Roman"/>
          <w:b w:val="false"/>
          <w:i w:val="false"/>
          <w:color w:val="000000"/>
          <w:sz w:val="28"/>
        </w:rPr>
        <w:t>
      ________________ 26 июня 2014 года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(подпись, дата, гербовая печать)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2014 года № 98</w:t>
            </w:r>
          </w:p>
        </w:tc>
      </w:tr>
    </w:tbl>
    <w:bookmarkStart w:name="z15" w:id="1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 деятельности организатора торгов, в которые вносятся изменения и дополнения</w:t>
      </w:r>
    </w:p>
    <w:bookmarkEnd w:id="11"/>
    <w:bookmarkStart w:name="z16"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 (зарегистрированное в Реестре государственной регистрации нормативных правовых актов под № 5406, опубликованное 14 января 2009 года в газете "Юридическая газета" от № 5 (1602) следующее изменение: </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организаторов торгов с ценными бумагами и иными финансовыми инструментами, утвержденных указанным постановлением: </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 </w:t>
      </w:r>
    </w:p>
    <w:bookmarkStart w:name="z19" w:id="14"/>
    <w:p>
      <w:pPr>
        <w:spacing w:after="0"/>
        <w:ind w:left="0"/>
        <w:jc w:val="both"/>
      </w:pPr>
      <w:r>
        <w:rPr>
          <w:rFonts w:ascii="Times New Roman"/>
          <w:b w:val="false"/>
          <w:i w:val="false"/>
          <w:color w:val="000000"/>
          <w:sz w:val="28"/>
        </w:rPr>
        <w:t>
      "26. Организатор торгов уведомляет уполномоченный орган обо всех случаях листинга и делистинга ценных бумаг не позднее, чем на следующий рабочий день после наступления такого случая.";</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 </w:t>
      </w:r>
    </w:p>
    <w:bookmarkStart w:name="z21" w:id="15"/>
    <w:p>
      <w:pPr>
        <w:spacing w:after="0"/>
        <w:ind w:left="0"/>
        <w:jc w:val="both"/>
      </w:pPr>
      <w:r>
        <w:rPr>
          <w:rFonts w:ascii="Times New Roman"/>
          <w:b w:val="false"/>
          <w:i w:val="false"/>
          <w:color w:val="000000"/>
          <w:sz w:val="28"/>
        </w:rPr>
        <w:t xml:space="preserve">
      "34-1. В торгах с государственными ценными бумагами Республики Казахстан при их первичном размещении участвуют члены фондовой биржи соответствующей категории членства, являющиеся банками второго уровня, добровольными накопительными пенсионными фондами, и национальным оператором почты, обладающими лицензиями на осуществление брокерской и (или) дилерской деятельности. Банк второго уровня, являющийся брокером, выступает в качестве брокера в указанных торгах при условии совершения сделок по поручению, за счет и в интересах клиентов, являющихся банками второго уровня, добровольными накопительными пенсионными фондами, страховыми организациями, имеющими лицензию по отрасли "страхование жизни", или физическими лицами. Организации, осуществляющие деятельность по управлению инвестиционным портфелем, участвуют в торгах только за счет и в интересах добровольного накопительного пенсионного фонда. </w:t>
      </w:r>
    </w:p>
    <w:bookmarkEnd w:id="15"/>
    <w:bookmarkStart w:name="z22" w:id="16"/>
    <w:p>
      <w:pPr>
        <w:spacing w:after="0"/>
        <w:ind w:left="0"/>
        <w:jc w:val="both"/>
      </w:pPr>
      <w:r>
        <w:rPr>
          <w:rFonts w:ascii="Times New Roman"/>
          <w:b w:val="false"/>
          <w:i w:val="false"/>
          <w:color w:val="000000"/>
          <w:sz w:val="28"/>
        </w:rPr>
        <w:t xml:space="preserve">
      Фондовая биржа обеспечивает выполнение указанного в части первой настоящего пункта требования путем установления в торговой системе настроек, позволяющих автоматически отклонять заявки на приобретение государственных ценных бумаг, подаваемых не за счет активов банков второго уровня, добровольных накопительных пенсионных фондов, страховых организаций, имеющих лицензию по отрасли "страхование жизни", национального оператора почты и (или) физических лиц. </w:t>
      </w:r>
    </w:p>
    <w:bookmarkEnd w:id="16"/>
    <w:bookmarkStart w:name="z23" w:id="17"/>
    <w:p>
      <w:pPr>
        <w:spacing w:after="0"/>
        <w:ind w:left="0"/>
        <w:jc w:val="both"/>
      </w:pPr>
      <w:r>
        <w:rPr>
          <w:rFonts w:ascii="Times New Roman"/>
          <w:b w:val="false"/>
          <w:i w:val="false"/>
          <w:color w:val="000000"/>
          <w:sz w:val="28"/>
        </w:rPr>
        <w:t xml:space="preserve">
      Требование части первой настоящего пункта не распространяется на случаи участия Национального Банка Республики Казахстан только за счет и в интересах клиентов, с которыми заключены договоры об оказании брокерских услуг либо доверительного управления, в торгах с государственными ценными бумагами Республики Казахстан при их первичном размещении."; </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43 </w:t>
      </w:r>
      <w:r>
        <w:rPr>
          <w:rFonts w:ascii="Times New Roman"/>
          <w:b w:val="false"/>
          <w:i w:val="false"/>
          <w:color w:val="000000"/>
          <w:sz w:val="28"/>
        </w:rPr>
        <w:t xml:space="preserve">изложить в следующей редакции: </w:t>
      </w:r>
    </w:p>
    <w:bookmarkStart w:name="z25" w:id="18"/>
    <w:p>
      <w:pPr>
        <w:spacing w:after="0"/>
        <w:ind w:left="0"/>
        <w:jc w:val="both"/>
      </w:pPr>
      <w:r>
        <w:rPr>
          <w:rFonts w:ascii="Times New Roman"/>
          <w:b w:val="false"/>
          <w:i w:val="false"/>
          <w:color w:val="000000"/>
          <w:sz w:val="28"/>
        </w:rPr>
        <w:t xml:space="preserve">
      "43. По каждому отдельному финансовому инструменту статус маркет-мейкера присваивается одному или нескольким брокерам и (или) дилерам – членам фондовой биржи. </w:t>
      </w:r>
    </w:p>
    <w:bookmarkEnd w:id="18"/>
    <w:bookmarkStart w:name="z26" w:id="19"/>
    <w:p>
      <w:pPr>
        <w:spacing w:after="0"/>
        <w:ind w:left="0"/>
        <w:jc w:val="both"/>
      </w:pPr>
      <w:r>
        <w:rPr>
          <w:rFonts w:ascii="Times New Roman"/>
          <w:b w:val="false"/>
          <w:i w:val="false"/>
          <w:color w:val="000000"/>
          <w:sz w:val="28"/>
        </w:rPr>
        <w:t>
      Порядок присвоения брокеру и (или) дилеру - члену фондовой биржи статуса маркет-мейкера включает следующие требования и процедуры:</w:t>
      </w:r>
    </w:p>
    <w:bookmarkEnd w:id="19"/>
    <w:bookmarkStart w:name="z27" w:id="20"/>
    <w:p>
      <w:pPr>
        <w:spacing w:after="0"/>
        <w:ind w:left="0"/>
        <w:jc w:val="both"/>
      </w:pPr>
      <w:r>
        <w:rPr>
          <w:rFonts w:ascii="Times New Roman"/>
          <w:b w:val="false"/>
          <w:i w:val="false"/>
          <w:color w:val="000000"/>
          <w:sz w:val="28"/>
        </w:rPr>
        <w:t>
      рассмотрение вопроса о присвоении члену фондовой биржи статуса маркет-мейкера осуществляется на основании письменного заявления данного члена фондовой биржи о присвоении статуса маркет-мейкера;</w:t>
      </w:r>
    </w:p>
    <w:bookmarkEnd w:id="20"/>
    <w:bookmarkStart w:name="z28" w:id="21"/>
    <w:p>
      <w:pPr>
        <w:spacing w:after="0"/>
        <w:ind w:left="0"/>
        <w:jc w:val="both"/>
      </w:pPr>
      <w:r>
        <w:rPr>
          <w:rFonts w:ascii="Times New Roman"/>
          <w:b w:val="false"/>
          <w:i w:val="false"/>
          <w:color w:val="000000"/>
          <w:sz w:val="28"/>
        </w:rPr>
        <w:t>
      решение о присвоении статуса маркет-мейкера или мотивированный отказ в присвоении такого статуса оформляется в виде письменного уведомления в течение трех рабочих дней со дня получения заявления, указанного в настоящем пункте, и доводится фондовой биржей до сведения члена фондовой биржи, подавшего данное заявление;</w:t>
      </w:r>
    </w:p>
    <w:bookmarkEnd w:id="21"/>
    <w:bookmarkStart w:name="z29" w:id="22"/>
    <w:p>
      <w:pPr>
        <w:spacing w:after="0"/>
        <w:ind w:left="0"/>
        <w:jc w:val="both"/>
      </w:pPr>
      <w:r>
        <w:rPr>
          <w:rFonts w:ascii="Times New Roman"/>
          <w:b w:val="false"/>
          <w:i w:val="false"/>
          <w:color w:val="000000"/>
          <w:sz w:val="28"/>
        </w:rPr>
        <w:t>
      решение о присвоении статуса маркет-мейкера по ценным бумагам, включаемым в список фондовой биржи, принимается в течение трех рабочих дней со дня вступления в силу решения о включении этих ценных бумаг в список Биржи, но не позднее даты открытия торгов по этим ценным бумагам.";</w:t>
      </w:r>
    </w:p>
    <w:bookmarkEnd w:id="22"/>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43-2</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подпункт 2) изложить в следующей редакции:</w:t>
      </w:r>
    </w:p>
    <w:bookmarkEnd w:id="24"/>
    <w:bookmarkStart w:name="z32" w:id="25"/>
    <w:p>
      <w:pPr>
        <w:spacing w:after="0"/>
        <w:ind w:left="0"/>
        <w:jc w:val="both"/>
      </w:pPr>
      <w:r>
        <w:rPr>
          <w:rFonts w:ascii="Times New Roman"/>
          <w:b w:val="false"/>
          <w:i w:val="false"/>
          <w:color w:val="000000"/>
          <w:sz w:val="28"/>
        </w:rPr>
        <w:t>
      "2) несоблюдение брокером и (или) дилером - членом фондовой биржи в течение последовательных двенадцати месяцев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46-1</w:t>
      </w:r>
      <w:r>
        <w:rPr>
          <w:rFonts w:ascii="Times New Roman"/>
          <w:b w:val="false"/>
          <w:i w:val="false"/>
          <w:color w:val="000000"/>
          <w:sz w:val="28"/>
        </w:rPr>
        <w:t xml:space="preserve">: </w:t>
      </w:r>
    </w:p>
    <w:bookmarkEnd w:id="26"/>
    <w:bookmarkStart w:name="z34" w:id="27"/>
    <w:p>
      <w:pPr>
        <w:spacing w:after="0"/>
        <w:ind w:left="0"/>
        <w:jc w:val="both"/>
      </w:pPr>
      <w:r>
        <w:rPr>
          <w:rFonts w:ascii="Times New Roman"/>
          <w:b w:val="false"/>
          <w:i w:val="false"/>
          <w:color w:val="000000"/>
          <w:sz w:val="28"/>
        </w:rPr>
        <w:t xml:space="preserve">
      часть вторую и третью изложить в следующей редакции: </w:t>
      </w:r>
    </w:p>
    <w:bookmarkEnd w:id="27"/>
    <w:bookmarkStart w:name="z35" w:id="28"/>
    <w:p>
      <w:pPr>
        <w:spacing w:after="0"/>
        <w:ind w:left="0"/>
        <w:jc w:val="both"/>
      </w:pPr>
      <w:r>
        <w:rPr>
          <w:rFonts w:ascii="Times New Roman"/>
          <w:b w:val="false"/>
          <w:i w:val="false"/>
          <w:color w:val="000000"/>
          <w:sz w:val="28"/>
        </w:rPr>
        <w:t>
      "Фондовая биржа в течение трех рабочих дней принимает решение о лишении ее члена статуса маркет-мейкера по основанию, предусмотренному подпунктом 5) настоящего пункта только при условии выполнения данным членом требования, установленного пунктом 47 Правил.</w:t>
      </w:r>
    </w:p>
    <w:bookmarkEnd w:id="28"/>
    <w:bookmarkStart w:name="z36" w:id="29"/>
    <w:p>
      <w:pPr>
        <w:spacing w:after="0"/>
        <w:ind w:left="0"/>
        <w:jc w:val="both"/>
      </w:pPr>
      <w:r>
        <w:rPr>
          <w:rFonts w:ascii="Times New Roman"/>
          <w:b w:val="false"/>
          <w:i w:val="false"/>
          <w:color w:val="000000"/>
          <w:sz w:val="28"/>
        </w:rPr>
        <w:t>
      Решение фондовой биржи о лишении брокера и (или) дилера - члена фондовой биржи статуса маркет-мейкера оформляется в виде письменного извещения и в течение трех рабочих дней со дня его принятия доводится фондовой биржей до сведения данного брокера и (или) дилера - члена фондовой биржи.";</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"53. Кастодианы, обслуживающие единый накопительный пенсионный фонд, добровольные накопительные пенсионные фонды, инвестиционные фонды, специальные финансовые компании Республики Казахстан, подключаются к системе подтверждения фондовой биржи с целью осуществления контроля за целевым размещением (использованием) активов указанных клиентов.</w:t>
      </w:r>
    </w:p>
    <w:bookmarkEnd w:id="30"/>
    <w:bookmarkStart w:name="z39" w:id="31"/>
    <w:p>
      <w:pPr>
        <w:spacing w:after="0"/>
        <w:ind w:left="0"/>
        <w:jc w:val="both"/>
      </w:pPr>
      <w:r>
        <w:rPr>
          <w:rFonts w:ascii="Times New Roman"/>
          <w:b w:val="false"/>
          <w:i w:val="false"/>
          <w:color w:val="000000"/>
          <w:sz w:val="28"/>
        </w:rPr>
        <w:t>
      54. Сделки с финансовыми инструментами, которые не были подтверждены обслуживающим пользователем системы подтверждения (по которым поступил отказ от подтверждения либо подтверждение не поступило в сроки, установленные внутренними документами фондовой биржи), исполняются за счет собственных активов заключившего ее члена фондовой биржи в порядке и на условиях, установленных гражданским законодательством Республики Казахстан и внутренними документами фондовой биржи.";</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 </w:t>
      </w:r>
    </w:p>
    <w:bookmarkStart w:name="z41" w:id="32"/>
    <w:p>
      <w:pPr>
        <w:spacing w:after="0"/>
        <w:ind w:left="0"/>
        <w:jc w:val="both"/>
      </w:pPr>
      <w:r>
        <w:rPr>
          <w:rFonts w:ascii="Times New Roman"/>
          <w:b w:val="false"/>
          <w:i w:val="false"/>
          <w:color w:val="000000"/>
          <w:sz w:val="28"/>
        </w:rPr>
        <w:t xml:space="preserve">
      "58. Порядок разрешения споров между участниками торгов, а также между участниками торгов и фондовой биржей по вопросам заключения сделок с финансовыми инструментами в торговой системе и их исполнения определяется внутренними документами фондовой биржи, предусматривающими создание комиссии по разрешению споров и конфликтов фондовой биржи и порядок ее деятельности. Принятие (утверждение) внутренних документов, а также определение количественного и персонального состава комиссии по разрешению споров и конфликтов и структуры ее членов относится к компетенции органа управления фондовой биржи.". </w:t>
      </w:r>
    </w:p>
    <w:bookmarkEnd w:id="32"/>
    <w:bookmarkStart w:name="z42"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249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79"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расчета пруденциальных нормативов для организатора торгов" (зарегистрированное в Реестре государственной регистрации нормативных правовых актов под № 6207) следующее изменение:</w:t>
      </w:r>
    </w:p>
    <w:bookmarkEnd w:id="34"/>
    <w:bookmarkStart w:name="z8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пруденциальных нормативов для организатора торгов, утвержденных указанным постановлением: </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2" w:id="36"/>
    <w:p>
      <w:pPr>
        <w:spacing w:after="0"/>
        <w:ind w:left="0"/>
        <w:jc w:val="both"/>
      </w:pPr>
      <w:r>
        <w:rPr>
          <w:rFonts w:ascii="Times New Roman"/>
          <w:b w:val="false"/>
          <w:i w:val="false"/>
          <w:color w:val="000000"/>
          <w:sz w:val="28"/>
        </w:rPr>
        <w:t>
      "1. Правила расчета пруденциальных нормативов для организатора торгов устанавливают порядок расчета пруденциальных нормативов и обязательны к соблюдению организаторами торгов.</w:t>
      </w:r>
    </w:p>
    <w:bookmarkEnd w:id="36"/>
    <w:bookmarkStart w:name="z83" w:id="37"/>
    <w:p>
      <w:pPr>
        <w:spacing w:after="0"/>
        <w:ind w:left="0"/>
        <w:jc w:val="both"/>
      </w:pPr>
      <w:r>
        <w:rPr>
          <w:rFonts w:ascii="Times New Roman"/>
          <w:b w:val="false"/>
          <w:i w:val="false"/>
          <w:color w:val="000000"/>
          <w:sz w:val="28"/>
        </w:rPr>
        <w:t xml:space="preserve">
      На организатора торгов, более пятидесяти процентов от общего количества голосующих акций которого принадлежит Национальному Банку Республики Казахстан, настоящие Правила распространяются в части требований, установленных </w:t>
      </w:r>
      <w:r>
        <w:rPr>
          <w:rFonts w:ascii="Times New Roman"/>
          <w:b w:val="false"/>
          <w:i w:val="false"/>
          <w:color w:val="000000"/>
          <w:sz w:val="28"/>
        </w:rPr>
        <w:t>пунктом 3</w:t>
      </w:r>
      <w:r>
        <w:rPr>
          <w:rFonts w:ascii="Times New Roman"/>
          <w:b w:val="false"/>
          <w:i w:val="false"/>
          <w:color w:val="000000"/>
          <w:sz w:val="28"/>
        </w:rPr>
        <w:t>.</w:t>
      </w:r>
    </w:p>
    <w:bookmarkEnd w:id="37"/>
    <w:bookmarkStart w:name="z84" w:id="38"/>
    <w:p>
      <w:pPr>
        <w:spacing w:after="0"/>
        <w:ind w:left="0"/>
        <w:jc w:val="both"/>
      </w:pPr>
      <w:r>
        <w:rPr>
          <w:rFonts w:ascii="Times New Roman"/>
          <w:b w:val="false"/>
          <w:i w:val="false"/>
          <w:color w:val="000000"/>
          <w:sz w:val="28"/>
        </w:rPr>
        <w:t>
      2. Для целей настоящих Правил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 xml:space="preserve">Утратил силу постановлением Правления Национального Банка РК от 29.10.2018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3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(зарегистрированное в Реестре государственной регистрации нормативных правовых актов под № 7554, опубликованное 23 июня 2012 года в газете "Казахстанская правда" № 199-200 (27018-27019) следующие изменения:</w:t>
      </w:r>
    </w:p>
    <w:bookmarkEnd w:id="39"/>
    <w:bookmarkStart w:name="z10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клиринговой организации, условиям и порядку мониторинга, контроля и управления рисками в клиринговой организации, утвержденных указанным постановлением:</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пункта 10 изложить в следующей редакции:</w:t>
      </w:r>
    </w:p>
    <w:bookmarkStart w:name="z103" w:id="41"/>
    <w:p>
      <w:pPr>
        <w:spacing w:after="0"/>
        <w:ind w:left="0"/>
        <w:jc w:val="both"/>
      </w:pPr>
      <w:r>
        <w:rPr>
          <w:rFonts w:ascii="Times New Roman"/>
          <w:b w:val="false"/>
          <w:i w:val="false"/>
          <w:color w:val="000000"/>
          <w:sz w:val="28"/>
        </w:rPr>
        <w:t>
      "7) порядок и условия мониторинга и контроля клиринговых участников торгов на предмет соответствия требованиям законодательства Республики Казахстан о рынке ценных бумаг, регламентирующего порядок их деятельности в качестве клиринговых участников торгов, внутренних документов клиринговой организации и требованиям к финансовому состоянию клиринговых участников;";</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11 изложить в следующей редакции:</w:t>
      </w:r>
    </w:p>
    <w:bookmarkStart w:name="z105" w:id="42"/>
    <w:p>
      <w:pPr>
        <w:spacing w:after="0"/>
        <w:ind w:left="0"/>
        <w:jc w:val="both"/>
      </w:pPr>
      <w:r>
        <w:rPr>
          <w:rFonts w:ascii="Times New Roman"/>
          <w:b w:val="false"/>
          <w:i w:val="false"/>
          <w:color w:val="000000"/>
          <w:sz w:val="28"/>
        </w:rPr>
        <w:t>
      "6) процедуры по мониторингу, оценке и контролю рисков, в том числе:</w:t>
      </w:r>
    </w:p>
    <w:bookmarkEnd w:id="42"/>
    <w:bookmarkStart w:name="z106" w:id="43"/>
    <w:p>
      <w:pPr>
        <w:spacing w:after="0"/>
        <w:ind w:left="0"/>
        <w:jc w:val="both"/>
      </w:pPr>
      <w:r>
        <w:rPr>
          <w:rFonts w:ascii="Times New Roman"/>
          <w:b w:val="false"/>
          <w:i w:val="false"/>
          <w:color w:val="000000"/>
          <w:sz w:val="28"/>
        </w:rPr>
        <w:t>
      меры, предпринимаемые ответственным подразделением клиринговой организации по управлению рисками совместно с другими подразделениями клиринговой организации, по мониторингу рисков;</w:t>
      </w:r>
    </w:p>
    <w:bookmarkEnd w:id="43"/>
    <w:bookmarkStart w:name="z107" w:id="44"/>
    <w:p>
      <w:pPr>
        <w:spacing w:after="0"/>
        <w:ind w:left="0"/>
        <w:jc w:val="both"/>
      </w:pPr>
      <w:r>
        <w:rPr>
          <w:rFonts w:ascii="Times New Roman"/>
          <w:b w:val="false"/>
          <w:i w:val="false"/>
          <w:color w:val="000000"/>
          <w:sz w:val="28"/>
        </w:rPr>
        <w:t>
      оценка рисков, осуществляемая ответственным подразделением клиринговой организации по управлению рисками, включая оценку частоты возникновения рисков, последующее ранжирование воздействий, оказанных данными рисками, и установление максимально допустимых значений показателей рисков;</w:t>
      </w:r>
    </w:p>
    <w:bookmarkEnd w:id="44"/>
    <w:bookmarkStart w:name="z108" w:id="45"/>
    <w:p>
      <w:pPr>
        <w:spacing w:after="0"/>
        <w:ind w:left="0"/>
        <w:jc w:val="both"/>
      </w:pPr>
      <w:r>
        <w:rPr>
          <w:rFonts w:ascii="Times New Roman"/>
          <w:b w:val="false"/>
          <w:i w:val="false"/>
          <w:color w:val="000000"/>
          <w:sz w:val="28"/>
        </w:rPr>
        <w:t>
      мониторинг рисков, проводимый ответственным подразделением клиринговой организации по управлению рисками, включающий мониторинг изменения значений показателей рисков клиринговой организации и максимально допустимых значений данных показателей,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45"/>
    <w:bookmarkStart w:name="z109" w:id="46"/>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ответственность клиринговой организации по сделкам, заключенным клиринговыми участниками торгов в торговой системе фондовой (товарной) биржи;</w:t>
      </w:r>
    </w:p>
    <w:bookmarkEnd w:id="46"/>
    <w:bookmarkStart w:name="z110" w:id="47"/>
    <w:p>
      <w:pPr>
        <w:spacing w:after="0"/>
        <w:ind w:left="0"/>
        <w:jc w:val="both"/>
      </w:pPr>
      <w:r>
        <w:rPr>
          <w:rFonts w:ascii="Times New Roman"/>
          <w:b w:val="false"/>
          <w:i w:val="false"/>
          <w:color w:val="000000"/>
          <w:sz w:val="28"/>
        </w:rPr>
        <w:t>
      мониторинг рисков, проводимый ответственным подразделением клиринговой организации по мониторингу и контролю клиринговых участников торгов, включающий мониторинг изменения значений показателей рисков клиринговых участников торгов и максимально допустимых значений данных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 изложить в следующей редакции:</w:t>
      </w:r>
    </w:p>
    <w:bookmarkStart w:name="z112" w:id="48"/>
    <w:p>
      <w:pPr>
        <w:spacing w:after="0"/>
        <w:ind w:left="0"/>
        <w:jc w:val="both"/>
      </w:pPr>
      <w:r>
        <w:rPr>
          <w:rFonts w:ascii="Times New Roman"/>
          <w:b w:val="false"/>
          <w:i w:val="false"/>
          <w:color w:val="000000"/>
          <w:sz w:val="28"/>
        </w:rPr>
        <w:t>
      "1) организацию и осуществление клиринга по сделкам с финансовыми инструментами, принятыми на клиринговое обслуживание клиринговой организацией;".</w:t>
      </w:r>
    </w:p>
    <w:bookmarkEnd w:id="48"/>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9249, опубликованное 16 апреля 2014 года в Информационно-правовой системе нормативных правовых актов РК "Әділет" и 18 апреля 2014 года в газете "Юридическая газета" № 56 (2624) следующие изменения и дополнение:</w:t>
      </w:r>
    </w:p>
    <w:bookmarkStart w:name="z11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Республики Казахстан, утвержденных указанным постановлением:</w:t>
      </w:r>
    </w:p>
    <w:bookmarkEnd w:id="49"/>
    <w:bookmarkStart w:name="z114"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50"/>
    <w:bookmarkStart w:name="z115" w:id="51"/>
    <w:p>
      <w:pPr>
        <w:spacing w:after="0"/>
        <w:ind w:left="0"/>
        <w:jc w:val="both"/>
      </w:pPr>
      <w:r>
        <w:rPr>
          <w:rFonts w:ascii="Times New Roman"/>
          <w:b w:val="false"/>
          <w:i w:val="false"/>
          <w:color w:val="000000"/>
          <w:sz w:val="28"/>
        </w:rPr>
        <w:t>
      подпункт 3) исключить;</w:t>
      </w:r>
    </w:p>
    <w:bookmarkEnd w:id="51"/>
    <w:bookmarkStart w:name="z116" w:id="52"/>
    <w:p>
      <w:pPr>
        <w:spacing w:after="0"/>
        <w:ind w:left="0"/>
        <w:jc w:val="both"/>
      </w:pPr>
      <w:r>
        <w:rPr>
          <w:rFonts w:ascii="Times New Roman"/>
          <w:b w:val="false"/>
          <w:i w:val="false"/>
          <w:color w:val="000000"/>
          <w:sz w:val="28"/>
        </w:rPr>
        <w:t>
      подпункт 4) изложить в следующей редакции:</w:t>
      </w:r>
    </w:p>
    <w:bookmarkEnd w:id="52"/>
    <w:bookmarkStart w:name="z117" w:id="53"/>
    <w:p>
      <w:pPr>
        <w:spacing w:after="0"/>
        <w:ind w:left="0"/>
        <w:jc w:val="both"/>
      </w:pPr>
      <w:r>
        <w:rPr>
          <w:rFonts w:ascii="Times New Roman"/>
          <w:b w:val="false"/>
          <w:i w:val="false"/>
          <w:color w:val="000000"/>
          <w:sz w:val="28"/>
        </w:rPr>
        <w:t>
      "4) объявление и поддержание котировок в качестве маркет-мейкера в соответствии с внутренними документами фондовой биржи не менее чем по восьми финансовым инструментам, выпущенным различными, не аффилиированными эмитентами, не более пяти из которых входят в представительский список фондового индекса, рассчитываемого в соответствии с внутренней методикой фондовой биржи;";</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 </w:t>
      </w:r>
    </w:p>
    <w:bookmarkStart w:name="z119" w:id="54"/>
    <w:p>
      <w:pPr>
        <w:spacing w:after="0"/>
        <w:ind w:left="0"/>
        <w:jc w:val="both"/>
      </w:pPr>
      <w:r>
        <w:rPr>
          <w:rFonts w:ascii="Times New Roman"/>
          <w:b w:val="false"/>
          <w:i w:val="false"/>
          <w:color w:val="000000"/>
          <w:sz w:val="28"/>
        </w:rPr>
        <w:t>
      "49. Брокеру-дилеру, соответствующему критериям, установленным пунктом 9 Правил, разрешается заключение сделок с расчетным периодом до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четырех рабочих дней с даты заключения сделки. Расчеты по указанным сделкам осуществляются через международные (иностранные) расчетно-депозитарные системы (Euroclear, Clearstream, Depository Trust &amp; Clearing Corporation, Japan Securities Clearing Corporation и других аналогичных систем)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54"/>
    <w:bookmarkStart w:name="z120" w:id="55"/>
    <w:p>
      <w:pPr>
        <w:spacing w:after="0"/>
        <w:ind w:left="0"/>
        <w:jc w:val="both"/>
      </w:pPr>
      <w:r>
        <w:rPr>
          <w:rFonts w:ascii="Times New Roman"/>
          <w:b w:val="false"/>
          <w:i w:val="false"/>
          <w:color w:val="000000"/>
          <w:sz w:val="28"/>
        </w:rPr>
        <w:t>
      Условия и порядок заключения (подачи заявки на заключение) сделки с ценными бумагами на организованном рынке ценных бумаг, расчеты по которой осуществляются после дня ее заключения с применением услуг клиринговой организации и (или) центрального контрагента, а также условия и порядок обеспечения исполнения обязательств по такой сделке устанавливаются внутренними документами клиринговой организации и (или) центрального контрагента.";</w:t>
      </w:r>
    </w:p>
    <w:bookmarkEnd w:id="55"/>
    <w:bookmarkStart w:name="z121" w:id="56"/>
    <w:p>
      <w:pPr>
        <w:spacing w:after="0"/>
        <w:ind w:left="0"/>
        <w:jc w:val="both"/>
      </w:pPr>
      <w:r>
        <w:rPr>
          <w:rFonts w:ascii="Times New Roman"/>
          <w:b w:val="false"/>
          <w:i w:val="false"/>
          <w:color w:val="000000"/>
          <w:sz w:val="28"/>
        </w:rPr>
        <w:t>
      дополнить пунктом 49-1 следующего содержания:</w:t>
      </w:r>
    </w:p>
    <w:bookmarkEnd w:id="56"/>
    <w:bookmarkStart w:name="z122" w:id="57"/>
    <w:p>
      <w:pPr>
        <w:spacing w:after="0"/>
        <w:ind w:left="0"/>
        <w:jc w:val="both"/>
      </w:pPr>
      <w:r>
        <w:rPr>
          <w:rFonts w:ascii="Times New Roman"/>
          <w:b w:val="false"/>
          <w:i w:val="false"/>
          <w:color w:val="000000"/>
          <w:sz w:val="28"/>
        </w:rPr>
        <w:t xml:space="preserve">
      "49-1. Брокер-дилер, значения показателей, характеризующих покрытие рисков которого соответствует требованиям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постановлением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 заключает сделки с ценными бумагами на организованном рынке ценных бумаг Республики Казахстан с расчетным периодом до трех рабочих дней: </w:t>
      </w:r>
    </w:p>
    <w:bookmarkEnd w:id="57"/>
    <w:bookmarkStart w:name="z123" w:id="58"/>
    <w:p>
      <w:pPr>
        <w:spacing w:after="0"/>
        <w:ind w:left="0"/>
        <w:jc w:val="both"/>
      </w:pPr>
      <w:r>
        <w:rPr>
          <w:rFonts w:ascii="Times New Roman"/>
          <w:b w:val="false"/>
          <w:i w:val="false"/>
          <w:color w:val="000000"/>
          <w:sz w:val="28"/>
        </w:rPr>
        <w:t>
      1) по принципу "поставка против платежа";</w:t>
      </w:r>
    </w:p>
    <w:bookmarkEnd w:id="58"/>
    <w:bookmarkStart w:name="z124" w:id="59"/>
    <w:p>
      <w:pPr>
        <w:spacing w:after="0"/>
        <w:ind w:left="0"/>
        <w:jc w:val="both"/>
      </w:pPr>
      <w:r>
        <w:rPr>
          <w:rFonts w:ascii="Times New Roman"/>
          <w:b w:val="false"/>
          <w:i w:val="false"/>
          <w:color w:val="000000"/>
          <w:sz w:val="28"/>
        </w:rPr>
        <w:t>
      2) по иным принципам и методам, установленным внутренними правилами фондовой биржи, с применением услуг клиринговой организации и (или) центрального контрагента.";</w:t>
      </w:r>
    </w:p>
    <w:bookmarkEnd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26" w:id="60"/>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60"/>
    <w:bookmarkStart w:name="z127" w:id="61"/>
    <w:p>
      <w:pPr>
        <w:spacing w:after="0"/>
        <w:ind w:left="0"/>
        <w:jc w:val="both"/>
      </w:pPr>
      <w:r>
        <w:rPr>
          <w:rFonts w:ascii="Times New Roman"/>
          <w:b w:val="false"/>
          <w:i w:val="false"/>
          <w:color w:val="000000"/>
          <w:sz w:val="28"/>
        </w:rPr>
        <w:t xml:space="preserve">
      Действие настоящего пункта не распространяется на случаи, указанные в </w:t>
      </w:r>
      <w:r>
        <w:rPr>
          <w:rFonts w:ascii="Times New Roman"/>
          <w:b w:val="false"/>
          <w:i w:val="false"/>
          <w:color w:val="000000"/>
          <w:sz w:val="28"/>
        </w:rPr>
        <w:t>пунктах 49</w:t>
      </w:r>
      <w:r>
        <w:rPr>
          <w:rFonts w:ascii="Times New Roman"/>
          <w:b w:val="false"/>
          <w:i w:val="false"/>
          <w:color w:val="000000"/>
          <w:sz w:val="28"/>
        </w:rPr>
        <w:t xml:space="preserve"> и 49-1 Правил.".</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