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0cda" w14:textId="d520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Шемонаихинского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Шемонаихинского районного маслихата Восточно-Казахстанской области от 27 марта 2014 года N 19/8-V. Зарегистрировано Департаментом юстиции Восточно-Казахстанской области 21 апреля 2014 года N 3242. Утратило силу - решением Шемонаихинского районного маслихата Восточно-Казахстанской области от 29 июня 2016 года № 4/7-VI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Шемонаихинского районного маслихата Восточно-Казахстанской области от 29.06.2016 № 4/7-VI.</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регламента,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Шемонаихинский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Шемонаихинского районного маслихата.</w:t>
      </w:r>
      <w:r>
        <w:br/>
      </w:r>
      <w:r>
        <w:rPr>
          <w:rFonts w:ascii="Times New Roman"/>
          <w:b w:val="false"/>
          <w:i w:val="false"/>
          <w:color w:val="000000"/>
          <w:sz w:val="28"/>
        </w:rPr>
        <w:t>
      </w:t>
      </w:r>
      <w:r>
        <w:rPr>
          <w:rFonts w:ascii="Times New Roman"/>
          <w:b w:val="false"/>
          <w:i w:val="false"/>
          <w:color w:val="000000"/>
          <w:sz w:val="28"/>
        </w:rPr>
        <w:t>2. Отменить решение Шемонаихинского районного маслихата от 21 декабря 2012 года № 8/12-V "Об утверждении регламента Шемонаихинского районного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Шемонаихинского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Шемонаихинского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марта 2014 года № 19/8-V</w:t>
            </w:r>
          </w:p>
        </w:tc>
      </w:tr>
    </w:tbl>
    <w:bookmarkStart w:name="z15" w:id="0"/>
    <w:p>
      <w:pPr>
        <w:spacing w:after="0"/>
        <w:ind w:left="0"/>
        <w:jc w:val="left"/>
      </w:pPr>
      <w:r>
        <w:rPr>
          <w:rFonts w:ascii="Times New Roman"/>
          <w:b/>
          <w:i w:val="false"/>
          <w:color w:val="000000"/>
        </w:rPr>
        <w:t xml:space="preserve"> Регламент Шемонаихинского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Шемонаихинского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w:t>
      </w:r>
      <w:r>
        <w:br/>
      </w:r>
      <w:r>
        <w:rPr>
          <w:rFonts w:ascii="Times New Roman"/>
          <w:b w:val="false"/>
          <w:i w:val="false"/>
          <w:color w:val="000000"/>
          <w:sz w:val="28"/>
        </w:rPr>
        <w:t>
      </w:t>
      </w:r>
      <w:r>
        <w:rPr>
          <w:rFonts w:ascii="Times New Roman"/>
          <w:b w:val="false"/>
          <w:i w:val="false"/>
          <w:color w:val="000000"/>
          <w:sz w:val="28"/>
        </w:rPr>
        <w:t>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 xml:space="preserve">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 </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города,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 xml:space="preserve">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Нормативные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 xml:space="preserve">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 </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 xml:space="preserve">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w:t>
      </w:r>
      <w:r>
        <w:rPr>
          <w:rFonts w:ascii="Times New Roman"/>
          <w:b w:val="false"/>
          <w:i w:val="false"/>
          <w:color w:val="000000"/>
          <w:sz w:val="28"/>
        </w:rPr>
        <w:t xml:space="preserve">Протоколы сессий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Маслихат района вправе запрашивать информацию от ревизионной комиссии области о проведенных контрольных мероприятиях по вопросам исполнения бюджета соответствующего района.</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 xml:space="preserve">Отчет маслихата представляется населению города, сел, поселков,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 xml:space="preserve">1) принимает решение о созыве сессии маслихата; </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08"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15"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33"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проведение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4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50"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62"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