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3fb5" w14:textId="df33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Тарбагатайского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Тарбагатайского районного маслихата Восточно-Казахстанской области от 27 марта 2014 года № 19-6. Зарегистрировано Департаментом юстиции Восточно-Казахстанской области 6 мая 2014 года № 3293. Утратило силу - решением Тарбагатайского районного маслихата Восточно-Казахстанской области от 8 июня 2016 года № 3-3</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Тарбагатайского районного маслихата Восточно-Казахстанской области от 08.06.2016 № 3-3.</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со </w:t>
      </w:r>
      <w:r>
        <w:rPr>
          <w:rFonts w:ascii="Times New Roman"/>
          <w:b w:val="false"/>
          <w:i w:val="false"/>
          <w:color w:val="000000"/>
          <w:sz w:val="28"/>
        </w:rPr>
        <w:t xml:space="preserve"> </w:t>
      </w:r>
      <w:r>
        <w:rPr>
          <w:rFonts w:ascii="Times New Roman"/>
          <w:b w:val="false"/>
          <w:i w:val="false"/>
          <w:color w:val="000000"/>
          <w:sz w:val="28"/>
        </w:rPr>
        <w:t>статьями 8</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Тарбагатайский районный маслихат РЕШИЛ:</w:t>
      </w:r>
      <w:r>
        <w:br/>
      </w:r>
      <w:r>
        <w:rPr>
          <w:rFonts w:ascii="Times New Roman"/>
          <w:b w:val="false"/>
          <w:i w:val="false"/>
          <w:color w:val="000000"/>
          <w:sz w:val="28"/>
        </w:rPr>
        <w:t>
      1. Утвердить регламент Тарбагатайского районного маслихата согласно </w:t>
      </w:r>
      <w:r>
        <w:rPr>
          <w:rFonts w:ascii="Times New Roman"/>
          <w:b w:val="false"/>
          <w:i w:val="false"/>
          <w:color w:val="000000"/>
          <w:sz w:val="28"/>
        </w:rPr>
        <w:t xml:space="preserve">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Признать утратившим силу решение Тарбагатайского районного маслихата от 18 января 2012 года № 1-2 "Об утверждении регламента Тарбагатайского районного маслихата".</w:t>
      </w:r>
      <w:r>
        <w:br/>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Т.Бейбит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Тарбагатайского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М.Магжаев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Тарбагатайского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27 марта 2014 года № 19-6</w:t>
            </w:r>
          </w:p>
        </w:tc>
      </w:tr>
    </w:tbl>
    <w:p>
      <w:pPr>
        <w:spacing w:after="0"/>
        <w:ind w:left="0"/>
        <w:jc w:val="left"/>
      </w:pPr>
      <w:r>
        <w:rPr>
          <w:rFonts w:ascii="Times New Roman"/>
          <w:b/>
          <w:i w:val="false"/>
          <w:color w:val="000000"/>
        </w:rPr>
        <w:t xml:space="preserve"> Регламент Тарбагатайского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Настоящий регламент Тарбагатайского районного маслихата (далее – регламент) разработан в соответствии со </w:t>
      </w:r>
      <w:r>
        <w:rPr>
          <w:rFonts w:ascii="Times New Roman"/>
          <w:b w:val="false"/>
          <w:i w:val="false"/>
          <w:color w:val="000000"/>
          <w:sz w:val="28"/>
        </w:rPr>
        <w:t xml:space="preserve"> </w:t>
      </w:r>
      <w:r>
        <w:rPr>
          <w:rFonts w:ascii="Times New Roman"/>
          <w:b w:val="false"/>
          <w:i w:val="false"/>
          <w:color w:val="000000"/>
          <w:sz w:val="28"/>
        </w:rPr>
        <w:t>статьями 8</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районного маслихата,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районного маслихате, а также голосования, организации работы аппарата районного маслихата и другие процедурные и организационные вопросы.</w:t>
      </w:r>
      <w:r>
        <w:br/>
      </w:r>
      <w:r>
        <w:rPr>
          <w:rFonts w:ascii="Times New Roman"/>
          <w:b w:val="false"/>
          <w:i w:val="false"/>
          <w:color w:val="000000"/>
          <w:sz w:val="28"/>
        </w:rPr>
        <w:t>
      2. Маслихат – местный представительный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 xml:space="preserve">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районной, территориальной избирательной комиссии, сообщает о результатах выборов депутатов маслихата и до избрания председателя сессии маслихата ведет сессию.</w:t>
      </w:r>
      <w:r>
        <w:br/>
      </w: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районного бюджета </w:t>
      </w:r>
      <w:r>
        <w:rPr>
          <w:rFonts w:ascii="Times New Roman"/>
          <w:b w:val="false"/>
          <w:i w:val="false"/>
          <w:color w:val="000000"/>
          <w:sz w:val="28"/>
        </w:rPr>
        <w:t xml:space="preserve"> </w:t>
      </w:r>
      <w:r>
        <w:rPr>
          <w:rFonts w:ascii="Times New Roman"/>
          <w:b w:val="false"/>
          <w:i w:val="false"/>
          <w:color w:val="000000"/>
          <w:sz w:val="28"/>
        </w:rPr>
        <w:t>средней заработной платы по месту основной работы, но в размере, не превышающем заработную плату руководителя аппарата акима Тарбагатайского района со стажем работы в указанной должности до одного года, и </w:t>
      </w:r>
      <w:r>
        <w:rPr>
          <w:rFonts w:ascii="Times New Roman"/>
          <w:b w:val="false"/>
          <w:i w:val="false"/>
          <w:color w:val="000000"/>
          <w:sz w:val="28"/>
        </w:rPr>
        <w:t xml:space="preserve">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На сессии районного маслихата приглашаются акимы района, городов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 xml:space="preserve">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Тарбагатайского районного акимата маслихат принимает совместное с ним решение.</w:t>
      </w:r>
      <w:r>
        <w:br/>
      </w:r>
      <w:r>
        <w:rPr>
          <w:rFonts w:ascii="Times New Roman"/>
          <w:b w:val="false"/>
          <w:i w:val="false"/>
          <w:color w:val="000000"/>
          <w:sz w:val="28"/>
        </w:rPr>
        <w:t>
      20. Нормативное правовые решения маслихата подлежат </w:t>
      </w:r>
      <w:r>
        <w:rPr>
          <w:rFonts w:ascii="Times New Roman"/>
          <w:b w:val="false"/>
          <w:i w:val="false"/>
          <w:color w:val="000000"/>
          <w:sz w:val="28"/>
        </w:rPr>
        <w:t xml:space="preserve"> </w:t>
      </w:r>
      <w:r>
        <w:rPr>
          <w:rFonts w:ascii="Times New Roman"/>
          <w:b w:val="false"/>
          <w:i w:val="false"/>
          <w:color w:val="000000"/>
          <w:sz w:val="28"/>
        </w:rPr>
        <w:t>государственной регистрации Департаментом юстиции Восточно-Казахстанской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 xml:space="preserve"> </w:t>
      </w:r>
      <w:r>
        <w:rPr>
          <w:rFonts w:ascii="Times New Roman"/>
          <w:b w:val="false"/>
          <w:i w:val="false"/>
          <w:color w:val="000000"/>
          <w:sz w:val="28"/>
        </w:rPr>
        <w:t>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присутствуюшим на сессии депутатам.</w:t>
      </w:r>
      <w:r>
        <w:br/>
      </w:r>
      <w:r>
        <w:rPr>
          <w:rFonts w:ascii="Times New Roman"/>
          <w:b w:val="false"/>
          <w:i w:val="false"/>
          <w:color w:val="000000"/>
          <w:sz w:val="28"/>
        </w:rPr>
        <w:t>
      Редакционная комиссия, являющяяся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w:t>
      </w:r>
      <w:r>
        <w:rPr>
          <w:rFonts w:ascii="Times New Roman"/>
          <w:b w:val="false"/>
          <w:i w:val="false"/>
          <w:color w:val="000000"/>
          <w:sz w:val="28"/>
        </w:rPr>
        <w:t xml:space="preserve"> </w:t>
      </w:r>
      <w:r>
        <w:rPr>
          <w:rFonts w:ascii="Times New Roman"/>
          <w:b w:val="false"/>
          <w:i w:val="false"/>
          <w:color w:val="000000"/>
          <w:sz w:val="28"/>
        </w:rPr>
        <w:t>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w:t>
      </w:r>
      <w:r>
        <w:rPr>
          <w:rFonts w:ascii="Times New Roman"/>
          <w:b w:val="false"/>
          <w:i w:val="false"/>
          <w:color w:val="000000"/>
          <w:sz w:val="28"/>
        </w:rPr>
        <w:t xml:space="preserve">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 xml:space="preserve">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Отдел экономики и бюджетного планирования Тарбагатайского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районном маслихатом не позднее двухнедельного срока после подписания решения Восточно-Казахстанкого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 xml:space="preserve">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xml:space="preserve">      31. Маслихат осуществляет контроль за исполнением районного бюджета, программ развития территорий путем заслушивания отчетов акима района. </w:t>
      </w:r>
      <w:r>
        <w:br/>
      </w:r>
      <w:r>
        <w:rPr>
          <w:rFonts w:ascii="Times New Roman"/>
          <w:b w:val="false"/>
          <w:i w:val="false"/>
          <w:color w:val="000000"/>
          <w:sz w:val="28"/>
        </w:rPr>
        <w:t>
      32. Маслихат заслушивает на сессии отчет акима района в соответствии с </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r>
        <w:br/>
      </w:r>
      <w:r>
        <w:rPr>
          <w:rFonts w:ascii="Times New Roman"/>
          <w:b w:val="false"/>
          <w:i w:val="false"/>
          <w:color w:val="000000"/>
          <w:sz w:val="28"/>
        </w:rPr>
        <w:t>
      В случае двукратного неутверждения маслихатом представленных районном акимом отчетов, маслихат по инициативе не менее одной пятой от общего числа депутатов маслихата может поставить вопрос о выражении вотума недоверия районному акиму в соответствии со </w:t>
      </w:r>
      <w:r>
        <w:rPr>
          <w:rFonts w:ascii="Times New Roman"/>
          <w:b w:val="false"/>
          <w:i w:val="false"/>
          <w:color w:val="000000"/>
          <w:sz w:val="28"/>
        </w:rPr>
        <w:t xml:space="preserve">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r>
        <w:br/>
      </w:r>
      <w:r>
        <w:rPr>
          <w:rFonts w:ascii="Times New Roman"/>
          <w:b w:val="false"/>
          <w:i w:val="false"/>
          <w:color w:val="000000"/>
          <w:sz w:val="28"/>
        </w:rPr>
        <w:t>
      34. Районный маслихат ежегодно рассматривает отчет об исполнении бюджета Восточно-Казахтанской областной ревизионной комиссий.</w:t>
      </w:r>
      <w:r>
        <w:br/>
      </w:r>
      <w:r>
        <w:rPr>
          <w:rFonts w:ascii="Times New Roman"/>
          <w:b w:val="false"/>
          <w:i w:val="false"/>
          <w:color w:val="000000"/>
          <w:sz w:val="28"/>
        </w:rPr>
        <w:t>
      35. Маслихат не реже одного раза в год отчитывается перед населением о проделанной работе районного маслихата, деятельности его постоянных комиссий и иных органов.</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w:t>
      </w:r>
      <w:r>
        <w:rPr>
          <w:rFonts w:ascii="Times New Roman"/>
          <w:b w:val="false"/>
          <w:i w:val="false"/>
          <w:color w:val="000000"/>
          <w:sz w:val="28"/>
        </w:rPr>
        <w:t xml:space="preserve">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районного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Секретарь маслихата</w:t>
      </w:r>
    </w:p>
    <w:p>
      <w:pPr>
        <w:spacing w:after="0"/>
        <w:ind w:left="0"/>
        <w:jc w:val="left"/>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43.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Председатель сессии маслихата</w:t>
      </w:r>
    </w:p>
    <w:p>
      <w:pPr>
        <w:spacing w:after="0"/>
        <w:ind w:left="0"/>
        <w:jc w:val="left"/>
      </w:pPr>
      <w:r>
        <w:rPr>
          <w:rFonts w:ascii="Times New Roman"/>
          <w:b w:val="false"/>
          <w:i w:val="false"/>
          <w:color w:val="000000"/>
          <w:sz w:val="28"/>
        </w:rPr>
        <w:t>      44.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45.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могут по собственной инициативе или решению маслихата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w:t>
      </w:r>
      <w:r>
        <w:rPr>
          <w:rFonts w:ascii="Times New Roman"/>
          <w:b w:val="false"/>
          <w:i w:val="false"/>
          <w:color w:val="000000"/>
          <w:sz w:val="28"/>
        </w:rPr>
        <w:t xml:space="preserve">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 xml:space="preserve">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w:t>
      </w:r>
      <w:r>
        <w:br/>
      </w:r>
      <w:r>
        <w:rPr>
          <w:rFonts w:ascii="Times New Roman"/>
          <w:b w:val="false"/>
          <w:i w:val="false"/>
          <w:color w:val="000000"/>
          <w:sz w:val="28"/>
        </w:rPr>
        <w:t>
      Депутат состоит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w:t>
      </w:r>
      <w:r>
        <w:rPr>
          <w:rFonts w:ascii="Times New Roman"/>
          <w:b w:val="false"/>
          <w:i w:val="false"/>
          <w:color w:val="000000"/>
          <w:sz w:val="28"/>
        </w:rPr>
        <w:t xml:space="preserve">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w:t>
      </w:r>
      <w:r>
        <w:rPr>
          <w:rFonts w:ascii="Times New Roman"/>
          <w:b w:val="false"/>
          <w:i w:val="false"/>
          <w:color w:val="000000"/>
          <w:sz w:val="28"/>
        </w:rPr>
        <w:t xml:space="preserve"> </w:t>
      </w:r>
      <w:r>
        <w:rPr>
          <w:rFonts w:ascii="Times New Roman"/>
          <w:b w:val="false"/>
          <w:i w:val="false"/>
          <w:color w:val="000000"/>
          <w:sz w:val="28"/>
        </w:rPr>
        <w:t>государственных служащих аппарата маслихата осуществляется в соответствии с </w:t>
      </w:r>
      <w:r>
        <w:rPr>
          <w:rFonts w:ascii="Times New Roman"/>
          <w:b w:val="false"/>
          <w:i w:val="false"/>
          <w:color w:val="000000"/>
          <w:sz w:val="28"/>
        </w:rPr>
        <w:t xml:space="preserve"> </w:t>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