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fb793" w14:textId="79fb7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и увеличение размеров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Курчумского районного маслихата Восточно-Казахстанской области от 18 апреля 2014 года N 17-8. Зарегистрировано Департаментом юстиции Восточно-Казахстанской области 20 мая 2014 года № 3348. Утратило силу - решением Курчумского районного маслихата Восточно-Казахстанской области от 25 апреля 2018 года № 22/10-VI</w:t>
      </w:r>
    </w:p>
    <w:p>
      <w:pPr>
        <w:spacing w:after="0"/>
        <w:ind w:left="0"/>
        <w:jc w:val="both"/>
      </w:pPr>
      <w:bookmarkStart w:name="z1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Курчумского районного маслихата Восточно-Казахстанской области от 25.04.2018 </w:t>
      </w:r>
      <w:r>
        <w:rPr>
          <w:rFonts w:ascii="Times New Roman"/>
          <w:b w:val="false"/>
          <w:i w:val="false"/>
          <w:color w:val="ff0000"/>
          <w:sz w:val="28"/>
        </w:rPr>
        <w:t>№ 22/10-VI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381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 Кодекса Республики Казахстан от 10 декабря 2008 года "О налогах и других обязательных платежах в бюджет" (Налоговый кодекс), подпунктом 15)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Курчумский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Увеличить, в зависимости от категории автостоянок, размеры базовых ставок на земли, выделенные под автостоянки (паркинги), подлежащие налогообложению по базовым ставкам на земли населенных пунктов, за исключением земель, занятых жилищным фондом, в том числе, строениями и сооружениями при нем,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применения базовых ставок налога на земли других категорий, выделенные под автостоянки (паркинги), относящиеся к Курчумскому району, близлежащим населенным пунктам определить село Курчум.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сессии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Азимбаев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Курчумского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Абилмажинов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17 - 8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зависимости от вида</w:t>
      </w:r>
      <w:r>
        <w:br/>
      </w:r>
      <w:r>
        <w:rPr>
          <w:rFonts w:ascii="Times New Roman"/>
          <w:b/>
          <w:i w:val="false"/>
          <w:color w:val="000000"/>
        </w:rPr>
        <w:t>автостоянок (паркингов) по Курчумскому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84"/>
        <w:gridCol w:w="8235"/>
        <w:gridCol w:w="2281"/>
      </w:tblGrid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автостоянок (паркингов)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Надземные автостоянки закрытого типа, автостоянки открытого типа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пристраиваемые к зданиям другого назначения, автостоянки, встроенные в здания другого назначения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1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Автостоянки, расположенные под зданиями в подземных, подвальных, цокольных или в нижних надземных этажах</w:t>
            </w:r>
          </w:p>
        </w:tc>
        <w:tc>
          <w:tcPr>
            <w:tcW w:w="2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Курчумского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апреля 2014 года № 17 - 8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увеличении ставки налога на земли, выделенные под</w:t>
      </w:r>
      <w:r>
        <w:br/>
      </w:r>
      <w:r>
        <w:rPr>
          <w:rFonts w:ascii="Times New Roman"/>
          <w:b/>
          <w:i w:val="false"/>
          <w:color w:val="000000"/>
        </w:rPr>
        <w:t>автостоянки (паркинги), в зависимости от категории</w:t>
      </w:r>
      <w:r>
        <w:br/>
      </w:r>
      <w:r>
        <w:rPr>
          <w:rFonts w:ascii="Times New Roman"/>
          <w:b/>
          <w:i w:val="false"/>
          <w:color w:val="000000"/>
        </w:rPr>
        <w:t>автостоянок (паркингов)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37"/>
        <w:gridCol w:w="4412"/>
        <w:gridCol w:w="5351"/>
      </w:tblGrid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Категории автостоянок (паркингов)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увеличения ставки налога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10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9 раз</w:t>
            </w:r>
          </w:p>
        </w:tc>
      </w:tr>
      <w:tr>
        <w:trPr>
          <w:trHeight w:val="30" w:hRule="atLeast"/>
        </w:trPr>
        <w:tc>
          <w:tcPr>
            <w:tcW w:w="2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5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8 раз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