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9dbd" w14:textId="5b79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Катон-Карагайского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04 марта 2014 года N 21/147-V. Зарегистрировано Департаментом юстиции Восточно-Казахстанской области 27 марта 2014 года N 3208. Утратило силу (письмо Катон-Карагайского районного маслихата Восточно-Казахстанской области от 25 декабря 2014 года № 272)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Катон-Карагайского районного маслихата Восточно-Казахстанской области от 25.12.2014 № 272).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решения Катон-Карагайского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27/200-V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пункты»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в 2014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в виде подъемного пособия, в сумме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Катон-Карагайского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27/200-V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в действие </w:t>
      </w:r>
      <w:r>
        <w:rPr>
          <w:rFonts w:ascii="Times New Roman"/>
          <w:b w:val="false"/>
          <w:i w:val="false"/>
          <w:color w:val="ff0000"/>
          <w:sz w:val="28"/>
        </w:rPr>
        <w:t>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Ускембаев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