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3261" w14:textId="00e3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Глубоковского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24 июля 2014 года № 28/5-V. Зарегистрировано Департаментом юстиции Восточно-Казахстанской области 26 августа 2014 года № 3467. Утратило силу - решением Глубоковского районного маслихата Восточно-Казахстанской области от 28 апреля 2016 года № 2/7-VI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Глубоковского районного маслихата Восточно-Казахстанской области от 28.04.2016 № 2/7-VI.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Глубоковский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Глубоковского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Бурдаков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Глубоковского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Глубоковского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июля 2014 года № 28/5-V</w:t>
            </w:r>
          </w:p>
        </w:tc>
      </w:tr>
    </w:tbl>
    <w:bookmarkStart w:name="z5" w:id="0"/>
    <w:p>
      <w:pPr>
        <w:spacing w:after="0"/>
        <w:ind w:left="0"/>
        <w:jc w:val="left"/>
      </w:pPr>
      <w:r>
        <w:rPr>
          <w:rFonts w:ascii="Times New Roman"/>
          <w:b/>
          <w:i w:val="false"/>
          <w:color w:val="000000"/>
        </w:rPr>
        <w:t xml:space="preserve"> Регламент Глубоковского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Глубоковского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Глубоковский районный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Глубоковского районного акимата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Департаменте юстиции Восточно - Казахстанской области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