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0ed6" w14:textId="6100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марта 2014 года № 75. Зарегистрировано Департаментом юстиции Восточно-Казахстанской области 16 апреля 2014 года № 3234. Утратило силу постановлением акимата Бородулихинского района Восточно-Казахстанской области от 27 ноября 2014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27.11.2014 № 281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населения, проживающих на территории Бородулихинского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Бородулихинского района Восточно-Казахстанской области» предусмотреть меры по содействию занятости целевых группах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23 декабря 2011 года № 227 «Об утверждении Перечня целевых групп населения» (зарегистрировано в Реестре государственной регистрации нормативных правовых актов за № 5-8-142, опубликованного в районной газете «Аудан тынысы» № 7 (198) от 20 января 2012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25 октября 2012 года № 510 «О внесении изменений в постановление акимата от 23 декабря 2011 года № 227 «Об утверждении Перечня целевых групп населения» (зарегистрировано в Реестре государственной регистрации нормативных правовых актов за № 2728, опубликованного в районных газетах «Пульс района» от 12 февраля 2013 года № 13 (6631), «Аудан тынысы» от 12 февраля 2013 года № 13 (313).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групп населения, проживающих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Бородулихинского района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технического и профессионального образования, послесреднего,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женщины старше 50 лет,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не имеющие стажа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