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header+xml" PartName="/word/header.xml"/>
  <Override ContentType="image/png" PartName="/word/media/document_image_rId3.png"/>
  <Override ContentType="image/png" PartName="/word/media/header_image_rId1.png"/>
  <Override ContentType="application/vnd.openxmlformats-officedocument.wordprocessingml.numbering+xml" PartName="/word/numbering.xml"/>
  <Override ContentType="application/vnd.openxmlformats-officedocument.wordprocessingml.styles+xml" PartName="/word/styles.xml"/>
</Types>
</file>

<file path=_rels/.rels><?xml version="1.0" encoding="UTF-8" standalone="yes"?><Relationships xmlns="http://schemas.openxmlformats.org/package/2006/relationships"><Relationship Target="word/document.xml" Type="http://schemas.openxmlformats.org/officeDocument/2006/relationships/officeDocument" Id="rId1"/><Relationship Target="docProps/core.xml" Type="http://schemas.openxmlformats.org/package/2006/relationships/metadata/core-properties" Id="rId2"/><Relationship Target="docProps/app.xml" Type="http://schemas.openxmlformats.org/officeDocument/2006/relationships/extended-properties" Id="rId3"/></Relationships>
</file>

<file path=word/document.xml><?xml version="1.0" encoding="utf-8"?>
<w:document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 mc:Ignorable="w14 w15">
  <w:body>
    <w:p w14:paraId="f33708f" w14:textId="f33708f">
      <w:pPr>
        <w:spacing w:after="0"/>
        <w:ind w:left="0"/>
        <w:jc w:val="left"/>
        <w15:collapsed w:val="false"/>
      </w:pPr>
      <w:r>
        <w:rPr>
          <w:rFonts w:ascii="Times New Roman"/>
          <w:b w:val="false"/>
          <w:i w:val="false"/>
          <w:color w:val="000000"/>
          <w:sz w:val="28"/>
        </w:rPr>
        <w:t>
				</w:t>
      </w:r>
      <w:r>
        <w:drawing>
          <wp:inline distT="0" distB="0" distL="0" distR="0">
            <wp:extent cx="2057400" cy="5715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3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57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  <w:sz w:val="28"/>
        </w:rPr>
        <w:t>Об утверждении регламентов государственных услуг в сфере использования водных и лесных ресурсов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
			</w:t>
      </w:r>
      <w:r>
        <w:rPr>
          <w:rFonts w:ascii="Times New Roman"/>
          <w:b/>
          <w:i/>
          <w:color w:val="888888"/>
        </w:rPr>
        <w:t>Утративший силу</w:t>
      </w:r>
      <w:r>
        <w:rPr>
          <w:rFonts w:ascii="Times New Roman"/>
          <w:b w:val="false"/>
          <w:i w:val="false"/>
          <w:color w:val="000000"/>
          <w:sz w:val="28"/>
        </w:rPr>
        <w:t>
					</w:t>
      </w:r>
    </w:p>
    <w:p>
      <w:pPr>
        <w:spacing w:after="0"/>
        <w:ind w:left="0"/>
        <w:jc w:val="both"/>
      </w:pPr>
      <w:r>
        <w:rPr>
          <w:rFonts w:ascii="Times New Roman"/>
          <w:b w:val="false"/>
          <w:i w:val="false"/>
          <w:color w:val="000000"/>
          <w:sz w:val="28"/>
        </w:rPr>
        <w:t>Постановление Восточно-Казахстанского областного акимата от 31 июля 2014 года N 209. Зарегистрировано Департаментом юстиции Восточно-Казахстанской области 03 сентября 2014 года N 3472. Утратило силу - постановлением Восточно-Казахстанского областного акимата от 16 октября 2015 года N 277</w:t>
      </w:r>
    </w:p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Утратило силу - </w:t>
      </w:r>
      <w:r>
        <w:rPr>
          <w:rFonts w:ascii="Times New Roman"/>
          <w:b w:val="false"/>
          <w:i w:val="false"/>
          <w:color w:val="ff0000"/>
          <w:sz w:val="28"/>
        </w:rPr>
        <w:t>постановлением</w:t>
      </w:r>
      <w:r>
        <w:rPr>
          <w:rFonts w:ascii="Times New Roman"/>
          <w:b w:val="false"/>
          <w:i w:val="false"/>
          <w:color w:val="ff0000"/>
          <w:sz w:val="28"/>
        </w:rPr>
        <w:t xml:space="preserve"> Восточно-Казахстанского областного акимата от 16.10.2015 N 277 (вводится в действие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 Примечание РЦПИ.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>В тексте документа сохранена пунктуация и орфография оригинала.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В соответствии с </w:t>
      </w:r>
      <w:r>
        <w:rPr>
          <w:rFonts w:ascii="Times New Roman"/>
          <w:b w:val="false"/>
          <w:i w:val="false"/>
          <w:color w:val="000000"/>
          <w:sz w:val="28"/>
        </w:rPr>
        <w:t>пунктом 2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статьи 27 Закона Республики Казахстан от 23 января 2001 года "О местном государственном управлении и самоуправлении в Республике Казахстан", </w:t>
      </w:r>
      <w:r>
        <w:rPr>
          <w:rFonts w:ascii="Times New Roman"/>
          <w:b w:val="false"/>
          <w:i w:val="false"/>
          <w:color w:val="000000"/>
          <w:sz w:val="28"/>
        </w:rPr>
        <w:t>статьей 16</w:t>
      </w:r>
      <w:r>
        <w:rPr>
          <w:rFonts w:ascii="Times New Roman"/>
          <w:b w:val="false"/>
          <w:i w:val="false"/>
          <w:color w:val="000000"/>
          <w:sz w:val="28"/>
        </w:rPr>
        <w:t xml:space="preserve"> Закона Республики Казахстан от 15 апреля 2013 года "О государственных услугах", </w:t>
      </w:r>
      <w:r>
        <w:rPr>
          <w:rFonts w:ascii="Times New Roman"/>
          <w:b w:val="false"/>
          <w:i w:val="false"/>
          <w:color w:val="000000"/>
          <w:sz w:val="28"/>
        </w:rPr>
        <w:t>постановлением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июня 2014 года № 607 "Об утверждении стандартов государственных услуг, оказываемых Министерством окружающей среды и водных ресурсов Республики Казахстан, внесении изменений и дополнений в некоторые решения Правительства Республики Казахстан и признании утратившими силу некоторых решений Правительства Республики Казахстан" Восточно-Казахстанский областной акимат </w:t>
      </w:r>
      <w:r>
        <w:rPr>
          <w:rFonts w:ascii="Times New Roman"/>
          <w:b/>
          <w:i w:val="false"/>
          <w:color w:val="000000"/>
          <w:sz w:val="28"/>
        </w:rPr>
        <w:t>ПОСТАНОВЛЯЕТ: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1. </w:t>
      </w:r>
      <w:r>
        <w:rPr>
          <w:rFonts w:ascii="Times New Roman"/>
          <w:b w:val="false"/>
          <w:i w:val="false"/>
          <w:color w:val="000000"/>
          <w:sz w:val="28"/>
        </w:rPr>
        <w:t>Утвердить прилагаемые: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"Предоставление водных объектов в обособленное или совместное пользование на конкурсной основе";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3) </w:t>
      </w:r>
      <w:r>
        <w:rPr>
          <w:rFonts w:ascii="Times New Roman"/>
          <w:b w:val="false"/>
          <w:i w:val="false"/>
          <w:color w:val="000000"/>
          <w:sz w:val="28"/>
        </w:rPr>
        <w:t>регламент</w:t>
      </w:r>
      <w:r>
        <w:rPr>
          <w:rFonts w:ascii="Times New Roman"/>
          <w:b w:val="false"/>
          <w:i w:val="false"/>
          <w:color w:val="000000"/>
          <w:sz w:val="28"/>
        </w:rPr>
        <w:t xml:space="preserve"> государственной услуги "Выдача лесорубочного и лесного билета".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 xml:space="preserve">Настоящее постановление вводится в действие по истечении десяти календарных дней после дня его первого официального опубликования, но не ранее введения в действие </w:t>
      </w:r>
      <w:r>
        <w:rPr>
          <w:rFonts w:ascii="Times New Roman"/>
          <w:b w:val="false"/>
          <w:i w:val="false"/>
          <w:color w:val="000000"/>
          <w:sz w:val="28"/>
        </w:rPr>
        <w:t>постановления</w:t>
      </w:r>
      <w:r>
        <w:rPr>
          <w:rFonts w:ascii="Times New Roman"/>
          <w:b w:val="false"/>
          <w:i w:val="false"/>
          <w:color w:val="000000"/>
          <w:sz w:val="28"/>
        </w:rPr>
        <w:t xml:space="preserve"> Правительства Республики Казахстан от 3 июня 2014 года № 607 "Об утверждении стандартов государственных услуг, оказываемых Министерством окружающей среды и водных ресурсов Республики Казахстан, внесении изменений и дополнений в некоторые решения Правительства Республики Казахстан и признании утратившими силу некоторых решений Правительства Республики Казахстан".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95"/>
        <w:gridCol w:w="4205"/>
      </w:tblGrid>
      <w:tr>
        <w:trPr>
          <w:trHeight w:val="30" w:hRule="atLeast"/>
        </w:trPr>
        <w:tc>
          <w:tcPr>
            <w:tcW w:w="779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      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Исполняющий обязанности</w:t>
            </w:r>
            <w:r>
              <w:br/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акима области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  <w:tc>
          <w:tcPr>
            <w:tcW w:w="4205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left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  <w:r>
              <w:rPr>
                <w:rFonts w:ascii="Times New Roman"/>
                <w:b w:val="false"/>
                <w:i/>
                <w:color w:val="000000"/>
                <w:sz w:val="20"/>
              </w:rPr>
              <w:t>Е. Кошербаев</w:t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
</w:t>
            </w:r>
          </w:p>
        </w:tc>
      </w:tr>
    </w:tbl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31 " июля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209</w:t>
            </w:r>
          </w:p>
        </w:tc>
      </w:tr>
    </w:tbl>
    <w:bookmarkStart w:name="z58" w:id="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 xml:space="preserve">государственной услуги "Выдача разрешения на </w:t>
      </w:r>
      <w:r>
        <w:rPr>
          <w:rFonts w:ascii="Times New Roman"/>
          <w:b/>
          <w:i w:val="false"/>
          <w:color w:val="000000"/>
        </w:rPr>
        <w:t xml:space="preserve">использование подземных вод питьевого качества для целей, не </w:t>
      </w:r>
      <w:r>
        <w:rPr>
          <w:rFonts w:ascii="Times New Roman"/>
          <w:b/>
          <w:i w:val="false"/>
          <w:color w:val="000000"/>
        </w:rPr>
        <w:t xml:space="preserve">связанных с питьевым и хозяйственно-бытовым водоснабжением на </w:t>
      </w:r>
      <w:r>
        <w:rPr>
          <w:rFonts w:ascii="Times New Roman"/>
          <w:b/>
          <w:i w:val="false"/>
          <w:color w:val="000000"/>
        </w:rPr>
        <w:t xml:space="preserve">территориях, где отсутствуют поверхностные водные объекты, но </w:t>
      </w:r>
      <w:r>
        <w:rPr>
          <w:rFonts w:ascii="Times New Roman"/>
          <w:b/>
          <w:i w:val="false"/>
          <w:color w:val="000000"/>
        </w:rPr>
        <w:t>имеются достаточные запасы подземных вод питьевого качества"</w:t>
      </w:r>
      <w:r>
        <w:br/>
      </w:r>
      <w:r>
        <w:rPr>
          <w:rFonts w:ascii="Times New Roman"/>
          <w:b/>
          <w:i w:val="false"/>
          <w:color w:val="000000"/>
        </w:rPr>
        <w:t xml:space="preserve"> 1. Общие положения</w:t>
      </w:r>
    </w:p>
    <w:bookmarkEnd w:id="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оказываемой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разрешение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 в бумажном виде за подписью уполномоченного должностного лица (далее – разрешение).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8" w:id="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заявление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разрешения на использование подземных вод питьевого качества для целей, не связанных с питьевым и хозяйственно-бытовым водоснабжением на территориях, где отсутствуют поверхностные водные объекты, но имеются достаточные запасы подземных вод питьевого качества", утвержденного постановлением Правительства Республики Казахстан от 3 июня 2014 года № 607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 (действий), входящих в состав процесса оказания государственной услуги, длительность и последовательность их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сотрудником канцелярии услугодателя документов услугополучателя, предусмотренных пунктом 9 Стандарта, в журнале регистрации.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рассмотрение документов услугополучателя руководителем услугодателя и передача руководителю отдела услугодателя на рассмотрение.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– рассмотрение документов услугополучателя руководителем отдела услугодателя и передача специалисту отдела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рассмотрение документов услугополучателя специалистом отдела услугодателя, оформление разрешения. Длительность выполнения – 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подписание руководителем услугодателя разрешения. Длительность выплнения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6 – выдача сотрудником канцелярии услугодателя разрешения услугополучателю. Длительность выполнения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с момента сдачи пакета документов услугодателю – в течение 30 (тридцати) календарных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являются зарегистрированные документы услугополучателя, которые являются основанием для начала выполнения действия 2, указанного в пункте 5 настоящего регламента. Результатом по действию 2 является резолюция руководителя услугодателя, которая является основанием для выполнения действия 3, указанного в пункте 5 настоящего Регламента. Результатом по действию 3 является резолюция руководителя отдела услугодателя, которая является основанием для выполнения действия 4, указанного в пункте 5 настоящего Регламента. Результатом действия 4 является оформление разрешения, которое является основанием для выполнения действия 5, указанного в пункте 5 настоящего Регламента. Результатом действия 5, является подписанное разрешение, которое является основанием для выполнения действия 6,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Регламента. Результатом действия 6 является выдача разрешения услугополучателю.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2" w:id="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услуги.</w:t>
      </w:r>
    </w:p>
    <w:bookmarkEnd w:id="2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1) 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2) руководитель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3) руководитель отдела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4) специалист отдела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и регистрация сотрудником канцелярии услугодателя документов услугополучателя, предусмотренных </w:t>
      </w:r>
      <w:r>
        <w:rPr>
          <w:rFonts w:ascii="Times New Roman"/>
          <w:b w:val="false"/>
          <w:i w:val="false"/>
          <w:color w:val="000000"/>
          <w:sz w:val="28"/>
        </w:rPr>
        <w:t>пунктом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входящей корреспонденции с указанием входящего номера и даты приема.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руководителем услугодателя документов услугополучателя и передача руководителю отдела услугодателя на рассмотрение.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рассмотрение руководителем отдела услугодателя документов услугополучателя и передача специалисту отдела услугодателя на исполнение.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 xml:space="preserve">рассмотрение специалистом отдела услугодателя документов услугополучателя, оформление разрешения. Длительность выполнения –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15 (пятнадцать)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подписание руководителем услугодателя разрешения. Длительность выплнения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разрешения услугополучателю. Длительность выполнения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>№ 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"Выдачи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 подземных вод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питьевого качества для целей, не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связанных с питьевым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хозяйственно-бытовым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водоснабжением на территориях,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где отсутствуют поверхностные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водные объекты, но имеются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достаточные запасы подземных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вод питьевого качества"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>№ 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92" w:id="3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</w:t>
      </w:r>
      <w:r>
        <w:rPr>
          <w:rFonts w:ascii="Times New Roman"/>
          <w:b/>
          <w:i w:val="false"/>
          <w:color w:val="000000"/>
        </w:rPr>
        <w:t>прохождения каждого действия (процедуры)</w:t>
      </w:r>
    </w:p>
    <w:bookmarkEnd w:id="3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9469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94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разрешения на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использование подземных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вод питьевого качества для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целей, не связанных с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питьевым и хозяйственно-бытовым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водоснабжением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на территориях, где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отсутствуют поверхностные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водные объекты, но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имеются достаточные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запасы подземных вод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питьевого качества"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Регламент дополнен приложением 2 в соответствии с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drawing>
          <wp:inline distT="0" distB="0" distL="0" distR="0">
            <wp:extent cx="5054600" cy="12623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054600" cy="1262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31 " июля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№ 209</w:t>
            </w:r>
          </w:p>
        </w:tc>
      </w:tr>
    </w:tbl>
    <w:bookmarkStart w:name="z95" w:id="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 государственной услуги </w:t>
      </w:r>
      <w:r>
        <w:rPr>
          <w:rFonts w:ascii="Times New Roman"/>
          <w:b/>
          <w:i w:val="false"/>
          <w:color w:val="000000"/>
        </w:rPr>
        <w:t xml:space="preserve">"Предоставление водных объектов в обособленное или совместное </w:t>
      </w:r>
      <w:r>
        <w:rPr>
          <w:rFonts w:ascii="Times New Roman"/>
          <w:b/>
          <w:i w:val="false"/>
          <w:color w:val="000000"/>
        </w:rPr>
        <w:t>пользование на конкурсной основе"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"Предоставление водных объектов в обособленное или совместное пользование на конкурсной основе</w:t>
      </w:r>
      <w:r>
        <w:rPr>
          <w:rFonts w:ascii="Times New Roman"/>
          <w:b/>
          <w:i w:val="false"/>
          <w:color w:val="000000"/>
          <w:sz w:val="28"/>
        </w:rPr>
        <w:t>"</w:t>
      </w:r>
      <w:r>
        <w:rPr>
          <w:rFonts w:ascii="Times New Roman"/>
          <w:b w:val="false"/>
          <w:i w:val="false"/>
          <w:color w:val="000000"/>
          <w:sz w:val="28"/>
        </w:rPr>
        <w:t xml:space="preserve"> (далее – государственная услуга) оказывается местным исполнительным органом области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договор о представлении водного объекта в обособленное или совместное пользование между местным исполнительным органом области и победителем конкурса в бумажном виде на основании решения местного исполнительного органа области о предоставлении водного объекта в обособленное или совместное пользование и (или) протокола конкурсной комиссии об итогах конкурса.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1" w:id="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наличие документов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"Предоставление водных объектов в обособленное или совместное пользование на конкурсной основе", утвержденному постановлением Правительства Республики Казахстан от 3 июня 2014 года № 607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сотрудником канцелярии услугодателя конкурсных заявок и документов услугополучателей согласно пункту 9 Стандарта.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вскрытие конкурсной комиссией конвертов с конкурсными заявками услугополучателей и оформление протокола вскрытия конвертов.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действие 3 – размещение секретарем конкурсной комиссии на 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интернет-ресурсе протокола вскрытия конвертов. Длительность выполнения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конкурсная комиссия подводит итоги конкурса и оформляет протокол конкурсной комиссии. Длительность выполнения – не более 10 (десяти) календарных дней со дня вскрытия конвертов с конкурсными заявками;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5 – секретарь конкурсной комиссии направляет копию протокола итогов конкурсной комиссии услугополучателю.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6 – размещение секретарем конкурсной комиссии итогов проведенного конкурса в средствах массовой информации и на интернет-ресурсе.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7 – отдел услугодателя направляет протокол об итогах конкурса в местный исполнительный орган области. Длительность выполнения – в течение 1 (одного) рабочего дня с момента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8 – местный исполнительный орган области принимает решение о предоставлении водного объекта в обособленное или совместное пользование. Длительность выполнения – 5 (пять) рабочих дней со дня подписания протокола об итогах конкурса;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9 – между местным исполнительным органом области и услугополучателем заключается договор о предоставлении водного объекта в обособленное или совместное пользование. Длительность выполнения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услугодателем с момента сдачи пакета документов услугодателю – в течение 60 (шестьдесяти)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являются зарегистрированные документы услугополучателя, которые служат основанием для начала выполнения действия 2. Результатом действия 2, указанного в пункте 5 настоящего Регламента, является оформленный протокол вскрытия конвертов, который служит основанием для выполнения действия 3. Результатом действия 3, указанного в пункте 5 настоящего Регламента является размещение на интернет-ресурсе протокола вскрытия конвертов, который служит основанием для выполнения действия 4. Результатом действия 4 является оформление протокола конкурсной комиссии, которое служит основанием для выполнения действия 5. Результатом действия 5, указанного в пункте 5 настоящего Регламента, является направление копии протокола итогов конкурсной комиссии услугополучателю, которое служит основанием для начала выполнения действия 6. Результатом действия 6, указанного в пункте 5 настоящего Регламента является публикация итогов проведенного конкурса в средствах массовой информации и размещение на интернет-ресурсе услоугодателя, которое служит основанием для начала выполнения действия 7. Результатом действия 7, указанного в пункте 5 настоящего Регламента, является направление протокола об итогах конкурса в местный исполнительный орган области, которые служат основанием для выполнения действия 8. Результатом действия 8, указанного в пункте 5 настоящего Регламента, является решение местного исполнительного органа области о предоставлении водного объекта в обособленное или совместное пользование, которое служит основанием для выполнения действия 9. Результатом действия 9,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заключение договора о предоставлении водного объекта в обособленное или совместное пользование.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25" w:id="6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6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отдел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конкурсная комиссия;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секретарь конкурсной комиссий.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и регистрация сотрудником канцелярии услугодателя конкурсных заявок и документов услугополучателей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Стандарта, в журнале регистрации входящей корреспонденции с указанием входящего номера и даты приема. Длительность выполнения – 15 (пятнадцать)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вскрытие конвертов конкурсной комиссии с конкурсными заявками и документами услугополучателей и оформление протокола вскрытия конвертов.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размещение секретарем конкурсной комиссии на интернет-ресурсе протокола вскрытия конвертов. Длительность выполнения – 2 (два) рабочих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конкурсная комиссия подводит итоги конкурса и оформляет протокол конкурсной комиссии. Длительность выполнения – не более 10 (десяти) календарных дней со дня вскрытия конвертов с конкурсными заявками;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направление секретарем конкурсной комиссии копию протокола итогов конкурсной комиссии услугополучателю. Длительность выполнения – 1 (один) рабочий день;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размещение секретарем конкурсной комиссии итогов проведенного конкурса в средствах массовой информации и на интернет-ресурсе. Длительность выполнения – 5 (пять) рабочих дней;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направление услугодателем в местный исполнительный орган области протокола об итогах конкурса. Длительность выполнения – в течение 1 (одного) рабочего дня с момента подписания;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принятие местным исполнительным органом решения о предоставлении водного объекта в обособленное или совместное пользование. Длительность выполнения – 5 (пять) рабочих дней со дня подписания протокола об итогах конкурса;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заключение договора о предоставлении водного объекта в обособленное или совместное пользование между местным исполнительным органом области и услугополучателем. Длительность выполнения – 10 (десять)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Пункт 8 с изменениями, внесенными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>№ 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9.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9 в соответствии с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водных объектов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в обособленное или совместное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пользование на конкурсной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основе" 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Правый верхний угол приложения - в редакции постановления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>№ 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30" w:id="7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</w:t>
      </w:r>
      <w:r>
        <w:rPr>
          <w:rFonts w:ascii="Times New Roman"/>
          <w:b/>
          <w:i w:val="false"/>
          <w:color w:val="000000"/>
        </w:rPr>
        <w:t>прохождения каждого действия (процедуры)</w:t>
      </w:r>
    </w:p>
    <w:bookmarkEnd w:id="7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64770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647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2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государственной услуги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"Предоставление водных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объектов в обособленное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или совместное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пользование на конкурсной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основе"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2 в соответствии с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046"/>
        <w:gridCol w:w="10034"/>
      </w:tblGrid>
      <w:tr>
        <w:trPr>
          <w:trHeight w:val="30" w:hRule="atLeast"/>
        </w:trPr>
        <w:tc>
          <w:tcPr>
            <w:tcW w:w="304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1003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</w:p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311900" cy="127762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11900" cy="127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Утвержден постановлением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Восточно-Казахстанского 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областного акимата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от " 31 " июля 2014 года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№ 209 </w:t>
            </w:r>
          </w:p>
        </w:tc>
      </w:tr>
    </w:tbl>
    <w:bookmarkStart w:name="z133" w:id="8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Регламент</w:t>
      </w:r>
      <w:r>
        <w:br/>
      </w:r>
      <w:r>
        <w:rPr>
          <w:rFonts w:ascii="Times New Roman"/>
          <w:b/>
          <w:i w:val="false"/>
          <w:color w:val="000000"/>
        </w:rPr>
        <w:t>государственной услуги</w:t>
      </w:r>
      <w:r>
        <w:rPr>
          <w:rFonts w:ascii="Times New Roman"/>
          <w:b/>
          <w:i w:val="false"/>
          <w:color w:val="000000"/>
        </w:rPr>
        <w:t xml:space="preserve"> "Выдача лесорубочного и лесного билета"</w:t>
      </w:r>
      <w:r>
        <w:br/>
      </w:r>
      <w:r>
        <w:rPr>
          <w:rFonts w:ascii="Times New Roman"/>
          <w:b/>
          <w:i w:val="false"/>
          <w:color w:val="000000"/>
        </w:rPr>
        <w:t>1. Общие положения</w:t>
      </w:r>
    </w:p>
    <w:bookmarkEnd w:id="8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1. </w:t>
      </w:r>
      <w:r>
        <w:rPr>
          <w:rFonts w:ascii="Times New Roman"/>
          <w:b w:val="false"/>
          <w:i w:val="false"/>
          <w:color w:val="000000"/>
          <w:sz w:val="28"/>
        </w:rPr>
        <w:t>Государственная услуга "Выдача лесорубочного и лесного билета" (далее – государственная услуга) оказывается государственными лесовладельцами (далее – услугодатель).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Прием заявлений и выдача результатов оказания государственной услуги осуществляются через канцелярию услугодателя, а также через веб-портал "электронного правительства": www.e.gov.kz (далее – ПЭП).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2. </w:t>
      </w:r>
      <w:r>
        <w:rPr>
          <w:rFonts w:ascii="Times New Roman"/>
          <w:b w:val="false"/>
          <w:i w:val="false"/>
          <w:color w:val="000000"/>
          <w:sz w:val="28"/>
        </w:rPr>
        <w:t>Форма оказания государственной услуги: электронная (частично автоматизированная) и (или)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3. </w:t>
      </w:r>
      <w:r>
        <w:rPr>
          <w:rFonts w:ascii="Times New Roman"/>
          <w:b w:val="false"/>
          <w:i w:val="false"/>
          <w:color w:val="000000"/>
          <w:sz w:val="28"/>
        </w:rPr>
        <w:t>Результат оказания государственной услуги – выдача лесорубочного и (или) лесного билета в бумажной форме.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Форма предоставления результата оказания государственной услуги – бумажная.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4" w:id="9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2. Описание порядка действий структурных подразделений </w:t>
      </w:r>
      <w:r>
        <w:rPr>
          <w:rFonts w:ascii="Times New Roman"/>
          <w:b/>
          <w:i w:val="false"/>
          <w:color w:val="000000"/>
        </w:rPr>
        <w:t>(работников) услугодателя в процессе оказания</w:t>
      </w:r>
      <w:r>
        <w:rPr>
          <w:rFonts w:ascii="Times New Roman"/>
          <w:b/>
          <w:i w:val="false"/>
          <w:color w:val="000000"/>
        </w:rPr>
        <w:t xml:space="preserve"> государственной услуги</w:t>
      </w:r>
    </w:p>
    <w:bookmarkEnd w:id="9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4. </w:t>
      </w:r>
      <w:r>
        <w:rPr>
          <w:rFonts w:ascii="Times New Roman"/>
          <w:b w:val="false"/>
          <w:i w:val="false"/>
          <w:color w:val="000000"/>
          <w:sz w:val="28"/>
        </w:rPr>
        <w:t xml:space="preserve">Основанием для начала процедуры (действия) по оказанию государственной услуги является наличие заявления услугополучателя (либо его представителя по доверенности)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государственной услуги "Выдача лесорубочного и лесного билета", утвержденного постановлением Правительства Республики Казахстан от 3 июня 2014 года № 607 (далее – Стандарт).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5. </w:t>
      </w:r>
      <w:r>
        <w:rPr>
          <w:rFonts w:ascii="Times New Roman"/>
          <w:b w:val="false"/>
          <w:i w:val="false"/>
          <w:color w:val="000000"/>
          <w:sz w:val="28"/>
        </w:rPr>
        <w:t>Содержание процедур (действий), входящих в состав процесса оказания государственной услуги, длительность выполнения: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1 – прием и регистрация сотрудником канцелярии услугодателя заявления услугополучателя согласно пункту 9 Стандарта.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2 – проверка сотрудником услугодателя представленных услугополучателем документов, определение возможности предоставления лесных ресурсов согласно действующему законодательству, оформление лесорубочного или лесного билета.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3 – подписание руководителем услугодателя лесорубочного или лесного билета.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действие 4 – выдача сотрудником канцелярии услугодателя лесорубочного или лесного билета услугополучателю. Длительность выполнения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Срок оказания государственной услуги услугодателем с момента сдачи пакета документов услугодателю – в течение 3 (трех) рабочих дней.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6. </w:t>
      </w:r>
      <w:r>
        <w:rPr>
          <w:rFonts w:ascii="Times New Roman"/>
          <w:b w:val="false"/>
          <w:i w:val="false"/>
          <w:color w:val="000000"/>
          <w:sz w:val="28"/>
        </w:rPr>
        <w:t xml:space="preserve">Результатом процедуры (действия) по оказанию государственной услуги по действию 1, указанному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Регламента, является зарегистрированное заявление услугополучателя, которое служит основанием для начала выполнения действия 2. Результатом действия 2, указанного в пункте 5 настоящего Регламента, являются оформленные лесорубочный или лесной билет, которые служат основанием для начала выполнения действия 3, указанного в пункте 5 настоящего Регламента. Результатом действия 3, указанного в пункте 5 настоящего Регламента, является подписанный руководителем услугодателя лесорубочный или лесной билет, которые служат основанием для начала выполнения действия 4, указанного в пункте 5 настоящего Регламента. Результатом действия 4, указанного в </w:t>
      </w:r>
      <w:r>
        <w:rPr>
          <w:rFonts w:ascii="Times New Roman"/>
          <w:b w:val="false"/>
          <w:i w:val="false"/>
          <w:color w:val="000000"/>
          <w:sz w:val="28"/>
        </w:rPr>
        <w:t>пункте 5</w:t>
      </w:r>
      <w:r>
        <w:rPr>
          <w:rFonts w:ascii="Times New Roman"/>
          <w:b w:val="false"/>
          <w:i w:val="false"/>
          <w:color w:val="000000"/>
          <w:sz w:val="28"/>
        </w:rPr>
        <w:t xml:space="preserve"> настоящего Регламента является выдача лесорубочного или лесного билета.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38" w:id="10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3. Описание порядка взаимодействия структурных подразделений </w:t>
      </w:r>
      <w:r>
        <w:rPr>
          <w:rFonts w:ascii="Times New Roman"/>
          <w:b/>
          <w:i w:val="false"/>
          <w:color w:val="000000"/>
        </w:rPr>
        <w:t xml:space="preserve">(работников) услугодателя в процессе оказания </w:t>
      </w:r>
      <w:r>
        <w:rPr>
          <w:rFonts w:ascii="Times New Roman"/>
          <w:b/>
          <w:i w:val="false"/>
          <w:color w:val="000000"/>
        </w:rPr>
        <w:t>государственной услуги</w:t>
      </w:r>
    </w:p>
    <w:bookmarkEnd w:id="10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7. </w:t>
      </w:r>
      <w:r>
        <w:rPr>
          <w:rFonts w:ascii="Times New Roman"/>
          <w:b w:val="false"/>
          <w:i w:val="false"/>
          <w:color w:val="000000"/>
          <w:sz w:val="28"/>
        </w:rPr>
        <w:t>Перечень структурных подразделений (работников) услугодателя, которые участвуют в процессе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сотрудник канцелярии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сотрудник услугодателя;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руководитель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8. </w:t>
      </w:r>
      <w:r>
        <w:rPr>
          <w:rFonts w:ascii="Times New Roman"/>
          <w:b w:val="false"/>
          <w:i w:val="false"/>
          <w:color w:val="000000"/>
          <w:sz w:val="28"/>
        </w:rPr>
        <w:t>Описание процедур (действий), необходимых для оказания государственной услуги: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 xml:space="preserve">прием и регистрация сотрудником канцелярии услугодателя заявления услугополучателя согласно </w:t>
      </w:r>
      <w:r>
        <w:rPr>
          <w:rFonts w:ascii="Times New Roman"/>
          <w:b w:val="false"/>
          <w:i w:val="false"/>
          <w:color w:val="000000"/>
          <w:sz w:val="28"/>
        </w:rPr>
        <w:t>пункту 9</w:t>
      </w:r>
      <w:r>
        <w:rPr>
          <w:rFonts w:ascii="Times New Roman"/>
          <w:b w:val="false"/>
          <w:i w:val="false"/>
          <w:color w:val="000000"/>
          <w:sz w:val="28"/>
        </w:rPr>
        <w:t xml:space="preserve"> Стандарта в журнале входящей корреспонденции с указанием входящего номера и даты приема на его копии. Длительность выполнения – 20 (двадцать) минут;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проверка сотрудником услугодателя представленных услугополучателем документов, определение возможности предоставления лесных ресурсов согласно действующему законодательству, оформление лесорубочного или лесного билета. Длительность выполнения – в течение 1 (одного) рабочего дня;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подписание руководителем услугодателя лесорубочного или лесного билета. Длительность выполнения – в течение 2 (двух) часов;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выдача сотрудником канцелярии услугодателя лесорубочного или лесного билета услугополучателю. Длительность выполнения – 20 (двадцать) минут.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Описание последовательности процедур (действий) указано в блок-схеме прохождения каждого действия (процедуры)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1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41" w:id="11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4. Описание порядка использования информационных систем в </w:t>
      </w:r>
      <w:r>
        <w:rPr>
          <w:rFonts w:ascii="Times New Roman"/>
          <w:b/>
          <w:i w:val="false"/>
          <w:color w:val="000000"/>
        </w:rPr>
        <w:t>процессе оказания государственной услуги</w:t>
      </w:r>
    </w:p>
    <w:bookmarkEnd w:id="11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 xml:space="preserve">      9. </w:t>
      </w:r>
      <w:r>
        <w:rPr>
          <w:rFonts w:ascii="Times New Roman"/>
          <w:b w:val="false"/>
          <w:i w:val="false"/>
          <w:color w:val="000000"/>
          <w:sz w:val="28"/>
        </w:rPr>
        <w:t>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1) </w:t>
      </w:r>
      <w:r>
        <w:rPr>
          <w:rFonts w:ascii="Times New Roman"/>
          <w:b w:val="false"/>
          <w:i w:val="false"/>
          <w:color w:val="000000"/>
          <w:sz w:val="28"/>
        </w:rPr>
        <w:t>услугополучатель осуществляет регистрацию на ПЭП с помощью своего регистрационного свидетельства ЭЦП, которое хранится в интернет-браузере компьютера услугополучателя (осуществляется для незарегистрированных получателей на ПЭП);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2) </w:t>
      </w:r>
      <w:r>
        <w:rPr>
          <w:rFonts w:ascii="Times New Roman"/>
          <w:b w:val="false"/>
          <w:i w:val="false"/>
          <w:color w:val="000000"/>
          <w:sz w:val="28"/>
        </w:rPr>
        <w:t>процесс 1 – прикрепление в интернет-браузер компьютера услугополучателя регистрационного свидетельства ЭЦП, процесс ввода услугополучателем пароля (процесс авторизации) на ПЭП для получения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3) </w:t>
      </w:r>
      <w:r>
        <w:rPr>
          <w:rFonts w:ascii="Times New Roman"/>
          <w:b w:val="false"/>
          <w:i w:val="false"/>
          <w:color w:val="000000"/>
          <w:sz w:val="28"/>
        </w:rPr>
        <w:t>условие 1 – проверка на ПЭП подлинности данных о зарегистрированном услугополучателе через логин (ИИН/БИН) и пароль;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4) </w:t>
      </w:r>
      <w:r>
        <w:rPr>
          <w:rFonts w:ascii="Times New Roman"/>
          <w:b w:val="false"/>
          <w:i w:val="false"/>
          <w:color w:val="000000"/>
          <w:sz w:val="28"/>
        </w:rPr>
        <w:t>процесс 2 – формирование ПЭП-ом сообщения об отказе в авторизации в связи с имеющимися нарушениями в данных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5) </w:t>
      </w:r>
      <w:r>
        <w:rPr>
          <w:rFonts w:ascii="Times New Roman"/>
          <w:b w:val="false"/>
          <w:i w:val="false"/>
          <w:color w:val="000000"/>
          <w:sz w:val="28"/>
        </w:rPr>
        <w:t>процесс 3 – выбор услугополучателем услуги, указанной в настоящем регламенте, вывод на экран формы запроса для оказания услуги и заполнение услугополучателем формы (ввод данных) с учетом ее структуры и форматных требований, прикрепление к форме запроса необходимых документов в электронном виде;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6) </w:t>
      </w:r>
      <w:r>
        <w:rPr>
          <w:rFonts w:ascii="Times New Roman"/>
          <w:b w:val="false"/>
          <w:i w:val="false"/>
          <w:color w:val="000000"/>
          <w:sz w:val="28"/>
        </w:rPr>
        <w:t>процесс 4 – выбор услугополучателем регистрационного свидетельства ЭЦП для удостоверения (подписания) запроса;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7) </w:t>
      </w:r>
      <w:r>
        <w:rPr>
          <w:rFonts w:ascii="Times New Roman"/>
          <w:b w:val="false"/>
          <w:i w:val="false"/>
          <w:color w:val="000000"/>
          <w:sz w:val="28"/>
        </w:rPr>
        <w:t>условие 2 – проверка на ПЭП срока действия регистрационного свидетельства ЭЦП и отсутствия в списке отозванных (аннулированных) регистрационных свидетельств, а также соответствия идентификационных данных между ИИН/БИН, указанных в запросе и ИИН/БИН, указанных в регистрационном свидетельстве ЭЦП;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8) </w:t>
      </w:r>
      <w:r>
        <w:rPr>
          <w:rFonts w:ascii="Times New Roman"/>
          <w:b w:val="false"/>
          <w:i w:val="false"/>
          <w:color w:val="000000"/>
          <w:sz w:val="28"/>
        </w:rPr>
        <w:t>процесс 5 – формирование сообщения об отказе в запрашиваемой услуге в связи с неподтверждением подлинности ЭЦП услугополучателя;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9) </w:t>
      </w:r>
      <w:r>
        <w:rPr>
          <w:rFonts w:ascii="Times New Roman"/>
          <w:b w:val="false"/>
          <w:i w:val="false"/>
          <w:color w:val="000000"/>
          <w:sz w:val="28"/>
        </w:rPr>
        <w:t>процесс 6 – удостоверение (подписание) посредством ЭЦП услугополучателя заполненной формы (введенных данных) запроса на оказание государственной услуги;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10) </w:t>
      </w:r>
      <w:r>
        <w:rPr>
          <w:rFonts w:ascii="Times New Roman"/>
          <w:b w:val="false"/>
          <w:i w:val="false"/>
          <w:color w:val="000000"/>
          <w:sz w:val="28"/>
        </w:rPr>
        <w:t>процесс 7 – регистрация электронного документа (запроса услугополучателя) в информационной системе государственной базы данных (далее – ИС ГБД) "Е-лицензирование" и обработка запроса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11) </w:t>
      </w:r>
      <w:r>
        <w:rPr>
          <w:rFonts w:ascii="Times New Roman"/>
          <w:b w:val="false"/>
          <w:i w:val="false"/>
          <w:color w:val="000000"/>
          <w:sz w:val="28"/>
        </w:rPr>
        <w:t>условие 3 – проверка полученных документов на соответствие перечню, предусмотренному в пункте 9 Стандарта;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12) </w:t>
      </w:r>
      <w:r>
        <w:rPr>
          <w:rFonts w:ascii="Times New Roman"/>
          <w:b w:val="false"/>
          <w:i w:val="false"/>
          <w:color w:val="000000"/>
          <w:sz w:val="28"/>
        </w:rPr>
        <w:t>процесс 8 – формирование сообщения об отказе в запрашиваемой услуге в связи с имеющимися нарушениями в данных услугополучателя в ИС ГБД "Е-лицензирование";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 xml:space="preserve">
      13) </w:t>
      </w:r>
      <w:r>
        <w:rPr>
          <w:rFonts w:ascii="Times New Roman"/>
          <w:b w:val="false"/>
          <w:i w:val="false"/>
          <w:color w:val="000000"/>
          <w:sz w:val="28"/>
        </w:rPr>
        <w:t>процесс 9 – получение услугополучателем результата государственной услуги в форме электронного документа, удостоверенного ЭЦП уполномоченного лица услугодателя.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Порядок обращения и последовательности процедур (действий) услугодателя и услугополучателя при оказании государственной услуги через веб-портал "электронного правительства" указаны в диаграмме функционального взаимодействия информационных систем, задействованных в оказании государственной услуги,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2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>      </w:t>
      </w:r>
      <w:r>
        <w:rPr>
          <w:rFonts w:ascii="Times New Roman"/>
          <w:b w:val="false"/>
          <w:i w:val="false"/>
          <w:color w:val="ff0000"/>
          <w:sz w:val="28"/>
        </w:rPr>
        <w:t xml:space="preserve">Сноска. Пункт 9 с изменением, внесенным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>№ 15</w:t>
      </w:r>
      <w:r>
        <w:rPr>
          <w:rFonts w:ascii="Times New Roman"/>
          <w:b w:val="false"/>
          <w:i w:val="false"/>
          <w:color w:val="ff0000"/>
          <w:sz w:val="28"/>
        </w:rPr>
        <w:t xml:space="preserve"> 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 xml:space="preserve">10. Подробное описание последовательности процедур (действий), взаимодействий структурных подразделений (работников) услугодателя в процессе оказания государственной услуги, а также описание порядка использования информационных систем в процессе оказания государственной услуги отражается в справочнике бизнес-процессов оказания государственной услуги согласно </w:t>
      </w:r>
      <w:r>
        <w:rPr>
          <w:rFonts w:ascii="Times New Roman"/>
          <w:b w:val="false"/>
          <w:i w:val="false"/>
          <w:color w:val="000000"/>
          <w:sz w:val="28"/>
        </w:rPr>
        <w:t>приложению 3</w:t>
      </w:r>
      <w:r>
        <w:rPr>
          <w:rFonts w:ascii="Times New Roman"/>
          <w:b w:val="false"/>
          <w:i w:val="false"/>
          <w:color w:val="000000"/>
          <w:sz w:val="28"/>
        </w:rPr>
        <w:t xml:space="preserve"> к настоящему Регламенту. Справочник бизнес-процессов оказания государственной услуги размещается на веб-портале "электронного правительства", интернет-ресурсе услугодателя.";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пунктом 10 в соответствии с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Примечание.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Расшифровка аббревиатур: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ИИН – индивидуальный 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БИН – бизнес</w:t>
      </w:r>
      <w:r>
        <w:rPr>
          <w:rFonts w:ascii="Times New Roman"/>
          <w:b/>
          <w:i w:val="false"/>
          <w:color w:val="000000"/>
          <w:sz w:val="28"/>
        </w:rPr>
        <w:t>-</w:t>
      </w:r>
      <w:r>
        <w:rPr>
          <w:rFonts w:ascii="Times New Roman"/>
          <w:b w:val="false"/>
          <w:i w:val="false"/>
          <w:color w:val="000000"/>
          <w:sz w:val="28"/>
        </w:rPr>
        <w:t>идентификационный номер;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  <w:r>
        <w:rPr>
          <w:rFonts w:ascii="Times New Roman"/>
          <w:b w:val="false"/>
          <w:i w:val="false"/>
          <w:color w:val="000000"/>
          <w:sz w:val="28"/>
        </w:rPr>
        <w:t>ЭЦП – электронная цифровая подпись.</w:t>
      </w: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1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лесорубочного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лесного билета"</w:t>
            </w:r>
          </w:p>
        </w:tc>
      </w:tr>
    </w:tbl>
    <w:bookmarkStart w:name="z176" w:id="12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Блок-схема </w:t>
      </w:r>
      <w:r>
        <w:rPr>
          <w:rFonts w:ascii="Times New Roman"/>
          <w:b/>
          <w:i w:val="false"/>
          <w:color w:val="000000"/>
        </w:rPr>
        <w:t>прохождения каждого действия (процедуры)</w:t>
      </w:r>
    </w:p>
    <w:bookmarkEnd w:id="12"/>
    <w:bookmarkStart w:name="z178" w:id="13"/>
    <w:p>
      <w:pPr>
        <w:spacing w:after="0"/>
        <w:ind w:left="0"/>
        <w:jc w:val="left"/>
      </w:pPr>
    </w:p>
    <w:bookmarkEnd w:id="13"/>
    <w:p>
      <w:pPr>
        <w:spacing w:after="0"/>
        <w:ind w:left="0"/>
        <w:jc w:val="both"/>
      </w:pPr>
      <w:r>
        <w:drawing>
          <wp:inline distT="0" distB="0" distL="0" distR="0">
            <wp:extent cx="7696200" cy="76073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696200" cy="760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Приложение 2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государственной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услуги "Выдача лесорубочного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лесного билета" </w:t>
            </w:r>
          </w:p>
        </w:tc>
      </w:tr>
    </w:tbl>
    <w:bookmarkStart w:name="z179" w:id="14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Диаграмма функционального взаимодействия информационных систем </w:t>
      </w:r>
      <w:r>
        <w:rPr>
          <w:rFonts w:ascii="Times New Roman"/>
          <w:b/>
          <w:i w:val="false"/>
          <w:color w:val="000000"/>
        </w:rPr>
        <w:t xml:space="preserve">задействованных в оказании государственной услуги через </w:t>
      </w:r>
      <w:r>
        <w:rPr>
          <w:rFonts w:ascii="Times New Roman"/>
          <w:b/>
          <w:i w:val="false"/>
          <w:color w:val="000000"/>
        </w:rPr>
        <w:t>вэб-портал "электронное правительство"</w:t>
      </w:r>
    </w:p>
    <w:bookmarkEnd w:id="14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5029200" cy="86741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867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bookmarkStart w:name="z193" w:id="15"/>
    <w:p>
      <w:pPr>
        <w:spacing w:after="0"/>
        <w:ind w:left="0"/>
        <w:jc w:val="left"/>
      </w:pPr>
      <w:r>
        <w:rPr>
          <w:rFonts w:ascii="Times New Roman"/>
          <w:b/>
          <w:i w:val="false"/>
          <w:color w:val="000000"/>
        </w:rPr>
        <w:t xml:space="preserve"> Условные обозначения:</w:t>
      </w:r>
    </w:p>
    <w:bookmarkEnd w:id="15"/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6985000" cy="60198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985000" cy="6019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7780"/>
        <w:gridCol w:w="4600"/>
      </w:tblGrid>
      <w:tr>
        <w:trPr>
          <w:trHeight w:val="30" w:hRule="atLeast"/>
        </w:trPr>
        <w:tc>
          <w:tcPr>
            <w:tcW w:w="778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4600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Приложение 3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к регламенту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государственной услуги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 xml:space="preserve">"Выдача лесорубочного и </w:t>
            </w:r>
            <w:r>
              <w:br/>
            </w: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лесного билета"</w:t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ff0000"/>
          <w:sz w:val="28"/>
        </w:rPr>
        <w:t xml:space="preserve">      Сноска. Регламент дополнен приложением 3 в соответствии с постановлением Восточно-Казахстанского областного акимата от 28.01.2015 </w:t>
      </w:r>
      <w:r>
        <w:rPr>
          <w:rFonts w:ascii="Times New Roman"/>
          <w:b w:val="false"/>
          <w:i w:val="false"/>
          <w:color w:val="ff0000"/>
          <w:sz w:val="28"/>
        </w:rPr>
        <w:t xml:space="preserve">№ 15 </w:t>
      </w:r>
      <w:r>
        <w:rPr>
          <w:rFonts w:ascii="Times New Roman"/>
          <w:b w:val="false"/>
          <w:i w:val="false"/>
          <w:color w:val="ff0000"/>
          <w:sz w:val="28"/>
        </w:rPr>
        <w:t xml:space="preserve">(вводится </w:t>
      </w:r>
      <w:r>
        <w:rPr>
          <w:rFonts w:ascii="Times New Roman"/>
          <w:b w:val="false"/>
          <w:i w:val="false"/>
          <w:color w:val="ff0000"/>
          <w:sz w:val="28"/>
        </w:rPr>
        <w:t>в действие</w:t>
      </w:r>
      <w:r>
        <w:rPr>
          <w:rFonts w:ascii="Times New Roman"/>
          <w:b w:val="false"/>
          <w:i w:val="false"/>
          <w:color w:val="ff0000"/>
          <w:sz w:val="28"/>
        </w:rPr>
        <w:t xml:space="preserve"> по истечении десяти календарных дней после дня его первого официального опубликования).</w:t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tbl>
      <w:tblPr>
        <w:tblW w:w="0" w:type="auto"/>
        <w:tblCellSpacing w:w="0" w:type="auto"/>
        <w:tblBorders>
          <w:top w:val="none"/>
          <w:left w:val="none"/>
          <w:bottom w:val="none"/>
          <w:right w:val="none"/>
          <w:insideH w:val="none"/>
          <w:insideV w:val="none"/>
        </w:tblBorders>
      </w:tblPr>
      <w:tblGrid>
        <w:gridCol w:w="3366"/>
        <w:gridCol w:w="9714"/>
      </w:tblGrid>
      <w:tr>
        <w:trPr>
          <w:trHeight w:val="30" w:hRule="atLeast"/>
        </w:trPr>
        <w:tc>
          <w:tcPr>
            <w:tcW w:w="3366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0"/>
              <w:ind w:left="0"/>
              <w:jc w:val="center"/>
            </w:pPr>
            <w:r>
              <w:rPr>
                <w:rFonts w:ascii="Times New Roman"/>
                <w:b w:val="false"/>
                <w:i w:val="false"/>
                <w:color w:val="000000"/>
                <w:sz w:val="20"/>
              </w:rPr>
              <w:t> </w:t>
            </w:r>
          </w:p>
        </w:tc>
        <w:tc>
          <w:tcPr>
            <w:tcW w:w="9714" w:type="dxa"/>
            <w:tcBorders/>
            <w:tcMar>
              <w:top w:w="15" w:type="dxa"/>
              <w:left w:w="15" w:type="dxa"/>
              <w:bottom w:w="15" w:type="dxa"/>
              <w:right w:w="15" w:type="dxa"/>
            </w:tcMar>
            <w:vAlign w:val="center"/>
          </w:tcPr>
          <w:p>
            <w:pPr>
              <w:spacing w:after="20"/>
              <w:ind w:left="20"/>
              <w:jc w:val="both"/>
            </w:pPr>
            <w:r>
              <w:drawing>
                <wp:inline distT="0" distB="0" distL="0" distR="0">
                  <wp:extent cx="6108700" cy="11849100"/>
                  <wp:effectExtent l="0" t="0" r="0" b="0"/>
                  <wp:docPr id="0" name="" descr=""/>
                  <wp:cNvGraphicFramePr>
                    <a:graphicFrameLocks noChangeAspect="true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08700" cy="1184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spacing w:after="0"/>
        <w:ind w:left="0"/>
        <w:jc w:val="left"/>
      </w:pPr>
      <w:r>
        <w:rPr>
          <w:rFonts w:ascii="Times New Roman"/>
          <w:b w:val="false"/>
          <w:i w:val="false"/>
          <w:color w:val="000000"/>
          <w:sz w:val="28"/>
        </w:rPr>
        <w:t>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480300" cy="11633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480300" cy="1163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      </w:t>
      </w:r>
    </w:p>
    <w:p>
      <w:pPr>
        <w:spacing w:after="0"/>
        <w:ind w:left="0"/>
        <w:jc w:val="both"/>
      </w:pPr>
      <w:r>
        <w:drawing>
          <wp:inline distT="0" distB="0" distL="0" distR="0">
            <wp:extent cx="7810500" cy="2870200"/>
            <wp:effectExtent l="0" t="0" r="0" b="0"/>
            <wp:docPr id="0" name="" descr=""/>
            <wp:cNvGraphicFramePr>
              <a:graphicFrameLocks noChangeAspect="true"/>
            </wp:cNvGraphicFramePr>
            <a:graphic>
              <a:graphicData uri="http://schemas.openxmlformats.org/drawingml/2006/picture">
                <pic:pic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8105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/>
        <w:ind w:left="0"/>
        <w:jc w:val="left"/>
      </w:pPr>
      <w:r>
        <w:br/>
      </w:r>
      <w:r>
        <w:rPr>
          <w:rFonts w:ascii="Times New Roman"/>
          <w:b w:val="false"/>
          <w:i w:val="false"/>
          <w:color w:val="000000"/>
          <w:sz w:val="28"/>
        </w:rPr>
        <w:t>
</w:t>
      </w:r>
    </w:p>
    <w:p>
      <w:pPr>
        <w:spacing w:after="0"/>
        <w:ind w:left="0"/>
        <w:jc w:val="left"/>
      </w:pPr>
      <w:r>
        <w:br/>
      </w:r>
      <w:r>
        <w:br/>
      </w:r>
      <w:r>
        <w:rPr>
          <w:rFonts w:ascii="Times New Roman"/>
          <w:b w:val="false"/>
          <w:i w:val="false"/>
          <w:color w:val="000000"/>
          <w:sz w:val="28"/>
        </w:rPr>
        <w:t>
				</w:t>
      </w:r>
    </w:p>
    <w:p>
      <w:pPr>
        <w:pStyle w:val="disclaimer"/>
      </w:pPr>
      <w:r>
        <w:rPr>
          <w:rFonts w:ascii="Times New Roman"/>
          <w:b w:val="false"/>
          <w:i w:val="false"/>
          <w:color w:val="000000"/>
        </w:rPr>
        <w:t>
					© 2012. РГП на ПХВ «Институт законодательства и правовой информации Республики Казахстан» Министерства юстиции Республики Казахстан
				</w:t>
      </w:r>
    </w:p>
    <w:sectPr>
      <w:headerReference w:type="default" r:id="rId16"/>
      <w:pgSz w:w="11907" w:h="16839" w:code="9"/>
      <w:pgMar w:top="1440" w:right="1080" w:bottom="1440" w:left="1080"/>
    </w:sectPr>
  </w:body>
</w:document>
</file>

<file path=word/header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830" w:rsidRDefault="00A02830">
    <w:pPr>
      <w:pStyle w:val="a3"/>
    </w:pPr>
    <w:r>
      <w:rPr>
        <w:noProof/>
      </w:rPr>
      <w:pict>
        <v:rect id="rect1" o:spid="_x0000_s1026" style="position:absolute;         margin-left:.75pt;         margin-top:34.5pt;         width:21pt;         height:700pt;         z-index:251659264;         visibility:visible;         mso-wrap-style:square;         mso-width-percent:0;         mso-height-percent:0;         mso-wrap-distance-left:9pt;         mso-wrap-distance-top:0;         mso-wrap-distance-right:9pt;         mso-wrap-distance-bottom:0;         mso-position-horizontal:absolute;         mso-position-horizontal-relative:text;         mso-position-vertical:absolute;         mso-position-vertical-relative:text;         mso-width-percent:0;         mso-height-percent:0;         mso-width-relative:margin;         mso-height-relative:margin;         v-text-anchor:middle" stroked="f" strokeweight="2pt">
          <v:fill r:id="rId1" o:title="" recolor="t" rotate="t" type="tile"/>
          <w10:wrap type="square"/>
        </v:rect>
      </w:pict>
    </w:r>
  </w:p>
</w:hdr>
</file>

<file path=word/numbering.xml><?xml version="1.0" encoding="utf-8"?>
<w:numbering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/>
</file>

<file path=word/styles.xml><?xml version="1.0" encoding="utf-8"?>
<w:styles xmlns:w="http://schemas.openxmlformats.org/wordprocessingml/2006/main" xmlns:w15="http://schemas.microsoft.com/office/word/2012/wordml" xmlns:r="http://schemas.openxmlformats.org/officeDocument/2006/relationships" xmlns:m="http://schemas.openxmlformats.org/officeDocument/2006/math" xmlns:w14="http://schemas.microsoft.com/office/word/2010/wordml" xmlns:wp="http://schemas.openxmlformats.org/drawingml/2006/wordprocessingDrawing" xmlns:a="http://schemas.openxmlformats.org/drawingml/2006/main" xmlns:ns8="http://schemas.openxmlformats.org/schemaLibrary/2006/main" xmlns:mc="http://schemas.openxmlformats.org/markup-compatibility/2006" xmlns:wne="http://schemas.microsoft.com/office/word/2006/wordml" xmlns:c="http://schemas.openxmlformats.org/drawingml/2006/chart" xmlns:ns12="http://schemas.openxmlformats.org/drawingml/2006/chartDrawing" xmlns:dgm="http://schemas.openxmlformats.org/drawingml/2006/diagram" xmlns:pic="http://schemas.openxmlformats.org/drawingml/2006/picture" xmlns:xdr="http://schemas.openxmlformats.org/drawingml/2006/spreadsheetDrawing" xmlns:dsp="http://schemas.microsoft.com/office/drawing/2008/diagram" xmlns:ns17="urn:schemas-microsoft-com:office:excel" xmlns:o="urn:schemas-microsoft-com:office:office" xmlns:v="urn:schemas-microsoft-com:vml" xmlns:w10="urn:schemas-microsoft-com:office:word" xmlns:ns21="urn:schemas-microsoft-com:office:powerpoint" xmlns:ns23="http://schemas.microsoft.com/office/2006/coverPageProps" xmlns:odx="http://opendope.org/xpaths" xmlns:odc="http://opendope.org/conditions" xmlns:odq="http://opendope.org/questions" xmlns:oda="http://opendope.org/answers" xmlns:odi="http://opendope.org/components" xmlns:odgm="http://opendope.org/SmartArt/DataHierarchy" xmlns:ns30="http://schemas.openxmlformats.org/officeDocument/2006/bibliography" xmlns:ns31="http://schemas.openxmlformats.org/drawingml/2006/compatibility" xmlns:ns32="http://schemas.openxmlformats.org/drawingml/2006/lockedCanvas">
  <w:docDefaults>
    <w:rPrDefault>
      <w:rPr>
        <w:rFonts w:asciiTheme="minorHAnsi" w:hAnsiTheme="minorHAnsi" w:eastAsia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false" w:defUIPriority="99" w:defSemiHidden="true" w:defUnhideWhenUsed="true" w:defQFormat="false" w:count="267">
    <w:lsdException w:name="Normal" w:uiPriority="0" w:semiHidden="false" w:unhideWhenUsed="false" w:qFormat="true"/>
    <w:lsdException w:name="heading 1" w:uiPriority="9" w:semiHidden="false" w:unhideWhenUsed="false" w:qFormat="true"/>
    <w:lsdException w:name="heading 2" w:uiPriority="9" w:qFormat="true"/>
    <w:lsdException w:name="heading 3" w:uiPriority="9" w:qFormat="true"/>
    <w:lsdException w:name="heading 4" w:uiPriority="9" w:qFormat="true"/>
    <w:lsdException w:name="Title" w:uiPriority="10" w:semiHidden="false" w:unhideWhenUsed="false" w:qFormat="true"/>
    <w:lsdException w:name="Default Paragraph Font" w:uiPriority="1"/>
    <w:lsdException w:name="Subtitle" w:uiPriority="11" w:semiHidden="false" w:unhideWhenUsed="false" w:qFormat="true"/>
    <w:lsdException w:name="Emphasis" w:uiPriority="20" w:semiHidden="false" w:unhideWhenUsed="false" w:qFormat="true"/>
    <w:lsdException w:name="Table Grid" w:uiPriority="59" w:semiHidden="false" w:unhideWhenUsed="false"/>
  </w:latentStyles>
  <w:style w:type="paragraph" w:styleId="Normal" w:default="true">
    <w:name w:val="Normal"/>
    <w:basedOn w:val="DocDefaults"/>
    <w:qFormat/>
    <w:rsid w:val="004A3277"/>
    <w:rPr>
      <w:rFonts w:ascii="Times New Roman" w:hAnsi="Times New Roman" w:eastAsia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841CD9"/>
    <w:pPr>
      <w:keepNext/>
      <w:keepLines/>
      <w:spacing w:before="480"/>
      <w:outlineLvl w:val="0"/>
    </w:pPr>
    <w:rPr>
      <w:rFonts w:ascii="Times New Roman" w:hAnsi="Times New Roman" w:eastAsia="Times New Roman" w:cs="Times New Roman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841CD9"/>
    <w:pPr>
      <w:keepNext/>
      <w:keepLines/>
      <w:spacing w:before="200"/>
      <w:outlineLvl w:val="1"/>
    </w:pPr>
    <w:rPr>
      <w:rFonts w:ascii="Times New Roman" w:hAnsi="Times New Roman" w:eastAsia="Times New Roman" w:cs="Times New Roman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841CD9"/>
    <w:pPr>
      <w:keepNext/>
      <w:keepLines/>
      <w:spacing w:before="200"/>
      <w:outlineLvl w:val="2"/>
    </w:pPr>
    <w:rPr>
      <w:rFonts w:ascii="Times New Roman" w:hAnsi="Times New Roman" w:eastAsia="Times New Roman" w:cs="Times New Roman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841CD9"/>
    <w:pPr>
      <w:keepNext/>
      <w:keepLines/>
      <w:spacing w:before="200"/>
      <w:outlineLvl w:val="3"/>
    </w:pPr>
    <w:rPr>
      <w:rFonts w:ascii="Times New Roman" w:hAnsi="Times New Roman" w:eastAsia="Times New Roman" w:cs="Times New Roman"/>
    </w:rPr>
  </w:style>
  <w:style w:type="character" w:styleId="DefaultParagraphFont" w:default="true">
    <w:name w:val="Default Paragraph Font"/>
    <w:uiPriority w:val="1"/>
    <w:semiHidden/>
    <w:unhideWhenUsed/>
    <w:rPr>
      <w:rFonts w:ascii="Times New Roman" w:hAnsi="Times New Roman" w:eastAsia="Times New Roman" w:cs="Times New Roman"/>
    </w:rPr>
  </w:style>
  <w:style w:type="paragraph" w:styleId="Header">
    <w:name w:val="header"/>
    <w:basedOn w:val="Normal"/>
    <w:link w:val="HeaderChar"/>
    <w:uiPriority w:val="99"/>
    <w:unhideWhenUsed/>
    <w:rsid w:val="00841CD9"/>
    <w:pPr>
      <w:tabs>
        <w:tab w:val="center" w:pos="4680"/>
        <w:tab w:val="right" w:pos="9360"/>
      </w:tabs>
    </w:pPr>
    <w:rPr>
      <w:rFonts w:ascii="Times New Roman" w:hAnsi="Times New Roman" w:eastAsia="Times New Roman" w:cs="Times New Roman"/>
    </w:rPr>
  </w:style>
  <w:style w:type="character" w:styleId="HeaderChar" w:customStyle="true">
    <w:name w:val="Header Char"/>
    <w:basedOn w:val="DefaultParagraphFont"/>
    <w:link w:val="Header"/>
    <w:uiPriority w:val="99"/>
    <w:rsid w:val="00841CD9"/>
    <w:rPr>
      <w:rFonts w:ascii="Times New Roman" w:hAnsi="Times New Roman" w:eastAsia="Times New Roman" w:cs="Times New Roman"/>
    </w:rPr>
  </w:style>
  <w:style w:type="character" w:styleId="Heading1Char" w:customStyle="true">
    <w:name w:val="Heading 1 Char"/>
    <w:basedOn w:val="DefaultParagraphFont"/>
    <w:link w:val="Heading1"/>
    <w:uiPriority w:val="9"/>
    <w:rsid w:val="00841CD9"/>
    <w:rPr>
      <w:rFonts w:ascii="Times New Roman" w:hAnsi="Times New Roman" w:eastAsia="Times New Roman" w:cs="Times New Roman"/>
    </w:rPr>
  </w:style>
  <w:style w:type="character" w:styleId="Heading2Char" w:customStyle="true">
    <w:name w:val="Heading 2 Char"/>
    <w:basedOn w:val="DefaultParagraphFont"/>
    <w:link w:val="Heading2"/>
    <w:uiPriority w:val="9"/>
    <w:rsid w:val="00841CD9"/>
    <w:rPr>
      <w:rFonts w:ascii="Times New Roman" w:hAnsi="Times New Roman" w:eastAsia="Times New Roman" w:cs="Times New Roman"/>
    </w:rPr>
  </w:style>
  <w:style w:type="character" w:styleId="Heading3Char" w:customStyle="true">
    <w:name w:val="Heading 3 Char"/>
    <w:basedOn w:val="DefaultParagraphFont"/>
    <w:link w:val="Heading3"/>
    <w:uiPriority w:val="9"/>
    <w:rsid w:val="00841CD9"/>
    <w:rPr>
      <w:rFonts w:ascii="Times New Roman" w:hAnsi="Times New Roman" w:eastAsia="Times New Roman" w:cs="Times New Roman"/>
    </w:rPr>
  </w:style>
  <w:style w:type="character" w:styleId="Heading4Char" w:customStyle="true">
    <w:name w:val="Heading 4 Char"/>
    <w:basedOn w:val="DefaultParagraphFont"/>
    <w:link w:val="Heading4"/>
    <w:uiPriority w:val="9"/>
    <w:rsid w:val="00841CD9"/>
    <w:rPr>
      <w:rFonts w:ascii="Times New Roman" w:hAnsi="Times New Roman" w:eastAsia="Times New Roman" w:cs="Times New Roman"/>
    </w:rPr>
  </w:style>
  <w:style w:type="paragraph" w:styleId="NormalIndent">
    <w:name w:val="Normal Indent"/>
    <w:basedOn w:val="Normal"/>
    <w:uiPriority w:val="99"/>
    <w:unhideWhenUsed/>
    <w:rsid w:val="00841CD9"/>
    <w:pPr>
      <w:ind w:left="720"/>
    </w:pPr>
    <w:rPr>
      <w:rFonts w:ascii="Times New Roman" w:hAnsi="Times New Roman" w:eastAsia="Times New Roman" w:cs="Times New Roman"/>
    </w:rPr>
  </w:style>
  <w:style w:type="paragraph" w:styleId="Subtitle">
    <w:name w:val="Subtitle"/>
    <w:basedOn w:val="Normal"/>
    <w:next w:val="Normal"/>
    <w:link w:val="SubtitleChar"/>
    <w:uiPriority w:val="11"/>
    <w:qFormat/>
    <w:rsid w:val="00841CD9"/>
    <w:pPr>
      <w:numPr>
        <w:ilvl w:val="1"/>
      </w:numPr>
      <w:ind w:left="86"/>
    </w:pPr>
    <w:rPr>
      <w:rFonts w:ascii="Times New Roman" w:hAnsi="Times New Roman" w:eastAsia="Times New Roman" w:cs="Times New Roman"/>
    </w:rPr>
  </w:style>
  <w:style w:type="character" w:styleId="SubtitleChar" w:customStyle="true">
    <w:name w:val="Subtitle Char"/>
    <w:basedOn w:val="DefaultParagraphFont"/>
    <w:link w:val="Subtitle"/>
    <w:uiPriority w:val="11"/>
    <w:rsid w:val="00841CD9"/>
    <w:rPr>
      <w:rFonts w:ascii="Times New Roman" w:hAnsi="Times New Roman" w:eastAsia="Times New Roman" w:cs="Times New Roman"/>
    </w:rPr>
  </w:style>
  <w:style w:type="paragraph" w:styleId="Title">
    <w:name w:val="Title"/>
    <w:basedOn w:val="Normal"/>
    <w:next w:val="Normal"/>
    <w:link w:val="TitleChar"/>
    <w:uiPriority w:val="10"/>
    <w:qFormat/>
    <w:rsid w:val="00841CD9"/>
    <w:pPr>
      <w:pBdr>
        <w:bottom w:val="single" w:color="4F81BD" w:themeColor="accent1" w:sz="8" w:space="4"/>
      </w:pBdr>
      <w:spacing w:after="300"/>
      <w:contextualSpacing/>
    </w:pPr>
    <w:rPr>
      <w:rFonts w:ascii="Times New Roman" w:hAnsi="Times New Roman" w:eastAsia="Times New Roman" w:cs="Times New Roman"/>
    </w:rPr>
  </w:style>
  <w:style w:type="character" w:styleId="TitleChar" w:customStyle="true">
    <w:name w:val="Title Char"/>
    <w:basedOn w:val="DefaultParagraphFont"/>
    <w:link w:val="Title"/>
    <w:uiPriority w:val="10"/>
    <w:rsid w:val="00841CD9"/>
    <w:rPr>
      <w:rFonts w:ascii="Times New Roman" w:hAnsi="Times New Roman" w:eastAsia="Times New Roman" w:cs="Times New Roman"/>
    </w:rPr>
  </w:style>
  <w:style w:type="character" w:styleId="Emphasis">
    <w:name w:val="Emphasis"/>
    <w:basedOn w:val="DefaultParagraphFont"/>
    <w:uiPriority w:val="20"/>
    <w:qFormat/>
    <w:rsid w:val="00D1197D"/>
    <w:rPr>
      <w:rFonts w:ascii="Times New Roman" w:hAnsi="Times New Roman" w:eastAsia="Times New Roman" w:cs="Times New Roman"/>
    </w:rPr>
  </w:style>
  <w:style w:type="character" w:styleId="Hyperlink">
    <w:name w:val="Hyperlink"/>
    <w:basedOn w:val="DefaultParagraphFont"/>
    <w:uiPriority w:val="99"/>
    <w:unhideWhenUsed/>
    <w:rPr>
      <w:rFonts w:ascii="Times New Roman" w:hAnsi="Times New Roman" w:eastAsia="Times New Roman" w:cs="Times New Roman"/>
    </w:rPr>
  </w:style>
  <w:style w:type="table" w:styleId="TableGrid">
    <w:name w:val="Table Grid"/>
    <w:basedOn w:val="TableNormal"/>
    <w:uiPriority w:val="59"/>
    <w:pPr>
      <w:spacing w:after="0" w:line="240" w:lineRule="auto"/>
    </w:pPr>
    <w:rPr>
      <w:rFonts w:ascii="Times New Roman" w:hAnsi="Times New Roman" w:eastAsia="Times New Roman" w:cs="Times New Roman"/>
    </w:rPr>
    <w:tblPr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TableNormal" w:default="true">
    <w:name w:val="Normal Table"/>
    <w:uiPriority w:val="99"/>
    <w:semiHidden/>
    <w:unhideWhenUsed/>
    <w:qFormat/>
    <w:rPr>
      <w:rFonts w:ascii="Times New Roman" w:hAnsi="Times New Roman" w:eastAsia="Times New Roman" w:cs="Times New Roman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7109C0"/>
    <w:pPr>
      <w:spacing w:line="240" w:lineRule="auto"/>
    </w:pPr>
    <w:rPr>
      <w:rFonts w:ascii="Times New Roman" w:hAnsi="Times New Roman" w:eastAsia="Times New Roman" w:cs="Times New Roman"/>
    </w:rPr>
  </w:style>
  <w:style w:type="paragraph" w:styleId="disclaimer">
    <w:name w:val="disclaimer"/>
    <w:basedOn w:val="Normal"/>
    <w:pPr>
      <w:jc w:val="center"/>
    </w:pPr>
    <w:rPr>
      <w:sz w:val="18"/>
      <w:szCs w:val="18"/>
    </w:rPr>
  </w:style>
  <w:style w:type="paragraph" w:styleId="DocDefaults">
    <w:name w:val="DocDefaults"/>
    <w:pPr>
      <w:spacing w:after="200" w:line="276" w:lineRule="auto"/>
    </w:pPr>
    <w:rPr>
      <w:rFonts w:asciiTheme="minorHAnsi" w:hAnsiTheme="minorHAnsi" w:eastAsiaTheme="minorHAnsi" w:cstheme="minorBidi"/>
      <w:sz w:val="22"/>
      <w:szCs w:val="22"/>
      <w:lang w:val="en-US" w:eastAsia="en-US" w:bidi="ar-SA"/>
    </w:rPr>
  </w:style>
</w:styles>
</file>

<file path=word/_rels/document.xml.rels><?xml version="1.0" encoding="UTF-8" standalone="yes"?><Relationships xmlns="http://schemas.openxmlformats.org/package/2006/relationships"><Relationship Target="styles.xml" Type="http://schemas.openxmlformats.org/officeDocument/2006/relationships/styles" Id="rId1"/><Relationship Target="numbering.xml" Type="http://schemas.openxmlformats.org/officeDocument/2006/relationships/numbering" Id="rId2"/><Relationship Target="media/document_image_rId3.png" Type="http://schemas.openxmlformats.org/officeDocument/2006/relationships/image" Id="rId3"/><Relationship Target="media/document_image_rId4.jpeg" Type="http://schemas.openxmlformats.org/officeDocument/2006/relationships/image" Id="rId4"/><Relationship Target="media/document_image_rId5.jpeg" Type="http://schemas.openxmlformats.org/officeDocument/2006/relationships/image" Id="rId5"/><Relationship Target="media/document_image_rId6.jpeg" Type="http://schemas.openxmlformats.org/officeDocument/2006/relationships/image" Id="rId6"/><Relationship Target="media/document_image_rId7.jpeg" Type="http://schemas.openxmlformats.org/officeDocument/2006/relationships/image" Id="rId7"/><Relationship Target="media/document_image_rId8.jpeg" Type="http://schemas.openxmlformats.org/officeDocument/2006/relationships/image" Id="rId8"/><Relationship Target="media/document_image_rId9.jpeg" Type="http://schemas.openxmlformats.org/officeDocument/2006/relationships/image" Id="rId9"/><Relationship Target="media/document_image_rId10.jpeg" Type="http://schemas.openxmlformats.org/officeDocument/2006/relationships/image" Id="rId10"/><Relationship Target="media/document_image_rId11.jpeg" Type="http://schemas.openxmlformats.org/officeDocument/2006/relationships/image" Id="rId11"/><Relationship Target="media/document_image_rId12.jpeg" Type="http://schemas.openxmlformats.org/officeDocument/2006/relationships/image" Id="rId12"/><Relationship Target="media/document_image_rId13.jpeg" Type="http://schemas.openxmlformats.org/officeDocument/2006/relationships/image" Id="rId13"/><Relationship Target="media/document_image_rId14.jpeg" Type="http://schemas.openxmlformats.org/officeDocument/2006/relationships/image" Id="rId14"/><Relationship Target="media/document_image_rId15.jpeg" Type="http://schemas.openxmlformats.org/officeDocument/2006/relationships/image" Id="rId15"/><Relationship Target="header.xml" Type="http://schemas.openxmlformats.org/officeDocument/2006/relationships/header" Id="rId16"/></Relationships>
</file>

<file path=word/_rels/header.xml.rels><?xml version="1.0" encoding="UTF-8" standalone="yes"?><Relationships xmlns="http://schemas.openxmlformats.org/package/2006/relationships"><Relationship Target="media/header_image_rId1.png" Type="http://schemas.openxmlformats.org/officeDocument/2006/relationships/image" Id="rId1"/></Relationships>
</file>

<file path=docProps/app.xml><?xml version="1.0" encoding="utf-8"?>
<properties:Properties xmlns:vt="http://schemas.openxmlformats.org/officeDocument/2006/docPropsVTypes" xmlns:properties="http://schemas.openxmlformats.org/officeDocument/2006/extended-properties"/>
</file>

<file path=docProps/core.xml><?xml version="1.0" encoding="utf-8"?>
<cp:coreProperties xmlns:cp="http://schemas.openxmlformats.org/package/2006/metadata/core-properties" xmlns:dcterms="http://purl.org/dc/terms/" xmlns:dc="http://purl.org/dc/elements/1.1/"/>
</file>