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10fb82" w14:textId="010fb8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регламента государственной услуги "Учет иностранных периодических печатных изданий, распространяемых на территории Восточно-Казахстанской области"</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Восточно-Казахстанского областного акимата от 15 апреля 2014 года N 106. Зарегистрировано Департаментом юстиции Восточно-Казахстанской области 20 мая 2014 года N 3340. Утратило силу - постановлением Восточно-Казахстанского областного акимата от 28 июля 2015 года N 183</w:t>
      </w:r>
    </w:p>
    <w:p>
      <w:pPr>
        <w:spacing w:after="0"/>
        <w:ind w:left="0"/>
        <w:jc w:val="both"/>
      </w:pPr>
      <w:r>
        <w:rPr>
          <w:rFonts w:ascii="Times New Roman"/>
          <w:b w:val="false"/>
          <w:i w:val="false"/>
          <w:color w:val="ff0000"/>
          <w:sz w:val="28"/>
        </w:rPr>
        <w:t>      Примечание РЦПИ.</w:t>
      </w:r>
      <w:r>
        <w:br/>
      </w:r>
      <w:r>
        <w:rPr>
          <w:rFonts w:ascii="Times New Roman"/>
          <w:b w:val="false"/>
          <w:i w:val="false"/>
          <w:color w:val="000000"/>
          <w:sz w:val="28"/>
        </w:rPr>
        <w:t>
</w:t>
      </w:r>
      <w:r>
        <w:rPr>
          <w:rFonts w:ascii="Times New Roman"/>
          <w:b w:val="false"/>
          <w:i w:val="false"/>
          <w:color w:val="ff0000"/>
          <w:sz w:val="28"/>
        </w:rPr>
        <w:t>      В тексте документа сохранена пунктуация и орфография оригинала.</w:t>
      </w:r>
      <w:r>
        <w:br/>
      </w:r>
      <w:r>
        <w:rPr>
          <w:rFonts w:ascii="Times New Roman"/>
          <w:b w:val="false"/>
          <w:i w:val="false"/>
          <w:color w:val="000000"/>
          <w:sz w:val="28"/>
        </w:rPr>
        <w:t>
</w:t>
      </w:r>
      <w:r>
        <w:rPr>
          <w:rFonts w:ascii="Times New Roman"/>
          <w:b w:val="false"/>
          <w:i w:val="false"/>
          <w:color w:val="ff0000"/>
          <w:sz w:val="28"/>
        </w:rPr>
        <w:t xml:space="preserve">      Сноска. </w:t>
      </w:r>
      <w:r>
        <w:rPr>
          <w:rFonts w:ascii="Times New Roman"/>
          <w:b w:val="false"/>
          <w:i w:val="false"/>
          <w:color w:val="800000"/>
          <w:sz w:val="28"/>
        </w:rPr>
        <w:t xml:space="preserve">Утратило силу - </w:t>
      </w:r>
      <w:r>
        <w:rPr>
          <w:rFonts w:ascii="Times New Roman"/>
          <w:b w:val="false"/>
          <w:i w:val="false"/>
          <w:color w:val="000000"/>
          <w:sz w:val="28"/>
        </w:rPr>
        <w:t>постановлением</w:t>
      </w:r>
      <w:r>
        <w:rPr>
          <w:rFonts w:ascii="Times New Roman"/>
          <w:b w:val="false"/>
          <w:i w:val="false"/>
          <w:color w:val="800000"/>
          <w:sz w:val="28"/>
        </w:rPr>
        <w:t xml:space="preserve"> Восточно-Казахстанского областного акимата от 28</w:t>
      </w:r>
      <w:r>
        <w:rPr>
          <w:rFonts w:ascii="Times New Roman"/>
          <w:b w:val="false"/>
          <w:i w:val="false"/>
          <w:color w:val="ff0000"/>
          <w:sz w:val="28"/>
        </w:rPr>
        <w:t>.07.</w:t>
      </w:r>
      <w:r>
        <w:rPr>
          <w:rFonts w:ascii="Times New Roman"/>
          <w:b w:val="false"/>
          <w:i w:val="false"/>
          <w:color w:val="800000"/>
          <w:sz w:val="28"/>
        </w:rPr>
        <w:t>2015 N 183</w:t>
      </w:r>
      <w:r>
        <w:rPr>
          <w:rFonts w:ascii="Times New Roman"/>
          <w:b w:val="false"/>
          <w:i w:val="false"/>
          <w:color w:val="ff0000"/>
          <w:sz w:val="28"/>
        </w:rPr>
        <w:t xml:space="preserve"> (</w:t>
      </w:r>
      <w:r>
        <w:rPr>
          <w:rFonts w:ascii="Times New Roman"/>
          <w:b w:val="false"/>
          <w:i w:val="false"/>
          <w:color w:val="800000"/>
          <w:sz w:val="28"/>
        </w:rPr>
        <w:t>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27 Закона Республики Казахстан от 23 января 2001 года "О местном государственном управлении и самоуправлении в Республике Казахстан", </w:t>
      </w:r>
      <w:r>
        <w:rPr>
          <w:rFonts w:ascii="Times New Roman"/>
          <w:b w:val="false"/>
          <w:i w:val="false"/>
          <w:color w:val="000000"/>
          <w:sz w:val="28"/>
        </w:rPr>
        <w:t>статьей 16</w:t>
      </w:r>
      <w:r>
        <w:rPr>
          <w:rFonts w:ascii="Times New Roman"/>
          <w:b w:val="false"/>
          <w:i w:val="false"/>
          <w:color w:val="000000"/>
          <w:sz w:val="28"/>
        </w:rPr>
        <w:t xml:space="preserve"> Закона Республики Казахстан от 15 апреля 2013 года "О государственных услугах",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5 марта 2014 года № 180 "Об утверждении стандартов государственных услуг в области информации", Восточно-Казахстанский областной акимат </w:t>
      </w:r>
      <w:r>
        <w:rPr>
          <w:rFonts w:ascii="Times New Roman"/>
          <w:b/>
          <w:i w:val="false"/>
          <w:color w:val="000000"/>
          <w:sz w:val="28"/>
        </w:rPr>
        <w:t>ПОСТАНОВЛЯЕТ</w:t>
      </w:r>
      <w:r>
        <w:rPr>
          <w:rFonts w:ascii="Times New Roman"/>
          <w:b w:val="false"/>
          <w:i w:val="false"/>
          <w:color w:val="000000"/>
          <w:sz w:val="28"/>
        </w:rPr>
        <w:t>:</w:t>
      </w:r>
      <w:r>
        <w:br/>
      </w:r>
      <w:r>
        <w:rPr>
          <w:rFonts w:ascii="Times New Roman"/>
          <w:b w:val="false"/>
          <w:i w:val="false"/>
          <w:color w:val="000000"/>
          <w:sz w:val="28"/>
        </w:rPr>
        <w:t>
      1. Утвердить прилагаемый </w:t>
      </w:r>
      <w:r>
        <w:rPr>
          <w:rFonts w:ascii="Times New Roman"/>
          <w:b w:val="false"/>
          <w:i w:val="false"/>
          <w:color w:val="000000"/>
          <w:sz w:val="28"/>
        </w:rPr>
        <w:t>регламент</w:t>
      </w:r>
      <w:r>
        <w:rPr>
          <w:rFonts w:ascii="Times New Roman"/>
          <w:b w:val="false"/>
          <w:i w:val="false"/>
          <w:color w:val="000000"/>
          <w:sz w:val="28"/>
        </w:rPr>
        <w:t xml:space="preserve"> государственной услуги "Учет иностранных периодических печатных изданий, распространяемых на территории Восточно-Казахстанской области".</w:t>
      </w:r>
      <w:r>
        <w:br/>
      </w:r>
      <w:r>
        <w:rPr>
          <w:rFonts w:ascii="Times New Roman"/>
          <w:b w:val="false"/>
          <w:i w:val="false"/>
          <w:color w:val="000000"/>
          <w:sz w:val="28"/>
        </w:rPr>
        <w:t>
      2. Настоящее постановление вводится в действие по истечении десяти календарных дней после дня его первого официального опубликования, но не ранее введения в действие </w:t>
      </w:r>
      <w:r>
        <w:rPr>
          <w:rFonts w:ascii="Times New Roman"/>
          <w:b w:val="false"/>
          <w:i w:val="false"/>
          <w:color w:val="000000"/>
          <w:sz w:val="28"/>
        </w:rPr>
        <w:t>постановления</w:t>
      </w:r>
      <w:r>
        <w:rPr>
          <w:rFonts w:ascii="Times New Roman"/>
          <w:b w:val="false"/>
          <w:i w:val="false"/>
          <w:color w:val="000000"/>
          <w:sz w:val="28"/>
        </w:rPr>
        <w:t xml:space="preserve"> Правительства Республики Казахстан от 5 марта 2014 года № 180 "Об утверждении стандартов государственных услуг в области информации".</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5090"/>
        <w:gridCol w:w="7210"/>
      </w:tblGrid>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Аким области</w:t>
            </w:r>
            <w:r>
              <w:br/>
            </w:r>
            <w:r>
              <w:rPr>
                <w:rFonts w:ascii="Times New Roman"/>
                <w:b w:val="false"/>
                <w:i w:val="false"/>
                <w:color w:val="000000"/>
                <w:sz w:val="20"/>
              </w:rPr>
              <w:t>
</w:t>
            </w:r>
            <w:r>
              <w:br/>
            </w:r>
          </w:p>
        </w:tc>
        <w:tc>
          <w:tcPr>
            <w:tcW w:w="7210"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 Сапарбаев</w:t>
            </w:r>
            <w:r>
              <w:br/>
            </w:r>
            <w:r>
              <w:rPr>
                <w:rFonts w:ascii="Times New Roman"/>
                <w:b w:val="false"/>
                <w:i w:val="false"/>
                <w:color w:val="000000"/>
                <w:sz w:val="20"/>
              </w:rPr>
              <w:t>
</w:t>
            </w:r>
            <w:r>
              <w:br/>
            </w:r>
          </w:p>
        </w:tc>
      </w:tr>
    </w:tbl>
    <w:p>
      <w:pPr>
        <w:spacing w:after="0"/>
        <w:ind w:left="0"/>
        <w:jc w:val="both"/>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1" w:id="0"/>
          <w:p>
            <w:pPr>
              <w:spacing w:after="20"/>
              <w:ind w:left="20"/>
              <w:jc w:val="both"/>
            </w:pPr>
            <w:r>
              <w:rPr>
                <w:rFonts w:ascii="Times New Roman"/>
                <w:b w:val="false"/>
                <w:i w:val="false"/>
                <w:color w:val="000000"/>
                <w:sz w:val="20"/>
              </w:rPr>
              <w:t>
Утвержден постановлением</w:t>
            </w:r>
            <w:r>
              <w:br/>
            </w:r>
            <w:r>
              <w:rPr>
                <w:rFonts w:ascii="Times New Roman"/>
                <w:b w:val="false"/>
                <w:i w:val="false"/>
                <w:color w:val="000000"/>
                <w:sz w:val="20"/>
              </w:rPr>
              <w:t>
Восточно-Казахстанского</w:t>
            </w:r>
            <w:r>
              <w:br/>
            </w:r>
            <w:r>
              <w:rPr>
                <w:rFonts w:ascii="Times New Roman"/>
                <w:b w:val="false"/>
                <w:i w:val="false"/>
                <w:color w:val="000000"/>
                <w:sz w:val="20"/>
              </w:rPr>
              <w:t>
областного акимата</w:t>
            </w:r>
            <w:r>
              <w:br/>
            </w:r>
            <w:r>
              <w:rPr>
                <w:rFonts w:ascii="Times New Roman"/>
                <w:b w:val="false"/>
                <w:i w:val="false"/>
                <w:color w:val="000000"/>
                <w:sz w:val="20"/>
              </w:rPr>
              <w:t>
от "15" апреля 2014 года № 106</w:t>
            </w:r>
          </w:p>
          <w:bookmarkEnd w:id="0"/>
        </w:tc>
      </w:tr>
    </w:tbl>
    <w:p>
      <w:pPr>
        <w:spacing w:after="0"/>
        <w:ind w:left="0"/>
        <w:jc w:val="left"/>
      </w:pPr>
      <w:r>
        <w:rPr>
          <w:rFonts w:ascii="Times New Roman"/>
          <w:b/>
          <w:i w:val="false"/>
          <w:color w:val="000000"/>
        </w:rPr>
        <w:t xml:space="preserve"> Регламент государственной услуги</w:t>
      </w:r>
      <w:r>
        <w:br/>
      </w:r>
      <w:r>
        <w:rPr>
          <w:rFonts w:ascii="Times New Roman"/>
          <w:b/>
          <w:i w:val="false"/>
          <w:color w:val="000000"/>
        </w:rPr>
        <w:t>
"Учет иностранных периодических печатных изданий,</w:t>
      </w:r>
      <w:r>
        <w:br/>
      </w:r>
      <w:r>
        <w:rPr>
          <w:rFonts w:ascii="Times New Roman"/>
          <w:b/>
          <w:i w:val="false"/>
          <w:color w:val="000000"/>
        </w:rPr>
        <w:t>
распространяемых на территории Восточно-Казахстанской области"</w:t>
      </w:r>
      <w:r>
        <w:br/>
      </w:r>
      <w:r>
        <w:rPr>
          <w:rFonts w:ascii="Times New Roman"/>
          <w:b/>
          <w:i w:val="false"/>
          <w:color w:val="000000"/>
        </w:rPr>
        <w:t>
1. Общие положения</w:t>
      </w:r>
    </w:p>
    <w:p>
      <w:pPr>
        <w:spacing w:after="0"/>
        <w:ind w:left="0"/>
        <w:jc w:val="both"/>
      </w:pPr>
      <w:r>
        <w:rPr>
          <w:rFonts w:ascii="Times New Roman"/>
          <w:b w:val="false"/>
          <w:i w:val="false"/>
          <w:color w:val="000000"/>
          <w:sz w:val="28"/>
        </w:rPr>
        <w:t>      1. Услугодателем государственной услуги "Учет иностранных периодических печатных изданий, распространяемых на территории Восточно-Казахстанской области" (далее – государственная услуга) является управление внутренней политики Восточно-Казахстанской области (далее – услугодатель). Прием заявлений и выдача результатов оказания государственной услуги осуществляется через:</w:t>
      </w:r>
      <w:r>
        <w:br/>
      </w:r>
      <w:r>
        <w:rPr>
          <w:rFonts w:ascii="Times New Roman"/>
          <w:b w:val="false"/>
          <w:i w:val="false"/>
          <w:color w:val="000000"/>
          <w:sz w:val="28"/>
        </w:rPr>
        <w:t>
      1) услугодателя;</w:t>
      </w:r>
      <w:r>
        <w:br/>
      </w:r>
      <w:r>
        <w:rPr>
          <w:rFonts w:ascii="Times New Roman"/>
          <w:b w:val="false"/>
          <w:i w:val="false"/>
          <w:color w:val="000000"/>
          <w:sz w:val="28"/>
        </w:rPr>
        <w:t>
      2) Республиканское государственное предприятие на праве хозяйственного ведения "Центр обслуживания населения" Комитета по контролю автоматизации государственных услуг и координации деятельности центров обслуживания населения Министерства транспорта и коммуникаций Республики Казахстан (далее – ЦОН);</w:t>
      </w:r>
      <w:r>
        <w:br/>
      </w:r>
      <w:r>
        <w:rPr>
          <w:rFonts w:ascii="Times New Roman"/>
          <w:b w:val="false"/>
          <w:i w:val="false"/>
          <w:color w:val="000000"/>
          <w:sz w:val="28"/>
        </w:rPr>
        <w:t>
      3) веб-портал "электронного правительства" www.egov.kz (далее – ПЭП).</w:t>
      </w:r>
      <w:r>
        <w:br/>
      </w:r>
      <w:r>
        <w:rPr>
          <w:rFonts w:ascii="Times New Roman"/>
          <w:b w:val="false"/>
          <w:i w:val="false"/>
          <w:color w:val="000000"/>
          <w:sz w:val="28"/>
        </w:rPr>
        <w:t>
      2. Форма оказания государственной услуги – электронная (частично автоматизированная) и (или) бумажная.</w:t>
      </w:r>
      <w:r>
        <w:br/>
      </w:r>
      <w:r>
        <w:rPr>
          <w:rFonts w:ascii="Times New Roman"/>
          <w:b w:val="false"/>
          <w:i w:val="false"/>
          <w:color w:val="000000"/>
          <w:sz w:val="28"/>
        </w:rPr>
        <w:t>
      3. Результат оказания государственной услуги – справка об учете иностранных периодических печатных изданий, распространяемых на территории области.</w:t>
      </w:r>
      <w:r>
        <w:br/>
      </w:r>
      <w:r>
        <w:rPr>
          <w:rFonts w:ascii="Times New Roman"/>
          <w:b w:val="false"/>
          <w:i w:val="false"/>
          <w:color w:val="000000"/>
          <w:sz w:val="28"/>
        </w:rPr>
        <w:t>
      Форма предоставления результата оказания государственной услуги – электронная и (или) бумажная.</w:t>
      </w:r>
      <w:r>
        <w:br/>
      </w:r>
      <w:r>
        <w:rPr>
          <w:rFonts w:ascii="Times New Roman"/>
          <w:b w:val="false"/>
          <w:i w:val="false"/>
          <w:color w:val="000000"/>
          <w:sz w:val="28"/>
        </w:rPr>
        <w:t>
      В случае обращения за получением справки на бумажном носителе, результат оказания государственной услуги оформляется в электронном формате, распечатывается и заверяется печатью и подписью уполномоченного лица услугодателя.</w:t>
      </w:r>
      <w:r>
        <w:br/>
      </w:r>
      <w:r>
        <w:rPr>
          <w:rFonts w:ascii="Times New Roman"/>
          <w:b w:val="false"/>
          <w:i w:val="false"/>
          <w:color w:val="000000"/>
          <w:sz w:val="28"/>
        </w:rPr>
        <w:t>
 </w:t>
      </w:r>
    </w:p>
    <w:p>
      <w:pPr>
        <w:spacing w:after="0"/>
        <w:ind w:left="0"/>
        <w:jc w:val="left"/>
      </w:pPr>
      <w:r>
        <w:rPr>
          <w:rFonts w:ascii="Times New Roman"/>
          <w:b/>
          <w:i w:val="false"/>
          <w:color w:val="000000"/>
        </w:rPr>
        <w:t xml:space="preserve"> 2. Описание порядка действий структурных подразделений</w:t>
      </w:r>
      <w:r>
        <w:br/>
      </w:r>
      <w:r>
        <w:rPr>
          <w:rFonts w:ascii="Times New Roman"/>
          <w:b/>
          <w:i w:val="false"/>
          <w:color w:val="000000"/>
        </w:rPr>
        <w:t>
(работников) услугодателя в процессе оказания государственной</w:t>
      </w:r>
      <w:r>
        <w:br/>
      </w:r>
      <w:r>
        <w:rPr>
          <w:rFonts w:ascii="Times New Roman"/>
          <w:b/>
          <w:i w:val="false"/>
          <w:color w:val="000000"/>
        </w:rPr>
        <w:t>
услуги</w:t>
      </w:r>
    </w:p>
    <w:bookmarkStart w:name="z2" w:id="1"/>
    <w:p>
      <w:pPr>
        <w:spacing w:after="0"/>
        <w:ind w:left="0"/>
        <w:jc w:val="both"/>
      </w:pPr>
      <w:r>
        <w:rPr>
          <w:rFonts w:ascii="Times New Roman"/>
          <w:b w:val="false"/>
          <w:i w:val="false"/>
          <w:color w:val="000000"/>
          <w:sz w:val="28"/>
        </w:rPr>
        <w:t>      4. Основанием для начала процедуры (действия) по оказанию государственной услуги является наличие заявления услугополучателя или электронного запроса через ПЭП.</w:t>
      </w:r>
      <w:r>
        <w:br/>
      </w:r>
      <w:r>
        <w:rPr>
          <w:rFonts w:ascii="Times New Roman"/>
          <w:b w:val="false"/>
          <w:i w:val="false"/>
          <w:color w:val="000000"/>
          <w:sz w:val="28"/>
        </w:rPr>
        <w:t>
      5. Содержание процедур (действий), входящих в состав процесса оказания государственной услуги, длительность выполнения:</w:t>
      </w:r>
      <w:r>
        <w:br/>
      </w:r>
      <w:r>
        <w:rPr>
          <w:rFonts w:ascii="Times New Roman"/>
          <w:b w:val="false"/>
          <w:i w:val="false"/>
          <w:color w:val="000000"/>
          <w:sz w:val="28"/>
        </w:rPr>
        <w:t>
      1) прием и регистрация работником канцелярии заявления и документов услугополучателя, предусмотренных </w:t>
      </w:r>
      <w:r>
        <w:rPr>
          <w:rFonts w:ascii="Times New Roman"/>
          <w:b w:val="false"/>
          <w:i w:val="false"/>
          <w:color w:val="000000"/>
          <w:sz w:val="28"/>
        </w:rPr>
        <w:t>пунктом 9</w:t>
      </w:r>
      <w:r>
        <w:rPr>
          <w:rFonts w:ascii="Times New Roman"/>
          <w:b w:val="false"/>
          <w:i w:val="false"/>
          <w:color w:val="000000"/>
          <w:sz w:val="28"/>
        </w:rPr>
        <w:t xml:space="preserve"> стандарта государственной услуги "Учет иностранных периодических печатных изданий, распространяемых на территории области, города республиканского значения, столицы", утвержденного постановлением Правительства Республики Казахстан от 5 марта 2014 года № 180 (далее – Стандарт), в журнале регистрации заявлений, время выполнения – 15 минут;</w:t>
      </w:r>
      <w:r>
        <w:br/>
      </w:r>
      <w:r>
        <w:rPr>
          <w:rFonts w:ascii="Times New Roman"/>
          <w:b w:val="false"/>
          <w:i w:val="false"/>
          <w:color w:val="000000"/>
          <w:sz w:val="28"/>
        </w:rPr>
        <w:t>
      2) рассмотрение руководителем услугодателя заявления и документов услугополучателя и определение ответственного отдела, передача руководителю ответственного отдела на рассмотрение, время выполнения – в течение 15 минут с момента поступления;</w:t>
      </w:r>
      <w:r>
        <w:br/>
      </w:r>
      <w:r>
        <w:rPr>
          <w:rFonts w:ascii="Times New Roman"/>
          <w:b w:val="false"/>
          <w:i w:val="false"/>
          <w:color w:val="000000"/>
          <w:sz w:val="28"/>
        </w:rPr>
        <w:t>
      3) рассмотрение заявления и документов услугополучателя руководителем ответственного отдела, определение специалиста и передача заявления и документов ему на исполнение, время выполнения – в течение 15 минут с момента поступления;</w:t>
      </w:r>
      <w:r>
        <w:br/>
      </w:r>
      <w:r>
        <w:rPr>
          <w:rFonts w:ascii="Times New Roman"/>
          <w:b w:val="false"/>
          <w:i w:val="false"/>
          <w:color w:val="000000"/>
          <w:sz w:val="28"/>
        </w:rPr>
        <w:t>
      4) проверка документов услугополучателя специалистом отдела, оформление справки об учете иностранных периодических печатных изданий, распространяемых на территории области, либо мотивированного ответа об отказе в оказании государственной услуги, время выполнения – в течение 8 рабочих дней с момента сдачи услугополучателем необходимых документов;</w:t>
      </w:r>
      <w:r>
        <w:br/>
      </w:r>
      <w:r>
        <w:rPr>
          <w:rFonts w:ascii="Times New Roman"/>
          <w:b w:val="false"/>
          <w:i w:val="false"/>
          <w:color w:val="000000"/>
          <w:sz w:val="28"/>
        </w:rPr>
        <w:t>
      5) проверка руководителем услугодателя и подписание справки об учете иностранных периодических печатных изданий, распространяемых на территории области, либо мотивированного ответа об отказе в оказании государственной услуги, время выполнения – в течение 30 минут;</w:t>
      </w:r>
      <w:r>
        <w:br/>
      </w:r>
      <w:r>
        <w:rPr>
          <w:rFonts w:ascii="Times New Roman"/>
          <w:b w:val="false"/>
          <w:i w:val="false"/>
          <w:color w:val="000000"/>
          <w:sz w:val="28"/>
        </w:rPr>
        <w:t>
      6) выдача работником канцелярии подписанной справки об учете иностранных периодических печатных изданий, распространяемых на территории области, либо мотивированного ответа об отказе в оказании государственной услуги услугополучателю.</w:t>
      </w:r>
      <w:r>
        <w:br/>
      </w:r>
      <w:r>
        <w:rPr>
          <w:rFonts w:ascii="Times New Roman"/>
          <w:b w:val="false"/>
          <w:i w:val="false"/>
          <w:color w:val="000000"/>
          <w:sz w:val="28"/>
        </w:rPr>
        <w:t>
      Срок оказания государственной услуги с момента сдачи пакета документов услугодателю, в ЦОН, а также при обращении на портал – 10 (десять) рабочих дней. При обращении в ЦОН день приема документов не входит в срок оказания государственной услуги.</w:t>
      </w:r>
      <w:r>
        <w:br/>
      </w:r>
      <w:r>
        <w:rPr>
          <w:rFonts w:ascii="Times New Roman"/>
          <w:b w:val="false"/>
          <w:i w:val="false"/>
          <w:color w:val="000000"/>
          <w:sz w:val="28"/>
        </w:rPr>
        <w:t>
      6. Результатом процедуры (действия) по оказанию государственной услуги по действию 1, указанному в </w:t>
      </w:r>
      <w:r>
        <w:rPr>
          <w:rFonts w:ascii="Times New Roman"/>
          <w:b w:val="false"/>
          <w:i w:val="false"/>
          <w:color w:val="000000"/>
          <w:sz w:val="28"/>
        </w:rPr>
        <w:t>пункте 5</w:t>
      </w:r>
      <w:r>
        <w:rPr>
          <w:rFonts w:ascii="Times New Roman"/>
          <w:b w:val="false"/>
          <w:i w:val="false"/>
          <w:color w:val="000000"/>
          <w:sz w:val="28"/>
        </w:rPr>
        <w:t xml:space="preserve"> настоящего Регламента, являются зарегистрированные документы, которые служат основанием для начала выполнения действия 2, указанного в пункте 5 настоящего Регламента.</w:t>
      </w:r>
      <w:r>
        <w:br/>
      </w:r>
      <w:r>
        <w:rPr>
          <w:rFonts w:ascii="Times New Roman"/>
          <w:b w:val="false"/>
          <w:i w:val="false"/>
          <w:color w:val="000000"/>
          <w:sz w:val="28"/>
        </w:rPr>
        <w:t>
      Результатом процедуры (действия) по оказанию государственной услуги по действию 2, указанному в пункте 5 настоящего Регламента, является резолюция руководителя услугодателя, которая служит основанием для начала выполнения действия 3, указанного в пункте 5 настоящего Регламента.</w:t>
      </w:r>
      <w:r>
        <w:br/>
      </w:r>
      <w:r>
        <w:rPr>
          <w:rFonts w:ascii="Times New Roman"/>
          <w:b w:val="false"/>
          <w:i w:val="false"/>
          <w:color w:val="000000"/>
          <w:sz w:val="28"/>
        </w:rPr>
        <w:t>
      Результатом процедуры (действия) по оказанию государственной услуги по действию 3, указанному в пункте 5 настоящего Регламента, является резолюция руководителя ответственного отдела, которая служит основанием для начала выполнения действия 4, указанного в пункте 5 настоящего Регламента.</w:t>
      </w:r>
      <w:r>
        <w:br/>
      </w:r>
      <w:r>
        <w:rPr>
          <w:rFonts w:ascii="Times New Roman"/>
          <w:b w:val="false"/>
          <w:i w:val="false"/>
          <w:color w:val="000000"/>
          <w:sz w:val="28"/>
        </w:rPr>
        <w:t>
      Результатом процедуры (действия) по оказанию государственной услуги по действию 4, указанному в пункте 5 настоящего Регламента, является оформление справки об учете иностранных периодических печатных изданий, распространяемых на территории области, либо мотивированный ответ об отказе в оказании государственной услуги, который служит основанием для начала выполнения действия 5, указанного в пункте 5 настоящего Регламента.</w:t>
      </w:r>
      <w:r>
        <w:br/>
      </w:r>
      <w:r>
        <w:rPr>
          <w:rFonts w:ascii="Times New Roman"/>
          <w:b w:val="false"/>
          <w:i w:val="false"/>
          <w:color w:val="000000"/>
          <w:sz w:val="28"/>
        </w:rPr>
        <w:t>
      Результатом процедуры (действия) по оказанию государственной услуги по действию 5, указанному в пункте 5 настоящего Регламента, является подписанная справка об учете иностранных периодических печатных изданий, распространяемых на территории области, либо мотивированный ответ об отказе в оказании государственной услуги, который служит основанием для начала выполнения действия 6, указанного в пункте 5 настоящего Регламента.</w:t>
      </w:r>
      <w:r>
        <w:br/>
      </w:r>
      <w:r>
        <w:rPr>
          <w:rFonts w:ascii="Times New Roman"/>
          <w:b w:val="false"/>
          <w:i w:val="false"/>
          <w:color w:val="000000"/>
          <w:sz w:val="28"/>
        </w:rPr>
        <w:t xml:space="preserve">
      Результатом процедуры (действия) по оказанию государственной услуги по действию 6, указанному в пункте 5 настоящего Регламента, является выдача справки об учете иностранных периодических печатных изданий, распространяемых на территории области, либо мотивированного ответа об отказе в оказании государственной услуги услугополучателю. </w:t>
      </w:r>
      <w:r>
        <w:br/>
      </w:r>
      <w:r>
        <w:rPr>
          <w:rFonts w:ascii="Times New Roman"/>
          <w:b w:val="false"/>
          <w:i w:val="false"/>
          <w:color w:val="000000"/>
          <w:sz w:val="28"/>
        </w:rPr>
        <w:t>
 </w:t>
      </w:r>
    </w:p>
    <w:bookmarkEnd w:id="1"/>
    <w:p>
      <w:pPr>
        <w:spacing w:after="0"/>
        <w:ind w:left="0"/>
        <w:jc w:val="left"/>
      </w:pPr>
      <w:r>
        <w:rPr>
          <w:rFonts w:ascii="Times New Roman"/>
          <w:b/>
          <w:i w:val="false"/>
          <w:color w:val="000000"/>
        </w:rPr>
        <w:t xml:space="preserve"> Описание порядка взаимодействия структурных подразделений</w:t>
      </w:r>
      <w:r>
        <w:br/>
      </w:r>
      <w:r>
        <w:rPr>
          <w:rFonts w:ascii="Times New Roman"/>
          <w:b/>
          <w:i w:val="false"/>
          <w:color w:val="000000"/>
        </w:rPr>
        <w:t>
(работников) услугодателя в процессе оказания государственной</w:t>
      </w:r>
      <w:r>
        <w:br/>
      </w:r>
      <w:r>
        <w:rPr>
          <w:rFonts w:ascii="Times New Roman"/>
          <w:b/>
          <w:i w:val="false"/>
          <w:color w:val="000000"/>
        </w:rPr>
        <w:t>
услуги</w:t>
      </w:r>
    </w:p>
    <w:p>
      <w:pPr>
        <w:spacing w:after="0"/>
        <w:ind w:left="0"/>
        <w:jc w:val="both"/>
      </w:pPr>
      <w:r>
        <w:rPr>
          <w:rFonts w:ascii="Times New Roman"/>
          <w:b w:val="false"/>
          <w:i w:val="false"/>
          <w:color w:val="000000"/>
          <w:sz w:val="28"/>
        </w:rPr>
        <w:t>      7. Перечень структурных подразделений (работников) услугодателя, которые участвуют в процессе оказания государственной услуги:</w:t>
      </w:r>
      <w:r>
        <w:br/>
      </w:r>
      <w:r>
        <w:rPr>
          <w:rFonts w:ascii="Times New Roman"/>
          <w:b w:val="false"/>
          <w:i w:val="false"/>
          <w:color w:val="000000"/>
          <w:sz w:val="28"/>
        </w:rPr>
        <w:t>
      1) работник канцелярии;</w:t>
      </w:r>
      <w:r>
        <w:br/>
      </w:r>
      <w:r>
        <w:rPr>
          <w:rFonts w:ascii="Times New Roman"/>
          <w:b w:val="false"/>
          <w:i w:val="false"/>
          <w:color w:val="000000"/>
          <w:sz w:val="28"/>
        </w:rPr>
        <w:t>
      2) руководитель;</w:t>
      </w:r>
      <w:r>
        <w:br/>
      </w:r>
      <w:r>
        <w:rPr>
          <w:rFonts w:ascii="Times New Roman"/>
          <w:b w:val="false"/>
          <w:i w:val="false"/>
          <w:color w:val="000000"/>
          <w:sz w:val="28"/>
        </w:rPr>
        <w:t>
      3) руководитель ответственного отдела;</w:t>
      </w:r>
      <w:r>
        <w:br/>
      </w:r>
      <w:r>
        <w:rPr>
          <w:rFonts w:ascii="Times New Roman"/>
          <w:b w:val="false"/>
          <w:i w:val="false"/>
          <w:color w:val="000000"/>
          <w:sz w:val="28"/>
        </w:rPr>
        <w:t>
      4) специалист отдела.</w:t>
      </w:r>
      <w:r>
        <w:br/>
      </w:r>
      <w:r>
        <w:rPr>
          <w:rFonts w:ascii="Times New Roman"/>
          <w:b w:val="false"/>
          <w:i w:val="false"/>
          <w:color w:val="000000"/>
          <w:sz w:val="28"/>
        </w:rPr>
        <w:t>
      8 Описание процедур (действий), необходимых для оказания государственной услуги:</w:t>
      </w:r>
      <w:r>
        <w:br/>
      </w:r>
      <w:r>
        <w:rPr>
          <w:rFonts w:ascii="Times New Roman"/>
          <w:b w:val="false"/>
          <w:i w:val="false"/>
          <w:color w:val="000000"/>
          <w:sz w:val="28"/>
        </w:rPr>
        <w:t>
      1) прием и регистрация работником канцелярии заявления и документов услугополучателя, предусмотренных </w:t>
      </w:r>
      <w:r>
        <w:rPr>
          <w:rFonts w:ascii="Times New Roman"/>
          <w:b w:val="false"/>
          <w:i w:val="false"/>
          <w:color w:val="000000"/>
          <w:sz w:val="28"/>
        </w:rPr>
        <w:t>пунктом 9</w:t>
      </w:r>
      <w:r>
        <w:rPr>
          <w:rFonts w:ascii="Times New Roman"/>
          <w:b w:val="false"/>
          <w:i w:val="false"/>
          <w:color w:val="000000"/>
          <w:sz w:val="28"/>
        </w:rPr>
        <w:t xml:space="preserve"> Стандарта, в журнале регистрации заявлений, время выполнения – 15 минут;</w:t>
      </w:r>
      <w:r>
        <w:br/>
      </w:r>
      <w:r>
        <w:rPr>
          <w:rFonts w:ascii="Times New Roman"/>
          <w:b w:val="false"/>
          <w:i w:val="false"/>
          <w:color w:val="000000"/>
          <w:sz w:val="28"/>
        </w:rPr>
        <w:t>
      2) рассмотрение руководителем услугодателя заявления и документов услугополучателя и определение ответственного отдела, передача руководителю ответственного отдела на рассмотрение, время выполнения – в течение 15 минут с момента поступления;</w:t>
      </w:r>
      <w:r>
        <w:br/>
      </w:r>
      <w:r>
        <w:rPr>
          <w:rFonts w:ascii="Times New Roman"/>
          <w:b w:val="false"/>
          <w:i w:val="false"/>
          <w:color w:val="000000"/>
          <w:sz w:val="28"/>
        </w:rPr>
        <w:t>
      3) рассмотрение заявления и документов услугополучателя руководителем ответственного отдела, определение специалиста и передача заявления и документов ему на исполнение, время выполнения – в течение 15 минут с момента поступления;</w:t>
      </w:r>
      <w:r>
        <w:br/>
      </w:r>
      <w:r>
        <w:rPr>
          <w:rFonts w:ascii="Times New Roman"/>
          <w:b w:val="false"/>
          <w:i w:val="false"/>
          <w:color w:val="000000"/>
          <w:sz w:val="28"/>
        </w:rPr>
        <w:t>
      4) проверка документов услугополучателя специалистом отдела, оформление справки об учете иностранных периодических печатных изданий, распространяемых на территории области, либо мотивированного ответа об отказе в оказании государственной услуги, время выполнения – в течение 8 рабочих дней с момента сдачи услугополучателем необходимых документов;</w:t>
      </w:r>
      <w:r>
        <w:br/>
      </w:r>
      <w:r>
        <w:rPr>
          <w:rFonts w:ascii="Times New Roman"/>
          <w:b w:val="false"/>
          <w:i w:val="false"/>
          <w:color w:val="000000"/>
          <w:sz w:val="28"/>
        </w:rPr>
        <w:t>
      5) проверка руководителем услугодателя и подписание справки об учете иностранных периодических печатных изданий, распространяемых на территории области, либо мотивированного ответа об отказе в оказании государственной услуги, время выполнения – в течение 30 минут;</w:t>
      </w:r>
      <w:r>
        <w:br/>
      </w:r>
      <w:r>
        <w:rPr>
          <w:rFonts w:ascii="Times New Roman"/>
          <w:b w:val="false"/>
          <w:i w:val="false"/>
          <w:color w:val="000000"/>
          <w:sz w:val="28"/>
        </w:rPr>
        <w:t>
      6) выдача работником канцелярии подписанной справки об учете иностранных периодических печатных изданий, распространяемых на территории области, либо мотивированного ответа об отказе в оказании государственной услуги услугополучателю.</w:t>
      </w:r>
      <w:r>
        <w:br/>
      </w:r>
      <w:r>
        <w:rPr>
          <w:rFonts w:ascii="Times New Roman"/>
          <w:b w:val="false"/>
          <w:i w:val="false"/>
          <w:color w:val="000000"/>
          <w:sz w:val="28"/>
        </w:rPr>
        <w:t>
      Описание последовательности процедур (действий) указано в блок-схеме прохождения каждого действия (процедуры) согласно приложению 1 к настоящему Регламенту.</w:t>
      </w:r>
      <w:r>
        <w:br/>
      </w:r>
      <w:r>
        <w:rPr>
          <w:rFonts w:ascii="Times New Roman"/>
          <w:b w:val="false"/>
          <w:i w:val="false"/>
          <w:color w:val="000000"/>
          <w:sz w:val="28"/>
        </w:rPr>
        <w:t>
 </w:t>
      </w:r>
    </w:p>
    <w:p>
      <w:pPr>
        <w:spacing w:after="0"/>
        <w:ind w:left="0"/>
        <w:jc w:val="left"/>
      </w:pPr>
      <w:r>
        <w:rPr>
          <w:rFonts w:ascii="Times New Roman"/>
          <w:b/>
          <w:i w:val="false"/>
          <w:color w:val="000000"/>
        </w:rPr>
        <w:t xml:space="preserve"> 4. Описание порядка взаимодействия с центром обслуживания</w:t>
      </w:r>
      <w:r>
        <w:br/>
      </w:r>
      <w:r>
        <w:rPr>
          <w:rFonts w:ascii="Times New Roman"/>
          <w:b/>
          <w:i w:val="false"/>
          <w:color w:val="000000"/>
        </w:rPr>
        <w:t>
населения, а также порядка использования информационных систем</w:t>
      </w:r>
      <w:r>
        <w:br/>
      </w:r>
      <w:r>
        <w:rPr>
          <w:rFonts w:ascii="Times New Roman"/>
          <w:b/>
          <w:i w:val="false"/>
          <w:color w:val="000000"/>
        </w:rPr>
        <w:t>
в процессе оказания государственной услуги</w:t>
      </w:r>
    </w:p>
    <w:p>
      <w:pPr>
        <w:spacing w:after="0"/>
        <w:ind w:left="0"/>
        <w:jc w:val="both"/>
      </w:pPr>
      <w:r>
        <w:rPr>
          <w:rFonts w:ascii="Times New Roman"/>
          <w:b w:val="false"/>
          <w:i w:val="false"/>
          <w:color w:val="000000"/>
          <w:sz w:val="28"/>
        </w:rPr>
        <w:t>      9. Услугополучатели для получения государственной услуги обращаются в ЦОН с предоставлением необходимых документов и информации согласно требованиям </w:t>
      </w:r>
      <w:r>
        <w:rPr>
          <w:rFonts w:ascii="Times New Roman"/>
          <w:b w:val="false"/>
          <w:i w:val="false"/>
          <w:color w:val="000000"/>
          <w:sz w:val="28"/>
        </w:rPr>
        <w:t>пункта 9</w:t>
      </w:r>
      <w:r>
        <w:rPr>
          <w:rFonts w:ascii="Times New Roman"/>
          <w:b w:val="false"/>
          <w:i w:val="false"/>
          <w:color w:val="000000"/>
          <w:sz w:val="28"/>
        </w:rPr>
        <w:t xml:space="preserve"> Стандарта.</w:t>
      </w:r>
      <w:r>
        <w:br/>
      </w:r>
      <w:r>
        <w:rPr>
          <w:rFonts w:ascii="Times New Roman"/>
          <w:b w:val="false"/>
          <w:i w:val="false"/>
          <w:color w:val="000000"/>
          <w:sz w:val="28"/>
        </w:rPr>
        <w:t>
      Описание порядка обращения в ЦОН, длительность обработки запроса услугополучателя, порядок получения результата оказания государственной услуги:</w:t>
      </w:r>
      <w:r>
        <w:br/>
      </w:r>
      <w:r>
        <w:rPr>
          <w:rFonts w:ascii="Times New Roman"/>
          <w:b w:val="false"/>
          <w:i w:val="false"/>
          <w:color w:val="000000"/>
          <w:sz w:val="28"/>
        </w:rPr>
        <w:t>
      процесс 1 – процесс авторизации оператора ЦОНа на ИС ЦОНа для оказания государственной услуги;</w:t>
      </w:r>
      <w:r>
        <w:br/>
      </w:r>
      <w:r>
        <w:rPr>
          <w:rFonts w:ascii="Times New Roman"/>
          <w:b w:val="false"/>
          <w:i w:val="false"/>
          <w:color w:val="000000"/>
          <w:sz w:val="28"/>
        </w:rPr>
        <w:t>
      условие 1 – проверка на ИС ЦОНа подлинности данных о зарегистрированном операторе через логин и пароль, либо ЭЦП;</w:t>
      </w:r>
      <w:r>
        <w:br/>
      </w:r>
      <w:r>
        <w:rPr>
          <w:rFonts w:ascii="Times New Roman"/>
          <w:b w:val="false"/>
          <w:i w:val="false"/>
          <w:color w:val="000000"/>
          <w:sz w:val="28"/>
        </w:rPr>
        <w:t>
      процесс 2 – формирование сообщения об отказе в авторизации на ИС ЦОН в связи с имеющимися нарушениями в данных оператора ЦОНа;</w:t>
      </w:r>
      <w:r>
        <w:br/>
      </w:r>
      <w:r>
        <w:rPr>
          <w:rFonts w:ascii="Times New Roman"/>
          <w:b w:val="false"/>
          <w:i w:val="false"/>
          <w:color w:val="000000"/>
          <w:sz w:val="28"/>
        </w:rPr>
        <w:t>
      процесс 3 – выбор оператором ЦОНа государственной услуги, вывод на экран формы запроса для оказания услуги и заполнение формы (ввод данных) с учетом ее структуры и форматных требований;</w:t>
      </w:r>
      <w:r>
        <w:br/>
      </w:r>
      <w:r>
        <w:rPr>
          <w:rFonts w:ascii="Times New Roman"/>
          <w:b w:val="false"/>
          <w:i w:val="false"/>
          <w:color w:val="000000"/>
          <w:sz w:val="28"/>
        </w:rPr>
        <w:t>
      процесс 4 – подписание посредством ЭЦП оператора ЦОНа заполненной формы запроса на оказание государственной услуги и получение информации о дальнейших действиях оператора;</w:t>
      </w:r>
      <w:r>
        <w:br/>
      </w:r>
      <w:r>
        <w:rPr>
          <w:rFonts w:ascii="Times New Roman"/>
          <w:b w:val="false"/>
          <w:i w:val="false"/>
          <w:color w:val="000000"/>
          <w:sz w:val="28"/>
        </w:rPr>
        <w:t>
      условие 2 – проверка соответствия идентификационных данных (между ИИН, указанными в запросе и ИИН, в регистрационном свидетельстве ЭЦП), срока действия регистрационного свидетельства ЭЦП и отсутствия в списке отозванных (аннулированных) регистрационных свидетельств в ИС ЦОНа;</w:t>
      </w:r>
      <w:r>
        <w:br/>
      </w:r>
      <w:r>
        <w:rPr>
          <w:rFonts w:ascii="Times New Roman"/>
          <w:b w:val="false"/>
          <w:i w:val="false"/>
          <w:color w:val="000000"/>
          <w:sz w:val="28"/>
        </w:rPr>
        <w:t>
      процесс 5 – формирование сообщения об отказе в запрашиваемой государственной услуге в связи с неподтверждением подлинности ЭЦП оператора;</w:t>
      </w:r>
      <w:r>
        <w:br/>
      </w:r>
      <w:r>
        <w:rPr>
          <w:rFonts w:ascii="Times New Roman"/>
          <w:b w:val="false"/>
          <w:i w:val="false"/>
          <w:color w:val="000000"/>
          <w:sz w:val="28"/>
        </w:rPr>
        <w:t>
      процесс 6 – направление подписанного ЭЦП услугополучателя электронного документа (запроса услугополучателя) через ШЭП/РШЭП в ИС МИО и обработка электронной государственной услуги специалистом отдела;</w:t>
      </w:r>
      <w:r>
        <w:br/>
      </w:r>
      <w:r>
        <w:rPr>
          <w:rFonts w:ascii="Times New Roman"/>
          <w:b w:val="false"/>
          <w:i w:val="false"/>
          <w:color w:val="000000"/>
          <w:sz w:val="28"/>
        </w:rPr>
        <w:t>
      процесс 7 – формирование специалистом отдела результата оказания государственной услуги (справки об учете иностранных периодических печатных изданий, распространяемых на территории области, либо мотивированного письменного ответа об отказе в оказании государственной услуги). Электронный документ формируется с использованием ЭЦП специалистом отдела и передается в информационную систему ЦОНа;</w:t>
      </w:r>
      <w:r>
        <w:br/>
      </w:r>
      <w:r>
        <w:rPr>
          <w:rFonts w:ascii="Times New Roman"/>
          <w:b w:val="false"/>
          <w:i w:val="false"/>
          <w:color w:val="000000"/>
          <w:sz w:val="28"/>
        </w:rPr>
        <w:t>
      процесс 8 – выдача работником ЦОНа нарочно или посредством отправки на электронную почту услугополучателя результата государственной услуги (справки об учете иностранных периодических печатных изданий, распространяемых на территории области, либо мотивированного письменного ответа об отказе в оказании государственной услуги).</w:t>
      </w:r>
      <w:r>
        <w:br/>
      </w:r>
      <w:r>
        <w:rPr>
          <w:rFonts w:ascii="Times New Roman"/>
          <w:b w:val="false"/>
          <w:i w:val="false"/>
          <w:color w:val="000000"/>
          <w:sz w:val="28"/>
        </w:rPr>
        <w:t xml:space="preserve">
      При сдаче услугополучателем всех необходимых документов через ЦОН – подтверждением принятия заявления является расписка о приеме соответствующих документов с указанием: </w:t>
      </w:r>
      <w:r>
        <w:br/>
      </w:r>
      <w:r>
        <w:rPr>
          <w:rFonts w:ascii="Times New Roman"/>
          <w:b w:val="false"/>
          <w:i w:val="false"/>
          <w:color w:val="000000"/>
          <w:sz w:val="28"/>
        </w:rPr>
        <w:t>
      1) номера и даты приема запроса;</w:t>
      </w:r>
      <w:r>
        <w:br/>
      </w:r>
      <w:r>
        <w:rPr>
          <w:rFonts w:ascii="Times New Roman"/>
          <w:b w:val="false"/>
          <w:i w:val="false"/>
          <w:color w:val="000000"/>
          <w:sz w:val="28"/>
        </w:rPr>
        <w:t>
      2) вида запрашиваемой государственной услуги;</w:t>
      </w:r>
      <w:r>
        <w:br/>
      </w:r>
      <w:r>
        <w:rPr>
          <w:rFonts w:ascii="Times New Roman"/>
          <w:b w:val="false"/>
          <w:i w:val="false"/>
          <w:color w:val="000000"/>
          <w:sz w:val="28"/>
        </w:rPr>
        <w:t>
      3) количества и названий приложенных документов;</w:t>
      </w:r>
      <w:r>
        <w:br/>
      </w:r>
      <w:r>
        <w:rPr>
          <w:rFonts w:ascii="Times New Roman"/>
          <w:b w:val="false"/>
          <w:i w:val="false"/>
          <w:color w:val="000000"/>
          <w:sz w:val="28"/>
        </w:rPr>
        <w:t>
      4) даты (времени) и места выдачи документов;</w:t>
      </w:r>
      <w:r>
        <w:br/>
      </w:r>
      <w:r>
        <w:rPr>
          <w:rFonts w:ascii="Times New Roman"/>
          <w:b w:val="false"/>
          <w:i w:val="false"/>
          <w:color w:val="000000"/>
          <w:sz w:val="28"/>
        </w:rPr>
        <w:t>
      5) фамилии, имени, отчества работника ЦОНа, принявшего заявление на оформление документов;</w:t>
      </w:r>
      <w:r>
        <w:br/>
      </w:r>
      <w:r>
        <w:rPr>
          <w:rFonts w:ascii="Times New Roman"/>
          <w:b w:val="false"/>
          <w:i w:val="false"/>
          <w:color w:val="000000"/>
          <w:sz w:val="28"/>
        </w:rPr>
        <w:t>
      6) фамилии, имени, отчества услугополучателя, фамилии, имени, отчества представителя услугополучателя и их контактные телефоны.</w:t>
      </w:r>
      <w:r>
        <w:br/>
      </w:r>
      <w:r>
        <w:rPr>
          <w:rFonts w:ascii="Times New Roman"/>
          <w:b w:val="false"/>
          <w:i w:val="false"/>
          <w:color w:val="000000"/>
          <w:sz w:val="28"/>
        </w:rPr>
        <w:t>
      Диаграмма функционального взаимодействия информационных систем, задействованных в оказании государственной услуги, приведена в приложении 2 (</w:t>
      </w:r>
      <w:r>
        <w:rPr>
          <w:rFonts w:ascii="Times New Roman"/>
          <w:b w:val="false"/>
          <w:i w:val="false"/>
          <w:color w:val="000000"/>
          <w:sz w:val="28"/>
        </w:rPr>
        <w:t>диаграмма № 1</w:t>
      </w:r>
      <w:r>
        <w:rPr>
          <w:rFonts w:ascii="Times New Roman"/>
          <w:b w:val="false"/>
          <w:i w:val="false"/>
          <w:color w:val="000000"/>
          <w:sz w:val="28"/>
        </w:rPr>
        <w:t>) к настоящему Регламенту.</w:t>
      </w:r>
      <w:r>
        <w:br/>
      </w:r>
      <w:r>
        <w:rPr>
          <w:rFonts w:ascii="Times New Roman"/>
          <w:b w:val="false"/>
          <w:i w:val="false"/>
          <w:color w:val="000000"/>
          <w:sz w:val="28"/>
        </w:rPr>
        <w:t>
      10. Описание порядка обращения и последовательности процедур услугополучателя для получения государственной услуги через ПЭП:</w:t>
      </w:r>
      <w:r>
        <w:br/>
      </w:r>
      <w:r>
        <w:rPr>
          <w:rFonts w:ascii="Times New Roman"/>
          <w:b w:val="false"/>
          <w:i w:val="false"/>
          <w:color w:val="000000"/>
          <w:sz w:val="28"/>
        </w:rPr>
        <w:t>
      процесс 1 – процесс ввода услугополучателем ИИН/БИН и пароля (процесс авторизации) на ПЭП для получения государственной услуги;</w:t>
      </w:r>
      <w:r>
        <w:br/>
      </w:r>
      <w:r>
        <w:rPr>
          <w:rFonts w:ascii="Times New Roman"/>
          <w:b w:val="false"/>
          <w:i w:val="false"/>
          <w:color w:val="000000"/>
          <w:sz w:val="28"/>
        </w:rPr>
        <w:t>
      условие 1 – проверка на ПЭП подлинности данных о зарегистрированном услугополучателе через ИИН/БИН и пароль;</w:t>
      </w:r>
      <w:r>
        <w:br/>
      </w:r>
      <w:r>
        <w:rPr>
          <w:rFonts w:ascii="Times New Roman"/>
          <w:b w:val="false"/>
          <w:i w:val="false"/>
          <w:color w:val="000000"/>
          <w:sz w:val="28"/>
        </w:rPr>
        <w:t>
      процесс 2 – формирование ПЭП сообщения об отказе в авторизации в связи с имеющимися нарушениями в данных услугополучателя;</w:t>
      </w:r>
      <w:r>
        <w:br/>
      </w:r>
      <w:r>
        <w:rPr>
          <w:rFonts w:ascii="Times New Roman"/>
          <w:b w:val="false"/>
          <w:i w:val="false"/>
          <w:color w:val="000000"/>
          <w:sz w:val="28"/>
        </w:rPr>
        <w:t>
      процесс 3 – выбор услугополучателем государственной услуги, вывод на экран формы запроса для оказания услуги и заполнение услугополучателем формы (ввод данных) с учетом ее структуры и форматных требований;</w:t>
      </w:r>
      <w:r>
        <w:br/>
      </w:r>
      <w:r>
        <w:rPr>
          <w:rFonts w:ascii="Times New Roman"/>
          <w:b w:val="false"/>
          <w:i w:val="false"/>
          <w:color w:val="000000"/>
          <w:sz w:val="28"/>
        </w:rPr>
        <w:t>
      процесс 4 – подписание посредством ЭЦП услугополучателя заполненной формы запроса на оказание государственной услуги;</w:t>
      </w:r>
      <w:r>
        <w:br/>
      </w:r>
      <w:r>
        <w:rPr>
          <w:rFonts w:ascii="Times New Roman"/>
          <w:b w:val="false"/>
          <w:i w:val="false"/>
          <w:color w:val="000000"/>
          <w:sz w:val="28"/>
        </w:rPr>
        <w:t>
      условие 2 – проверка соответствия идентификационных данных (между ИИН/БИН, указанными в запросе и ИИН/БИН, в регистрационном свидетельстве ЭЦП), срока действия регистрационного свидетельства ЭЦП и отсутствия в списке отозванных (аннулированных) регистрационных свидетельств на ПЭП;</w:t>
      </w:r>
      <w:r>
        <w:br/>
      </w:r>
      <w:r>
        <w:rPr>
          <w:rFonts w:ascii="Times New Roman"/>
          <w:b w:val="false"/>
          <w:i w:val="false"/>
          <w:color w:val="000000"/>
          <w:sz w:val="28"/>
        </w:rPr>
        <w:t>
      процесс 5 – формирование сообщения об отказе в оказании запрашиваемой государственной услуги в связи с неподтверждением подлинности ЭЦП услугополучателя;</w:t>
      </w:r>
      <w:r>
        <w:br/>
      </w:r>
      <w:r>
        <w:rPr>
          <w:rFonts w:ascii="Times New Roman"/>
          <w:b w:val="false"/>
          <w:i w:val="false"/>
          <w:color w:val="000000"/>
          <w:sz w:val="28"/>
        </w:rPr>
        <w:t>
      процесс 6 – направление подписанного ЭЦП услугополучателя электронного документа (запроса услугополучателя) через ШЭП/РШЭП в ИС МИО и обработка государственной услуги специалистом отдела;</w:t>
      </w:r>
      <w:r>
        <w:br/>
      </w:r>
      <w:r>
        <w:rPr>
          <w:rFonts w:ascii="Times New Roman"/>
          <w:b w:val="false"/>
          <w:i w:val="false"/>
          <w:color w:val="000000"/>
          <w:sz w:val="28"/>
        </w:rPr>
        <w:t>
      процесс 7 – формирование специалистом отдела результата оказания государственной услуги (справка об учете иностранных периодических печатных изданий, распространяемых на территории области, либо мотивированного письменного ответа об отказе в оказании государственной услуги). Электронный документ формируется с использованием ЭЦП специалистом отдела и передается в личный кабинет на ПЭП.</w:t>
      </w:r>
      <w:r>
        <w:br/>
      </w:r>
      <w:r>
        <w:rPr>
          <w:rFonts w:ascii="Times New Roman"/>
          <w:b w:val="false"/>
          <w:i w:val="false"/>
          <w:color w:val="000000"/>
          <w:sz w:val="28"/>
        </w:rPr>
        <w:t>
      Диаграмма функционального взаимодействия информационных систем, задействованных в оказании государственной услуги, приведена в приложении 2 (</w:t>
      </w:r>
      <w:r>
        <w:rPr>
          <w:rFonts w:ascii="Times New Roman"/>
          <w:b w:val="false"/>
          <w:i w:val="false"/>
          <w:color w:val="000000"/>
          <w:sz w:val="28"/>
        </w:rPr>
        <w:t>диаграмма № 2</w:t>
      </w:r>
      <w:r>
        <w:rPr>
          <w:rFonts w:ascii="Times New Roman"/>
          <w:b w:val="false"/>
          <w:i w:val="false"/>
          <w:color w:val="000000"/>
          <w:sz w:val="28"/>
        </w:rPr>
        <w:t>) к настоящему Регламенту.</w:t>
      </w:r>
      <w:r>
        <w:br/>
      </w:r>
      <w:r>
        <w:rPr>
          <w:rFonts w:ascii="Times New Roman"/>
          <w:b w:val="false"/>
          <w:i w:val="false"/>
          <w:color w:val="000000"/>
          <w:sz w:val="28"/>
        </w:rPr>
        <w:t>
      11. Описание порядка обработки и последовательности процедур услугодателя при оказании государственной услуги через услугодателя:</w:t>
      </w:r>
      <w:r>
        <w:br/>
      </w:r>
      <w:r>
        <w:rPr>
          <w:rFonts w:ascii="Times New Roman"/>
          <w:b w:val="false"/>
          <w:i w:val="false"/>
          <w:color w:val="000000"/>
          <w:sz w:val="28"/>
        </w:rPr>
        <w:t>
      процесс 1 – процесс ввода специалистом отдела ИИН и пароля (процесс авторизации) в ИС МИО для получения государственной услуги;</w:t>
      </w:r>
      <w:r>
        <w:br/>
      </w:r>
      <w:r>
        <w:rPr>
          <w:rFonts w:ascii="Times New Roman"/>
          <w:b w:val="false"/>
          <w:i w:val="false"/>
          <w:color w:val="000000"/>
          <w:sz w:val="28"/>
        </w:rPr>
        <w:t>
      условие 1 – проверка в ИС МИО подлинности данных о зарегистрированном специалисте отдела через ИИН и пароль;</w:t>
      </w:r>
      <w:r>
        <w:br/>
      </w:r>
      <w:r>
        <w:rPr>
          <w:rFonts w:ascii="Times New Roman"/>
          <w:b w:val="false"/>
          <w:i w:val="false"/>
          <w:color w:val="000000"/>
          <w:sz w:val="28"/>
        </w:rPr>
        <w:t>
      процесс 2 – формирование ИС МИО сообщения об отказе в авторизации в связи с имеющимися нарушениями в данных специалиста отдела;</w:t>
      </w:r>
      <w:r>
        <w:br/>
      </w:r>
      <w:r>
        <w:rPr>
          <w:rFonts w:ascii="Times New Roman"/>
          <w:b w:val="false"/>
          <w:i w:val="false"/>
          <w:color w:val="000000"/>
          <w:sz w:val="28"/>
        </w:rPr>
        <w:t>
      процесс 3 – выбор специалистом отдела государственной услуги, вывод на экран формы запроса для оказания услуги и заполнение формы (ввод данных) с учетом ее структуры и форматных требований;</w:t>
      </w:r>
      <w:r>
        <w:br/>
      </w:r>
      <w:r>
        <w:rPr>
          <w:rFonts w:ascii="Times New Roman"/>
          <w:b w:val="false"/>
          <w:i w:val="false"/>
          <w:color w:val="000000"/>
          <w:sz w:val="28"/>
        </w:rPr>
        <w:t>
      процесс 4 – подписание посредством ЭЦП специалиста отдела заполненной формы запроса на оказание государственной услуги;</w:t>
      </w:r>
      <w:r>
        <w:br/>
      </w:r>
      <w:r>
        <w:rPr>
          <w:rFonts w:ascii="Times New Roman"/>
          <w:b w:val="false"/>
          <w:i w:val="false"/>
          <w:color w:val="000000"/>
          <w:sz w:val="28"/>
        </w:rPr>
        <w:t>
      условие 2 – проверка соответствия идентификационных данных (между ИИН, указанным в запросе и ИИН, в регистрационном свидетельстве ЭЦП), срока действия регистрационного свидетельства ЭЦП и отсутствия в списке отозванных (аннулированных) регистрационных свидетельств в ИС МИО;</w:t>
      </w:r>
      <w:r>
        <w:br/>
      </w:r>
      <w:r>
        <w:rPr>
          <w:rFonts w:ascii="Times New Roman"/>
          <w:b w:val="false"/>
          <w:i w:val="false"/>
          <w:color w:val="000000"/>
          <w:sz w:val="28"/>
        </w:rPr>
        <w:t>
      процесс 5 – формирование сообщения об отказе в оказании запрашиваемой государственной услуге в связи с неподтверждением подлинности ЭЦП специалиста отдела;</w:t>
      </w:r>
      <w:r>
        <w:br/>
      </w:r>
      <w:r>
        <w:rPr>
          <w:rFonts w:ascii="Times New Roman"/>
          <w:b w:val="false"/>
          <w:i w:val="false"/>
          <w:color w:val="000000"/>
          <w:sz w:val="28"/>
        </w:rPr>
        <w:t>
      процесс 6 – обработка государственной услуги специалистом отдела;</w:t>
      </w:r>
      <w:r>
        <w:br/>
      </w:r>
      <w:r>
        <w:rPr>
          <w:rFonts w:ascii="Times New Roman"/>
          <w:b w:val="false"/>
          <w:i w:val="false"/>
          <w:color w:val="000000"/>
          <w:sz w:val="28"/>
        </w:rPr>
        <w:t>
      процесс 7 – формирование специалистом отдела результата оказания государственной услуги (справки об учете иностранных периодических печатных изданий, распространяемых на территории области, либо мотивированного ответа об отказе в оказании государственной услуги). Электронный документ формируется с использованием ЭЦП специалиста отдела;</w:t>
      </w:r>
      <w:r>
        <w:br/>
      </w:r>
      <w:r>
        <w:rPr>
          <w:rFonts w:ascii="Times New Roman"/>
          <w:b w:val="false"/>
          <w:i w:val="false"/>
          <w:color w:val="000000"/>
          <w:sz w:val="28"/>
        </w:rPr>
        <w:t>
      процесс 8 – выдача специалистом отдела нарочно или посредством отправки на электронную почту услугополучателя результата государственной услуги (справки об учете иностранных периодических печатных изданий, распространяемых в области, либо мотивированного письменного ответа об отказе в оказании государственной услуги).</w:t>
      </w:r>
      <w:r>
        <w:br/>
      </w:r>
      <w:r>
        <w:rPr>
          <w:rFonts w:ascii="Times New Roman"/>
          <w:b w:val="false"/>
          <w:i w:val="false"/>
          <w:color w:val="000000"/>
          <w:sz w:val="28"/>
        </w:rPr>
        <w:t>
      Диаграмма функционального взаимодействия информационных систем, задействованных в оказании государственной услуги, приведена в приложении 2 (</w:t>
      </w:r>
      <w:r>
        <w:rPr>
          <w:rFonts w:ascii="Times New Roman"/>
          <w:b w:val="false"/>
          <w:i w:val="false"/>
          <w:color w:val="000000"/>
          <w:sz w:val="28"/>
        </w:rPr>
        <w:t>диаграмма № 3</w:t>
      </w:r>
      <w:r>
        <w:rPr>
          <w:rFonts w:ascii="Times New Roman"/>
          <w:b w:val="false"/>
          <w:i w:val="false"/>
          <w:color w:val="000000"/>
          <w:sz w:val="28"/>
        </w:rPr>
        <w:t>) к настоящему Регламенту.</w:t>
      </w:r>
      <w:r>
        <w:br/>
      </w:r>
      <w:r>
        <w:rPr>
          <w:rFonts w:ascii="Times New Roman"/>
          <w:b w:val="false"/>
          <w:i w:val="false"/>
          <w:color w:val="000000"/>
          <w:sz w:val="28"/>
        </w:rPr>
        <w:t>
      Примечание.</w:t>
      </w:r>
      <w:r>
        <w:br/>
      </w:r>
      <w:r>
        <w:rPr>
          <w:rFonts w:ascii="Times New Roman"/>
          <w:b w:val="false"/>
          <w:i w:val="false"/>
          <w:color w:val="000000"/>
          <w:sz w:val="28"/>
        </w:rPr>
        <w:t>
      Расшифровка аббревиатур:</w:t>
      </w:r>
      <w:r>
        <w:br/>
      </w:r>
      <w:r>
        <w:rPr>
          <w:rFonts w:ascii="Times New Roman"/>
          <w:b w:val="false"/>
          <w:i w:val="false"/>
          <w:color w:val="000000"/>
          <w:sz w:val="28"/>
        </w:rPr>
        <w:t>
      ЭЦП – электронная цифровая подпись;</w:t>
      </w:r>
      <w:r>
        <w:br/>
      </w:r>
      <w:r>
        <w:rPr>
          <w:rFonts w:ascii="Times New Roman"/>
          <w:b w:val="false"/>
          <w:i w:val="false"/>
          <w:color w:val="000000"/>
          <w:sz w:val="28"/>
        </w:rPr>
        <w:t>
      ПЭП – портал электронного правительства;</w:t>
      </w:r>
      <w:r>
        <w:br/>
      </w:r>
      <w:r>
        <w:rPr>
          <w:rFonts w:ascii="Times New Roman"/>
          <w:b w:val="false"/>
          <w:i w:val="false"/>
          <w:color w:val="000000"/>
          <w:sz w:val="28"/>
        </w:rPr>
        <w:t>
      БИН – бизнес - идентификационный номер;</w:t>
      </w:r>
      <w:r>
        <w:br/>
      </w:r>
      <w:r>
        <w:rPr>
          <w:rFonts w:ascii="Times New Roman"/>
          <w:b w:val="false"/>
          <w:i w:val="false"/>
          <w:color w:val="000000"/>
          <w:sz w:val="28"/>
        </w:rPr>
        <w:t>
      ИИН – индивидуальный идентификационный номер;</w:t>
      </w:r>
      <w:r>
        <w:br/>
      </w:r>
      <w:r>
        <w:rPr>
          <w:rFonts w:ascii="Times New Roman"/>
          <w:b w:val="false"/>
          <w:i w:val="false"/>
          <w:color w:val="000000"/>
          <w:sz w:val="28"/>
        </w:rPr>
        <w:t>
      ИС МИО – информационная система местного исполнительного органа;</w:t>
      </w:r>
      <w:r>
        <w:br/>
      </w:r>
      <w:r>
        <w:rPr>
          <w:rFonts w:ascii="Times New Roman"/>
          <w:b w:val="false"/>
          <w:i w:val="false"/>
          <w:color w:val="000000"/>
          <w:sz w:val="28"/>
        </w:rPr>
        <w:t>
      ИС НУЦ – информационная система национального удостоверяющего центра;</w:t>
      </w:r>
      <w:r>
        <w:br/>
      </w:r>
      <w:r>
        <w:rPr>
          <w:rFonts w:ascii="Times New Roman"/>
          <w:b w:val="false"/>
          <w:i w:val="false"/>
          <w:color w:val="000000"/>
          <w:sz w:val="28"/>
        </w:rPr>
        <w:t>
      ИС ЦОНа – информационная система Центра обслуживания населения;</w:t>
      </w:r>
      <w:r>
        <w:br/>
      </w:r>
      <w:r>
        <w:rPr>
          <w:rFonts w:ascii="Times New Roman"/>
          <w:b w:val="false"/>
          <w:i w:val="false"/>
          <w:color w:val="000000"/>
          <w:sz w:val="28"/>
        </w:rPr>
        <w:t>
      ШЭП – шлюз электронного правительства;</w:t>
      </w:r>
      <w:r>
        <w:br/>
      </w:r>
      <w:r>
        <w:rPr>
          <w:rFonts w:ascii="Times New Roman"/>
          <w:b w:val="false"/>
          <w:i w:val="false"/>
          <w:color w:val="000000"/>
          <w:sz w:val="28"/>
        </w:rPr>
        <w:t>
      РШЭП – региональный шлюз электронного правительства.</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4" w:id="2"/>
          <w:p>
            <w:pPr>
              <w:spacing w:after="20"/>
              <w:ind w:left="20"/>
              <w:jc w:val="both"/>
            </w:pPr>
            <w:r>
              <w:rPr>
                <w:rFonts w:ascii="Times New Roman"/>
                <w:b w:val="false"/>
                <w:i w:val="false"/>
                <w:color w:val="000000"/>
                <w:sz w:val="20"/>
              </w:rPr>
              <w:t>
Приложение 2</w:t>
            </w:r>
            <w:r>
              <w:br/>
            </w:r>
            <w:r>
              <w:rPr>
                <w:rFonts w:ascii="Times New Roman"/>
                <w:b w:val="false"/>
                <w:i w:val="false"/>
                <w:color w:val="000000"/>
                <w:sz w:val="20"/>
              </w:rPr>
              <w:t>
к регламенту государственной услуги</w:t>
            </w:r>
            <w:r>
              <w:br/>
            </w:r>
            <w:r>
              <w:rPr>
                <w:rFonts w:ascii="Times New Roman"/>
                <w:b w:val="false"/>
                <w:i w:val="false"/>
                <w:color w:val="000000"/>
                <w:sz w:val="20"/>
              </w:rPr>
              <w:t>
"Учет иностранных периодических печатных изданий,</w:t>
            </w:r>
            <w:r>
              <w:br/>
            </w:r>
            <w:r>
              <w:rPr>
                <w:rFonts w:ascii="Times New Roman"/>
                <w:b w:val="false"/>
                <w:i w:val="false"/>
                <w:color w:val="000000"/>
                <w:sz w:val="20"/>
              </w:rPr>
              <w:t>
распространяемых на территории</w:t>
            </w:r>
            <w:r>
              <w:br/>
            </w:r>
            <w:r>
              <w:rPr>
                <w:rFonts w:ascii="Times New Roman"/>
                <w:b w:val="false"/>
                <w:i w:val="false"/>
                <w:color w:val="000000"/>
                <w:sz w:val="20"/>
              </w:rPr>
              <w:t>
Восточно-Казахстанской области"</w:t>
            </w:r>
          </w:p>
          <w:bookmarkEnd w:id="2"/>
        </w:tc>
      </w:tr>
    </w:tbl>
    <w:bookmarkStart w:name="z5" w:id="3"/>
    <w:p>
      <w:pPr>
        <w:spacing w:after="0"/>
        <w:ind w:left="0"/>
        <w:jc w:val="left"/>
      </w:pPr>
      <w:r>
        <w:rPr>
          <w:rFonts w:ascii="Times New Roman"/>
          <w:b/>
          <w:i w:val="false"/>
          <w:color w:val="000000"/>
        </w:rPr>
        <w:t xml:space="preserve"> 
Диаграмма № 1 функционального взаимодействия при оказании</w:t>
      </w:r>
      <w:r>
        <w:br/>
      </w:r>
      <w:r>
        <w:rPr>
          <w:rFonts w:ascii="Times New Roman"/>
          <w:b/>
          <w:i w:val="false"/>
          <w:color w:val="000000"/>
        </w:rPr>
        <w:t>
государственной услуги через ИС ЦОН</w:t>
      </w:r>
    </w:p>
    <w:bookmarkEnd w:id="3"/>
    <w:p>
      <w:pPr>
        <w:spacing w:after="0"/>
        <w:ind w:left="0"/>
        <w:jc w:val="both"/>
      </w:pPr>
      <w:r>
        <w:drawing>
          <wp:inline distT="0" distB="0" distL="0" distR="0">
            <wp:extent cx="7810500" cy="426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4267200"/>
                    </a:xfrm>
                    <a:prstGeom prst="rect">
                      <a:avLst/>
                    </a:prstGeom>
                  </pic:spPr>
                </pic:pic>
              </a:graphicData>
            </a:graphic>
          </wp:inline>
        </w:drawing>
      </w:r>
      <w:r>
        <w:br/>
      </w:r>
      <w:r>
        <w:rPr>
          <w:rFonts w:ascii="Times New Roman"/>
          <w:b w:val="false"/>
          <w:i w:val="false"/>
          <w:color w:val="000000"/>
          <w:sz w:val="28"/>
        </w:rPr>
        <w:t>
 </w:t>
      </w:r>
    </w:p>
    <w:bookmarkStart w:name="z6" w:id="4"/>
    <w:p>
      <w:pPr>
        <w:spacing w:after="0"/>
        <w:ind w:left="0"/>
        <w:jc w:val="left"/>
      </w:pPr>
      <w:r>
        <w:rPr>
          <w:rFonts w:ascii="Times New Roman"/>
          <w:b/>
          <w:i w:val="false"/>
          <w:color w:val="000000"/>
        </w:rPr>
        <w:t xml:space="preserve"> 
      Диаграмма № 2 функционального взаимодействия при оказании</w:t>
      </w:r>
      <w:r>
        <w:br/>
      </w:r>
      <w:r>
        <w:rPr>
          <w:rFonts w:ascii="Times New Roman"/>
          <w:b/>
          <w:i w:val="false"/>
          <w:color w:val="000000"/>
        </w:rPr>
        <w:t>
государственной услуги через ПЭП</w:t>
      </w:r>
    </w:p>
    <w:bookmarkEnd w:id="4"/>
    <w:p>
      <w:pPr>
        <w:spacing w:after="0"/>
        <w:ind w:left="0"/>
        <w:jc w:val="both"/>
      </w:pPr>
      <w:r>
        <w:drawing>
          <wp:inline distT="0" distB="0" distL="0" distR="0">
            <wp:extent cx="7810500" cy="411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4114800"/>
                    </a:xfrm>
                    <a:prstGeom prst="rect">
                      <a:avLst/>
                    </a:prstGeom>
                  </pic:spPr>
                </pic:pic>
              </a:graphicData>
            </a:graphic>
          </wp:inline>
        </w:drawing>
      </w:r>
      <w:r>
        <w:br/>
      </w:r>
      <w:r>
        <w:rPr>
          <w:rFonts w:ascii="Times New Roman"/>
          <w:b w:val="false"/>
          <w:i w:val="false"/>
          <w:color w:val="000000"/>
          <w:sz w:val="28"/>
        </w:rPr>
        <w:t>
 </w:t>
      </w:r>
    </w:p>
    <w:bookmarkStart w:name="z7" w:id="5"/>
    <w:p>
      <w:pPr>
        <w:spacing w:after="0"/>
        <w:ind w:left="0"/>
        <w:jc w:val="left"/>
      </w:pPr>
      <w:r>
        <w:rPr>
          <w:rFonts w:ascii="Times New Roman"/>
          <w:b/>
          <w:i w:val="false"/>
          <w:color w:val="000000"/>
        </w:rPr>
        <w:t xml:space="preserve"> 
      Диаграмма № 3 функционального взаимодействия при оказании</w:t>
      </w:r>
      <w:r>
        <w:br/>
      </w:r>
      <w:r>
        <w:rPr>
          <w:rFonts w:ascii="Times New Roman"/>
          <w:b/>
          <w:i w:val="false"/>
          <w:color w:val="000000"/>
        </w:rPr>
        <w:t>
государственной услуги через услугодателя</w:t>
      </w:r>
    </w:p>
    <w:bookmarkEnd w:id="5"/>
    <w:p>
      <w:pPr>
        <w:spacing w:after="0"/>
        <w:ind w:left="0"/>
        <w:jc w:val="both"/>
      </w:pPr>
      <w:r>
        <w:drawing>
          <wp:inline distT="0" distB="0" distL="0" distR="0">
            <wp:extent cx="7810500" cy="424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4241800"/>
                    </a:xfrm>
                    <a:prstGeom prst="rect">
                      <a:avLst/>
                    </a:prstGeom>
                  </pic:spPr>
                </pic:pic>
              </a:graphicData>
            </a:graphic>
          </wp:inline>
        </w:drawing>
      </w:r>
      <w:r>
        <w:br/>
      </w:r>
      <w:r>
        <w:rPr>
          <w:rFonts w:ascii="Times New Roman"/>
          <w:b w:val="false"/>
          <w:i w:val="false"/>
          <w:color w:val="000000"/>
          <w:sz w:val="28"/>
        </w:rPr>
        <w:t>
 </w:t>
      </w:r>
    </w:p>
    <w:p>
      <w:pPr>
        <w:spacing w:after="0"/>
        <w:ind w:left="0"/>
        <w:jc w:val="left"/>
      </w:pPr>
      <w:r>
        <w:rPr>
          <w:rFonts w:ascii="Times New Roman"/>
          <w:b/>
          <w:i w:val="false"/>
          <w:color w:val="000000"/>
        </w:rPr>
        <w:t xml:space="preserve">       Условные обозначения:</w:t>
      </w:r>
    </w:p>
    <w:p>
      <w:pPr>
        <w:spacing w:after="0"/>
        <w:ind w:left="0"/>
        <w:jc w:val="both"/>
      </w:pPr>
      <w:r>
        <w:drawing>
          <wp:inline distT="0" distB="0" distL="0" distR="0">
            <wp:extent cx="7810500" cy="4838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4838700"/>
                    </a:xfrm>
                    <a:prstGeom prst="rect">
                      <a:avLst/>
                    </a:prstGeom>
                  </pic:spPr>
                </pic:pic>
              </a:graphicData>
            </a:graphic>
          </wp:inline>
        </w:drawing>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8"/>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header.xml" Type="http://schemas.openxmlformats.org/officeDocument/2006/relationships/header" Id="rId8"/></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