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461" w14:textId="2add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Уба в районе разработки Шемонаихинского месторождения песчано-гравийной смеси № 5 в Шемонаихинском районе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апреля 2014 года N 86. Зарегистрировано Департаментом юстиции Восточно-Казахстанской области 06 мая 2014 года N 3301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"Организация водоохранных зон и полос реки Уба в районе разработки Шемонаихинского месторождения песчано-гравийной смеси № 5"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реки Уба в районе разработки Шемонаихинского месторождения песчано-гравийной смеси № 5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Уба в районе разработки Шемонаихинского месторождения песчано-гравийной смеси № 5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(Байгонусов К.Б.) передать проект "Организация водоохранных зон и полос реки Уба в районе разработки Шемонаихинского месторождения песчано-гравийной смеси № 5" акиму Шемонаихинского района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07 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08 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07 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</w:t>
      </w:r>
      <w:r>
        <w:br/>
      </w:r>
      <w:r>
        <w:rPr>
          <w:rFonts w:ascii="Times New Roman"/>
          <w:b/>
          <w:i w:val="false"/>
          <w:color w:val="000000"/>
        </w:rPr>
        <w:t>реки Уба в районе разработки Шемонаихинского месторождения</w:t>
      </w:r>
      <w:r>
        <w:br/>
      </w:r>
      <w:r>
        <w:rPr>
          <w:rFonts w:ascii="Times New Roman"/>
          <w:b/>
          <w:i w:val="false"/>
          <w:color w:val="000000"/>
        </w:rPr>
        <w:t>песчано-гравийной смеси № 5 в Шемонаихинском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1636"/>
        <w:gridCol w:w="1636"/>
        <w:gridCol w:w="1426"/>
        <w:gridCol w:w="1636"/>
        <w:gridCol w:w="1216"/>
        <w:gridCol w:w="1358"/>
      </w:tblGrid>
      <w:tr>
        <w:trPr>
          <w:trHeight w:val="30" w:hRule="atLeast"/>
        </w:trPr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объект,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Уба, правый берег в створе Шемонаихинского месторождения песчано-гравийной смеси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 ширина водоохранной зоны и водоохранной полосы отражены в картографическом материале утвержденного проекта "Организация водоохранных зон и полос реки Уба в районе разработки Шемонаихинского месторождения песчано-гравийной смеси № 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