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50f7d" w14:textId="e450f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в сфере автомобильных дорог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7 марта 2014 года № 46. Зарегистрировано Департаментом юстиции Восточно-Казахстанской области 15 апреля 2014 года N 3230. Утратило силу - постановлением Восточно-Казахстанского областного акимата от 19 января 2016 года № 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Восточно-Казахстанского областного акимата от 19.01.2016 № 10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февраля 2014 года № 64 "О вопросах оказания государственных услуг в сфере автомобильных дорог",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размещение объектов наружной (визуальной) рекламы в полосе отвода автомобильных дорог общего пользования областного и районного значения, а также в населенных пунктах".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акима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2"/>
        <w:gridCol w:w="11508"/>
      </w:tblGrid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" 7 " марта 2014 года № 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разрешения на размещение объектов наружной (визуальной) рекламы в полосе отвода автомобильных дорог общего пользования областного и районного значения, а также в населенных пунктах"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услуга "Выдача разрешения на размещение объектов наружной (визуальной) рекламы в полосе отвода автомобильных дорог общего пользования областного и районного значения, а также в населенных пунктах" (далее – государственная услуга) оказывается местным исполнительным органом области, района и города районного значения (далее - МИО), осуществляющим функции в сфере архитектуры и градостроительства, автомобильных дорог (далее – услугодатель), юридическим и физическим лицам (далее – услугополучатель).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заявлений и выдача результатов оказания государственной услуги осуществляется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Республиканское государственное предприятие "Центр обслуживания населения"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коммуникации (далее – ЦОН)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веб-портал "электронного правительства":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www.e.gov.kz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веб-портал "Е-лицензирование"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www.elicense.kz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Форма оказания государственной услуги – электронная (частично автоматизированная) и (или) бумажная).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Результатом оказания государственной услуги является разрешение на размещение объектов наружной (визуальной) рекламы в населенных пунктах (далее – разрешение) или паспорт на размещение объектов наружной (визуальной) рекламы в полосе отвода автомобильных дорог общего пользования областного и районного значение (далее – паспорта).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 услуги – электронная и/или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Основанием для начала процедуры (действия) по оказанию государственной услуги является наличие письменного заявления по форме, установленной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"Выдача разрешения на размещение объектов наружной (визуальной) рекламы в полосе отвода автомобильных дорог общего пользования областного и районного значения, а также в населенных пунктах", утвержденным постановлением Правительства Республики Казахстан от 7 февраля 2014 года № 64 (далее – Стандарт), или запроса в форме электронного документа, удостоверенного электронной цифровой подписью услугополучателя (далее – ЭЦП).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Содержание процедур (действий), входящих в состав процесса оказания государственной услуги и длительность их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действие 1 – прием и регистрация документов, поданных услугополучателем (либо его представителя по доверенности)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сотрудником канцелярии, передача документов руководителю местного исполнительного органа (далее – МИО). Длительность выполнения – не более 15 (пятнадцати) минут с момента поступления;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действие 2 – рассмотрение документов руководителем МИО, передача документов руководителю отдела МИО. Длительность выполнения – в течение 40 (сорока)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действие 3 – рассмотрение документов руководителем отдела МИО, передача документов специалисту отдела МИО. Длительность выполнения – в течение 30 (тридцати)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действие 4 – рассмотрение документов специалистом отдела МИО на соответствие предъявляемым требованиям предусмотренным пунктом 9 Стандарта и подготовка разрешения или паспорта. Длительность выполнения – в течение 3 (трех)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действие 5 – подписание результата государственной услуги руководителем МИО. Длительность выполнения – в течение 20 (двадцати)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действие 6 – направление подписанного руководителем МИО результата оказания государственной услуги услугополучателю. Длительность выполнения – в течении 1 (одного) рабочего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Срок оказания государственной услуги с момента сдачи пакета документов услугополучателем услугодателю либо в ЦОН, а также при обращении на портал – в течение 5 (пять)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Результатом процедуры (действия) по оказанию государственной услуги по действию 1, указанному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выдача услугополучателю копии заявления с отметкой о регистрации в канцелярии услугодателя с указанием даты и времени приема пакета документов и передача пакета документов руководителю МИО. Переданный пакет документов руководителю МИО является основанием для начала выполнения действия 2, указанного в пункте 5 настоящего Регламента. Результатом действия 2, указанного в пункте 5 настоящего Регламента, является рассмотрение документов руководителем МИО и передача завизированных документов руководителем МИО руководителю отдела МИО, которые являются основанием для выполнения действия 3, указанного в пункте 5 настоящего Регламента. Результатом по действию 3, указанному в пункте 5 являются рассмотрение документов руководителем отдела МИО и передача документов с резолюцией руководителя отдела МИО специалисту отдела МИО, которые служат основанием для начала выполнения действия 4, указанного в пункте 5 настоящего Регламента. Результатом по действию 4, указанному в пункте 5 настоящего Регламента является рассмотрение документов специалистом отдела МИО на соответствие предъявляемым требованиям, предусмотренным пунктом 9 Стандарта и подготовка разрешения или паспорта, которые являются основанием для выполнения действия 5, указанного в пункте 5 настоящего Регламента. Результатом по действию 5, указанному в пункте 5 настоящего Регламента является подписание результата оказания государственной услуги руководителем МИО, который является основанием для выполнения действия 6, указанного в пункте 5 настоящего Регламента. Результатом по действию 6, указанному в пункте 5 настоящего Регламента является направление подписанного руководителем МИО результата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услугодателя в процессе оказания государственной услуги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7. </w:t>
      </w:r>
      <w:r>
        <w:rPr>
          <w:rFonts w:ascii="Times New Roman"/>
          <w:b w:val="false"/>
          <w:i w:val="false"/>
          <w:color w:val="000000"/>
          <w:sz w:val="28"/>
        </w:rPr>
        <w:t>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сотрудник канцелярии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руководитель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руководитель отдела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специалист отдела МИО.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Описание процедур (действий), необходимых для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прием документов и регистрация заявления услугополучателя в журнале входящей документации и передача документов руководителю МИО. Длительность выполнения – не более 15 (пятнадцати)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рассмотрение документов руководителем МИО, передача документов руководителю отдела МИО. Длительность выполнения – в течение 40 (сорока)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рассмотрение документов руководителем отдела МИО, передача документов специалисту отдела МИО. Длительность выполнения – в течение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рассмотрение документов специалистом отдела МИО, на соответствие предъявляемым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подготовка разрешение или паспорта. Длительность выполнения – в течении 3 (трех)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результат оказания государственной услуги оформляется в электронном формате, распечатывается и заверяется печатью и подписью руководителя МИО. Длительность выполнения – в течение 20 (двадцати)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направление подписанного руководителем МИО результата услугополучателю. Длительность выполнения – в течении 1 (одного) рабочего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Описание последовательности процедур (действий) указано в блок – схеме прохождения каждого действия (процедуры),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 населения, а также порядка использования информационных систем в процессе оказания государственной услуги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9. </w:t>
      </w:r>
      <w:r>
        <w:rPr>
          <w:rFonts w:ascii="Times New Roman"/>
          <w:b w:val="false"/>
          <w:i w:val="false"/>
          <w:color w:val="000000"/>
          <w:sz w:val="28"/>
        </w:rPr>
        <w:t xml:space="preserve">Услугополучатели (либо его представители по доверенности) для получения государственной услуги обращаются в ЦОН и представляют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Длительность обработки запроса услугополучателя –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Порядок подготовки и направления запроса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Действия работников ЦОНа при регистрации и обработке запроса услугополучателя в интегрированной информационной системе ЦОН (далее - ИИС ЦОН) указаны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диаграмме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функционального взаимодействия при оказании электронной государственной услуги через ИИС ЦОН согласно приложению 4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Последовательность и сроки взаимодействия с ЦОН и (или) иными услугодателями, в том числе процедуры (действия) формирования и направления запросов услугодателей по вопросам оказания государственных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процесс 1 – ввод оператора ЦОНа в ИИС ЦОН логина и пароля (процесс авторизации)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процесс 2 – выбор оператором ЦОНа услуги, указанной в настоящем Регламенте, вывод на экран формы запроса для оказания услуги и ввод оператором ЦОНа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процесс 3 – направление запроса через ШЭП в ГБД ФЛ/ГБД ЮЛ о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условие 1 – проверка наличия данных услугополучателя в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процесс 4 – формирование сообщения о невозможности получения данных в связи с отсутствием данных услугополучателя в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процесс 5 – заполнение оператором ЦОНа формы запроса в части отметки о наличии документов в бумажной форме и сканирование документов, предоставленных услугополучателем, прикрепление их к форме запроса и удостоверение посредством ЭЦП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условие 2 – проверка (обработка) услугодателем соответствия приложенных услугополучателем документов, указанных в пункте 9 Стандарта, являющихся основанием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процесс 6 – в случае предоставления услугополучателем неполного пакета документов,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работником ЦОНа выдается расписка об отказе в приеме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процесс 7 – направление электронного документа (запроса услугополучателя) удостоверенного (подписанного) ЭЦП оператора ЦОНа через интеграционный ШЭП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процесс 8 – регистрация электронного документа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процесс 9 – обработка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являющихся основанием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</w:t>
      </w:r>
      <w:r>
        <w:rPr>
          <w:rFonts w:ascii="Times New Roman"/>
          <w:b w:val="false"/>
          <w:i w:val="false"/>
          <w:color w:val="000000"/>
          <w:sz w:val="28"/>
        </w:rPr>
        <w:t>процесс 10 – получение услугополучателем через оператора ЦОНа результата услуги (электронная форма документа о предоставлении государственной услуги) сформированной ИС ГБД "Е-лицензирование".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Действия работников ЦОНа при регистрации и обработке запроса услугополучателя в интегрированной информационной системе ЦОН указаны в блок схеме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Пошаговые действия и решения через ПЭП (</w:t>
      </w:r>
      <w:r>
        <w:rPr>
          <w:rFonts w:ascii="Times New Roman"/>
          <w:b w:val="false"/>
          <w:i w:val="false"/>
          <w:color w:val="000000"/>
          <w:sz w:val="28"/>
        </w:rPr>
        <w:t xml:space="preserve"> диаграмма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функционального взаимодействия при оказании электронной государственной услуги через ПЭП) приведены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услугополучатель государственной услуги осуществляет регистрацию на ПЭП с помощью своего регистрационного свидетельства ЭЦП, которое хранится в интернет-браузере компьютера получателя государственной услуги (осуществляется для незарегистрированных получателей государственной услуги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процесс 1 – прикрепление в интернет-браузер компьютера услугополучателя государственной услуги и регистрационного свидетельства ЭЦП, процесс ввода услугополучателем государственной услуги и пароля (процесс авторизации) на ПЭП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условие 1 – проверка на ПЭП подлинности данных о зарегистрированном услугополучателе государственной услуги через логин (ИИН/БИН)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процесс 2 – формирование ПЭПом сообщения об отказе в авторизации в связи с имеющимися нарушениями в данных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процесс 3 – выбор услугополучателем государственной услуги, вывод на экранные формы запроса для оказания услуги и заполнение услугополучателем государственной услуги формы (ввод данных) с учетом ее структуры и форматных требований, прикреплением к форме запроса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процесс 4 – выбор услугополучателем государственной услуги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условие 2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 указанным в запросе, и ИИН/БИН указанным в регистрационном свидетельстве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процесс 5 – формирование сообщения об отказе в запрашиваемой услуге в связи с не подтверждением подлинности ЭЦП услугополучателя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процесс 6 – удостоверение (подписание) посредством ЭЦП услугополучателя государственной услуги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процесс 7 – регистрация электронного документа (запроса получателя государственной услуги) в ИС ГБД "Е-лицензирование" и обработка запроса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>условие 3 – проверка услугодателем соответствия услугополучателя государственной услуги квалификационным требованиям для выдачи разрешения или паспорта;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</w:t>
      </w:r>
      <w:r>
        <w:rPr>
          <w:rFonts w:ascii="Times New Roman"/>
          <w:b w:val="false"/>
          <w:i w:val="false"/>
          <w:color w:val="000000"/>
          <w:sz w:val="28"/>
        </w:rPr>
        <w:t>процесс 8 – получение услугополучателем государственной услуги результата услуги (разрешения или паспорта), сформированной ПЭП.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Порядок обращения и последовательности процедур услугодателя и услугополучателя при оказании государственной услуги через веб-портал "Е-лицензирование" указан в блок схеме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Пошаговые действия и решения через услугодателя приведены в приложении 4, </w:t>
      </w:r>
      <w:r>
        <w:rPr>
          <w:rFonts w:ascii="Times New Roman"/>
          <w:b w:val="false"/>
          <w:i w:val="false"/>
          <w:color w:val="000000"/>
          <w:sz w:val="28"/>
        </w:rPr>
        <w:t xml:space="preserve"> диаграмма №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процесс 1 – ввод сотрудником услугодателя логина и пароля (процесс авторизации) в ИС ГБД "Е-лицензирование"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условие 1 – проверка в ИС ГБД "Е-лицензирование" подлинности данных о зарегистрированном сотруднике услугодателя через логин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процесс 2 – формирование ИС ГБД "Е-лицензирование" сообщения об отказе в авторизации в связи с имеющимися нарушениями в данных сотрудника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процесс 3 – выбор сотрудником услугодателя услуги, указанной в настоящем Регламенте, вывод на экран формы запроса для оказания услуги и ввод сотрудником услугодателя данных услугополучателя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процесс 4 – заполнение формы запроса в части отметки о наличии документов в бумажной форме и сканирование сотрудником услугодателя необходимых документов, предоставленных получателем государственной услуги и прикрепление их к форме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процесс 5 – регистрация запроса в ИС ГБД "Е-лицензирование" и обработка услуги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процесс 6 – получение услугополучателем государственной услуги результата услуги (выдача разрешения или паспорта) сформированной ИС ГБД "Е-лицензирование". Электронный документ формируется с использованием ЭЦП должностного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центром обслуживания населения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веб-портале "электронного правительства", интернет–ресурсе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Регламент дополнен пунктом 12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Восточно-Казахстанского областного акимата от 29.09.2014 N 259 (</w:t>
      </w:r>
      <w:r>
        <w:rPr>
          <w:rFonts w:ascii="Times New Roman"/>
          <w:b w:val="false"/>
          <w:i w:val="false"/>
          <w:color w:val="ff0000"/>
          <w:sz w:val="28"/>
        </w:rPr>
        <w:t xml:space="preserve"> 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Аббревиатуры, используемые в настоящем Регламенте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ИС – информационная система, предназначенная для хранения, обработки, поиска, распространения, передачи и предоставления информации с применением аппаратно-программного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ИС ГБД "Е-лицензирование" - веб–портал "Е-лицензирование", содержащий сведения о выданных, переоформленных, приостановленных, возобновленных и прекративших действие лицензиях, а также филиалах, представительствах (объектах, пунктах, участках) лицензиата, осуществляющих лицензируемый вид (подвид) деятельности, которая централизованно формирует идентификационный номер лицензий, выдаваемых лицензиарами;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ПЭП – 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веб-портал</w:t>
      </w:r>
      <w:r>
        <w:rPr>
          <w:rFonts w:ascii="Times New Roman"/>
          <w:b w:val="false"/>
          <w:i w:val="false"/>
          <w:color w:val="000000"/>
          <w:sz w:val="28"/>
        </w:rPr>
        <w:t xml:space="preserve"> "электронного правительства";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ШЭП – шлюз "электронного правительства", предназначенный для интеграции информационных систем "электронного правительства" в рамках реализации электронных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ГБД ФЛ – государственная база данных "Физические лица", предназначенная для автоматизированного сбора, хранения и обработки информации, создания Национального реестра индивидуальных идентификационных номеров с целью внедрения единой идентификации физических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ГБД ЮЛ – государственная база данных "Юридические лица", предназначенная для автоматизированного сбора, хранения и обработки информации, создания Национального реестра бизнес-идентификационных номеров с целью внедрения единой идентификации юридических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 xml:space="preserve">ИИН – 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индивидуальный идентификационный номер</w:t>
      </w:r>
      <w:r>
        <w:rPr>
          <w:rFonts w:ascii="Times New Roman"/>
          <w:b w:val="false"/>
          <w:i w:val="false"/>
          <w:color w:val="000000"/>
          <w:sz w:val="28"/>
        </w:rPr>
        <w:t>, формируемый для физического лица, в том числе индивидуального предпринимателя, осуществляющего деятельность в виде личного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 xml:space="preserve">БИН – </w:t>
      </w:r>
      <w:r>
        <w:rPr>
          <w:rFonts w:ascii="Times New Roman"/>
          <w:b w:val="false"/>
          <w:i w:val="false"/>
          <w:color w:val="000000"/>
          <w:sz w:val="28"/>
        </w:rPr>
        <w:t xml:space="preserve"> бизнес–идентификационный номер</w:t>
      </w:r>
      <w:r>
        <w:rPr>
          <w:rFonts w:ascii="Times New Roman"/>
          <w:b w:val="false"/>
          <w:i w:val="false"/>
          <w:color w:val="000000"/>
          <w:sz w:val="28"/>
        </w:rPr>
        <w:t>, формируемый для юридического лица (филиала и представительства) и индивидуального предпринимателя, осуществляющего деятельность в виде совместного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 xml:space="preserve"> ЭЦП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ИИС ЦОН – интеграционная информационная система центров обслуживания населения Республики Казахстан, предназначенная для автоматизации процесса предоставления услуг населению (физическим и юридическим лицам) через ЦОН, а также соответствующими государственными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>МИО – местный исполнительный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73"/>
        <w:gridCol w:w="9627"/>
      </w:tblGrid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объектов наружной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(визуальной) рекламы в полосе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отвода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общего пользования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и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а также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последовательности оказания государственной услуги услугодателя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75400" cy="706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75400" cy="706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73"/>
        <w:gridCol w:w="9627"/>
      </w:tblGrid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"Выдача разрешения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размещение объектов наружной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(визуальной) рекламы в полосе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отвода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общего пользования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и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а также в 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получения государственной услуги при обращении в ЦОН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743700" cy="740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43700" cy="740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05"/>
        <w:gridCol w:w="9395"/>
      </w:tblGrid>
      <w:tr>
        <w:trPr>
          <w:trHeight w:val="30" w:hRule="atLeast"/>
        </w:trPr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"Выдача разрешения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размещение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наружной (визуальной) рекламы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полосе отвода автомобильных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 общего пользования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и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а также в 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получения государственной услуги при обращении через веб-портал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75400" cy="624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75400" cy="624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73"/>
        <w:gridCol w:w="9627"/>
      </w:tblGrid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"Выдача разрешения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размещение объектов наружной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(визуальной) рекламы в полосе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отвода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общего пользования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и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а также в 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1 функционального взаимодействия при оказании электронной государственной услуги через ИИС ЦОН</w:t>
      </w:r>
    </w:p>
    <w:bookmarkEnd w:id="7"/>
    <w:bookmarkStart w:name="z220" w:id="8"/>
    <w:p>
      <w:pPr>
        <w:spacing w:after="0"/>
        <w:ind w:left="0"/>
        <w:jc w:val="left"/>
      </w:pP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7810500" cy="431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1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2 функционального взаимодействия при оказании электронной государственной услуги через ПЭП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17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7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3 функционального взаимодействия при оказании электронной государственной услуги через МИО</w:t>
      </w:r>
    </w:p>
    <w:bookmarkEnd w:id="10"/>
    <w:bookmarkStart w:name="z222" w:id="11"/>
    <w:p>
      <w:pPr>
        <w:spacing w:after="0"/>
        <w:ind w:left="0"/>
        <w:jc w:val="left"/>
      </w:pP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7810500" cy="478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78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223" w:id="12"/>
    <w:p>
      <w:pPr>
        <w:spacing w:after="0"/>
        <w:ind w:left="0"/>
        <w:jc w:val="left"/>
      </w:pPr>
    </w:p>
    <w:bookmarkEnd w:id="12"/>
    <w:bookmarkStart w:name="z22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3"/>
    <w:bookmarkStart w:name="z225" w:id="14"/>
    <w:p>
      <w:pPr>
        <w:spacing w:after="0"/>
        <w:ind w:left="0"/>
        <w:jc w:val="left"/>
      </w:pP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7810500" cy="770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70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05"/>
        <w:gridCol w:w="9395"/>
      </w:tblGrid>
      <w:tr>
        <w:trPr>
          <w:trHeight w:val="30" w:hRule="atLeast"/>
        </w:trPr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"Выдача разрешения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размещение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наружной (визуальной) рекламы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полосе отвода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автомобильных дорог общего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и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а также в 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при оказании государственной услуги через канцелярию услугодателя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Регламент дополнен приложением 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Восточно-Казахстанского областного акимата от 29.09.2014 N 259 (</w:t>
      </w:r>
      <w:r>
        <w:rPr>
          <w:rFonts w:ascii="Times New Roman"/>
          <w:b w:val="false"/>
          <w:i w:val="false"/>
          <w:color w:val="ff0000"/>
          <w:sz w:val="28"/>
        </w:rPr>
        <w:t xml:space="preserve"> 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drawing>
          <wp:inline distT="0" distB="0" distL="0" distR="0">
            <wp:extent cx="7810500" cy="313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13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при оказании государственной услуги через ЦОН</w:t>
      </w:r>
    </w:p>
    <w:bookmarkEnd w:id="16"/>
    <w:bookmarkStart w:name="z229" w:id="17"/>
    <w:p>
      <w:pPr>
        <w:spacing w:after="0"/>
        <w:ind w:left="0"/>
        <w:jc w:val="left"/>
      </w:pP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7810500" cy="422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2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23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при оказании государственной услуги через портал</w:t>
      </w:r>
    </w:p>
    <w:bookmarkEnd w:id="18"/>
    <w:bookmarkStart w:name="z231" w:id="19"/>
    <w:p>
      <w:pPr>
        <w:spacing w:after="0"/>
        <w:ind w:left="0"/>
        <w:jc w:val="left"/>
      </w:pP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7810500" cy="440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0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232" w:id="20"/>
    <w:p>
      <w:pPr>
        <w:spacing w:after="0"/>
        <w:ind w:left="0"/>
        <w:jc w:val="left"/>
      </w:pPr>
    </w:p>
    <w:bookmarkEnd w:id="20"/>
    <w:bookmarkStart w:name="z2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14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4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header.xml" Type="http://schemas.openxmlformats.org/officeDocument/2006/relationships/header" Id="rId1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