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2fe93" w14:textId="c42fe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размеров подушевого финансирования и родительской платы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Тюлькубасского района Южно-Казахстанской области от 10 сентября 2014 года № 525. Зарегистрировано Департаментом юстиции Южно-Казахстанской области 22 сентября 2014 года № 2805. Утратило силу постановлением акимата Тюлькубасского района Южно-Казахстанской области от 8 июня 2016 года № 238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Тюлькубасского района Южно-Казахстанской области от 08.06.2016 № 238.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В тексте документа сохранена пунктуация и орфография оригинала.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Тюлькубасского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- в редакции постановления акимата Тюлькубасского района Южно-Казахстанской области от 21.01.2015 </w:t>
      </w:r>
      <w:r>
        <w:rPr>
          <w:rFonts w:ascii="Times New Roman"/>
          <w:b w:val="false"/>
          <w:i w:val="false"/>
          <w:color w:val="ff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государственный образовательный заказ на дошкольное воспитание и обучение, размер подушевого финансирования и родительской платы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Н. Изтилеуова.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Абдуалиев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Тюлькубасского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2014 года № 525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</w:t>
      </w:r>
      <w:r>
        <w:br/>
      </w:r>
      <w:r>
        <w:rPr>
          <w:rFonts w:ascii="Times New Roman"/>
          <w:b/>
          <w:i w:val="false"/>
          <w:color w:val="000000"/>
        </w:rPr>
        <w:t>воспитание и обучение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постановления акимата Тюлькубасского района Южно-Казахстанской области от 21.01.2015 </w:t>
      </w:r>
      <w:r>
        <w:rPr>
          <w:rFonts w:ascii="Times New Roman"/>
          <w:b w:val="false"/>
          <w:i w:val="false"/>
          <w:color w:val="ff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8"/>
        <w:gridCol w:w="762"/>
        <w:gridCol w:w="3731"/>
        <w:gridCol w:w="3732"/>
        <w:gridCol w:w="2887"/>
      </w:tblGrid>
      <w:tr>
        <w:trPr>
          <w:trHeight w:val="30" w:hRule="atLeast"/>
        </w:trPr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мест в 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средств республиканского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средств местного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Тюлькубасского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2014 года № 525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подушевого финансирования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2 - в редакции постановления акимата Тюлькубасского района Южно-Казахстанской области от 21.01.2015 </w:t>
      </w:r>
      <w:r>
        <w:rPr>
          <w:rFonts w:ascii="Times New Roman"/>
          <w:b w:val="false"/>
          <w:i w:val="false"/>
          <w:color w:val="ff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"/>
        <w:gridCol w:w="3155"/>
        <w:gridCol w:w="3155"/>
        <w:gridCol w:w="3155"/>
        <w:gridCol w:w="2623"/>
      </w:tblGrid>
      <w:tr>
        <w:trPr>
          <w:trHeight w:val="30" w:hRule="atLeast"/>
        </w:trPr>
        <w:tc>
          <w:tcPr>
            <w:tcW w:w="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одного воспитанника в месяц, тенге (не менее)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до 60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более 60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центры с полным днем прибывания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центры с коротким днем прибывания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Примечание: На ежемесячный расход одного воспитанника не включены расходы на текущий ремонт зданий и сооружений.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Тюлькубасского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2014 года № 525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1"/>
        <w:gridCol w:w="5974"/>
        <w:gridCol w:w="5975"/>
      </w:tblGrid>
      <w:tr>
        <w:trPr>
          <w:trHeight w:val="30" w:hRule="atLeast"/>
        </w:trPr>
        <w:tc>
          <w:tcPr>
            <w:tcW w:w="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питание одного ребенка в день (не более),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питание одного ребенка в месяц (не более),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Примечание: Расходы на питание 1-го ребенка в месяц рассчитаны на 21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