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a11f4" w14:textId="62a11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порядка проведения раздельных сходов местного сообщества и определения количества представителей жителей села, улицы, многоквартирного жилого дома для участия в сходе местного сообщества в Тюлькубасском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Тюлькубасского районного маслихата Южно-Казахстанской области от 29 июля 2014 года № 31/2-05. Зарегистрировано Департаментом юстиции Южно-Казахстанской области 19 августа 2014 года № 2785. Утратило силу решением Тюлькубасского районного маслихата Туркестанской области от 27 сентября 2023 года № 7/7-08</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Тюлькубасского районного маслихата Туркестанской области от 27.09.2023 № 7/7-08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Заголовок решения - в редакции решения Тюлькубасского районного маслихата Туркестанской области от 27.08.2022 </w:t>
      </w:r>
      <w:r>
        <w:rPr>
          <w:rFonts w:ascii="Times New Roman"/>
          <w:b w:val="false"/>
          <w:i w:val="false"/>
          <w:color w:val="000000"/>
          <w:sz w:val="28"/>
        </w:rPr>
        <w:t>№ 22/3-07</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"Об утверждении Типовых правил проведения раздельных сходов местного сообщества", Тюлькубасский районный маслихат </w:t>
      </w:r>
      <w:r>
        <w:rPr>
          <w:rFonts w:ascii="Times New Roman"/>
          <w:b/>
          <w:i w:val="false"/>
          <w:color w:val="000000"/>
          <w:sz w:val="28"/>
        </w:rPr>
        <w:t>РЕШИЛ:</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преамбулу внесено изменение на казахском языке, текст на русском языке не меняется решением Тюлькубасского районного маслихата Туркестанской области от 27.08.2022 </w:t>
      </w:r>
      <w:r>
        <w:rPr>
          <w:rFonts w:ascii="Times New Roman"/>
          <w:b w:val="false"/>
          <w:i w:val="false"/>
          <w:color w:val="000000"/>
          <w:sz w:val="28"/>
        </w:rPr>
        <w:t>№ 22/3-07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порядок</w:t>
      </w:r>
      <w:r>
        <w:rPr>
          <w:rFonts w:ascii="Times New Roman"/>
          <w:b w:val="false"/>
          <w:i w:val="false"/>
          <w:color w:val="000000"/>
          <w:sz w:val="28"/>
        </w:rPr>
        <w:t xml:space="preserve"> проведения раздельных сходов местного сообщества и определения количества представителей жителей села, улицы, многоквартирного жилого дома для участия в сходе местного сообщества в Тюлькубасском районе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со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С.Касымбек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 Тюлькубасского</w:t>
            </w:r>
            <w:r>
              <w:br/>
            </w:r>
            <w:r>
              <w:rPr>
                <w:rFonts w:ascii="Times New Roman"/>
                <w:b w:val="false"/>
                <w:i w:val="false"/>
                <w:color w:val="000000"/>
                <w:sz w:val="20"/>
              </w:rPr>
              <w:t>районного маслихата от 29 июля</w:t>
            </w:r>
            <w:r>
              <w:br/>
            </w:r>
            <w:r>
              <w:rPr>
                <w:rFonts w:ascii="Times New Roman"/>
                <w:b w:val="false"/>
                <w:i w:val="false"/>
                <w:color w:val="000000"/>
                <w:sz w:val="20"/>
              </w:rPr>
              <w:t>2014 года № 31/2-05</w:t>
            </w:r>
          </w:p>
        </w:tc>
      </w:tr>
    </w:tbl>
    <w:bookmarkStart w:name="z5" w:id="3"/>
    <w:p>
      <w:pPr>
        <w:spacing w:after="0"/>
        <w:ind w:left="0"/>
        <w:jc w:val="left"/>
      </w:pPr>
      <w:r>
        <w:rPr>
          <w:rFonts w:ascii="Times New Roman"/>
          <w:b/>
          <w:i w:val="false"/>
          <w:color w:val="000000"/>
        </w:rPr>
        <w:t xml:space="preserve"> Порядок проведения раздельных сходов местного сообщества и определения количества представителей жителей села, микрорайона, улицы, многоквартирного жилого дома для участия в сходе местного сообщества Тюлькубасском районе</w:t>
      </w:r>
    </w:p>
    <w:bookmarkEnd w:id="3"/>
    <w:p>
      <w:pPr>
        <w:spacing w:after="0"/>
        <w:ind w:left="0"/>
        <w:jc w:val="both"/>
      </w:pPr>
      <w:r>
        <w:rPr>
          <w:rFonts w:ascii="Times New Roman"/>
          <w:b w:val="false"/>
          <w:i w:val="false"/>
          <w:color w:val="ff0000"/>
          <w:sz w:val="28"/>
        </w:rPr>
        <w:t xml:space="preserve">
      Сноска. Приложение - в редакции решения Тюлькубасского районного маслихата Туркестанской области от 27.08.2022 </w:t>
      </w:r>
      <w:r>
        <w:rPr>
          <w:rFonts w:ascii="Times New Roman"/>
          <w:b w:val="false"/>
          <w:i w:val="false"/>
          <w:color w:val="ff0000"/>
          <w:sz w:val="28"/>
        </w:rPr>
        <w:t>№ 22/3-07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 w:id="4"/>
    <w:p>
      <w:pPr>
        <w:spacing w:after="0"/>
        <w:ind w:left="0"/>
        <w:jc w:val="left"/>
      </w:pPr>
      <w:r>
        <w:rPr>
          <w:rFonts w:ascii="Times New Roman"/>
          <w:b/>
          <w:i w:val="false"/>
          <w:color w:val="000000"/>
        </w:rPr>
        <w:t xml:space="preserve"> Глава 1. Общие положения</w:t>
      </w:r>
    </w:p>
    <w:bookmarkEnd w:id="4"/>
    <w:bookmarkStart w:name="z7" w:id="5"/>
    <w:p>
      <w:pPr>
        <w:spacing w:after="0"/>
        <w:ind w:left="0"/>
        <w:jc w:val="both"/>
      </w:pPr>
      <w:r>
        <w:rPr>
          <w:rFonts w:ascii="Times New Roman"/>
          <w:b w:val="false"/>
          <w:i w:val="false"/>
          <w:color w:val="000000"/>
          <w:sz w:val="28"/>
        </w:rPr>
        <w:t>
      1. Настоящие правила проведения раздельных сходов местного сообщества в разработаны в соответствии с </w:t>
      </w:r>
      <w:r>
        <w:rPr>
          <w:rFonts w:ascii="Times New Roman"/>
          <w:b w:val="false"/>
          <w:i w:val="false"/>
          <w:color w:val="000000"/>
          <w:sz w:val="28"/>
        </w:rPr>
        <w:t>пунктом 6</w:t>
      </w:r>
      <w:r>
        <w:rPr>
          <w:rFonts w:ascii="Times New Roman"/>
          <w:b w:val="false"/>
          <w:i w:val="false"/>
          <w:color w:val="000000"/>
          <w:sz w:val="28"/>
        </w:rPr>
        <w:t> статьи 39-3 Закона Республики Казахстан "О местном государственном управлении и самоуправлении в Республике Казахстан" и устанавливают порядок проведения раздельных сходов местного сообщества жителей села, поселка, сельского округа, микрорайона, улицы, многоквартирного жилого дома.</w:t>
      </w:r>
    </w:p>
    <w:bookmarkEnd w:id="5"/>
    <w:bookmarkStart w:name="z8" w:id="6"/>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6"/>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раздельный сход местного сообщества – непосредственное участие жителей (членов местного сообщества) села, микрорайона, улицы, многоквартирного жилого дома в избрании представителей для участия в сходе местного сообщества.</w:t>
      </w:r>
    </w:p>
    <w:bookmarkStart w:name="z9" w:id="7"/>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7"/>
    <w:bookmarkStart w:name="z10" w:id="8"/>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города районного значения, села, поселка, сельского округа подразделяется на участки (села, микрорайоны, улицы, многоквартирные жилые дома).</w:t>
      </w:r>
    </w:p>
    <w:bookmarkEnd w:id="8"/>
    <w:bookmarkStart w:name="z11" w:id="9"/>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w:t>
      </w:r>
    </w:p>
    <w:bookmarkEnd w:id="9"/>
    <w:bookmarkStart w:name="z12" w:id="10"/>
    <w:p>
      <w:pPr>
        <w:spacing w:after="0"/>
        <w:ind w:left="0"/>
        <w:jc w:val="both"/>
      </w:pPr>
      <w:r>
        <w:rPr>
          <w:rFonts w:ascii="Times New Roman"/>
          <w:b w:val="false"/>
          <w:i w:val="false"/>
          <w:color w:val="000000"/>
          <w:sz w:val="28"/>
        </w:rPr>
        <w:t>
      5. Раздельный сход местного сообщества созывается и организуется акимом города районного значения, села, поселка, сельского округа.</w:t>
      </w:r>
    </w:p>
    <w:bookmarkEnd w:id="10"/>
    <w:bookmarkStart w:name="z13" w:id="11"/>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города районного значения, села, поселка, сельского округа не позднее чем за десять календарных дней до дня его проведения через средства массовой информации или через страницы фейсбука акимата сельких округов и поселков.</w:t>
      </w:r>
    </w:p>
    <w:bookmarkEnd w:id="11"/>
    <w:bookmarkStart w:name="z14" w:id="12"/>
    <w:p>
      <w:pPr>
        <w:spacing w:after="0"/>
        <w:ind w:left="0"/>
        <w:jc w:val="both"/>
      </w:pPr>
      <w:r>
        <w:rPr>
          <w:rFonts w:ascii="Times New Roman"/>
          <w:b w:val="false"/>
          <w:i w:val="false"/>
          <w:color w:val="000000"/>
          <w:sz w:val="28"/>
        </w:rPr>
        <w:t>
      7. Проведение раздельного схода местного сообщества в пределах села, микрорайона, улицы, многоквартирного жилого дома организуется акимом города районного значения, села, поселка и сельского округа.</w:t>
      </w:r>
    </w:p>
    <w:bookmarkEnd w:id="12"/>
    <w:p>
      <w:pPr>
        <w:spacing w:after="0"/>
        <w:ind w:left="0"/>
        <w:jc w:val="both"/>
      </w:pPr>
      <w:r>
        <w:rPr>
          <w:rFonts w:ascii="Times New Roman"/>
          <w:b w:val="false"/>
          <w:i w:val="false"/>
          <w:color w:val="000000"/>
          <w:sz w:val="28"/>
        </w:rPr>
        <w:t>
      При наличии в пределах микрорайона или улицы многоквартирных домов раздельные сходы многоквартирного дома не проводятся.</w:t>
      </w:r>
    </w:p>
    <w:bookmarkStart w:name="z15" w:id="13"/>
    <w:p>
      <w:pPr>
        <w:spacing w:after="0"/>
        <w:ind w:left="0"/>
        <w:jc w:val="both"/>
      </w:pPr>
      <w:r>
        <w:rPr>
          <w:rFonts w:ascii="Times New Roman"/>
          <w:b w:val="false"/>
          <w:i w:val="false"/>
          <w:color w:val="000000"/>
          <w:sz w:val="28"/>
        </w:rPr>
        <w:t>
      8. Перед открытием раздельного схода местного сообщества проводится регистрация присутствующих жителей соответствующего села, микрорайона, улицы, многоквартирного жилого дома, имеющих право в нем участвовать.</w:t>
      </w:r>
    </w:p>
    <w:bookmarkEnd w:id="13"/>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данном селе, микрорайоне, улице, многоквартирном доме и имеющих право в нем участвовать.</w:t>
      </w:r>
    </w:p>
    <w:bookmarkStart w:name="z16" w:id="14"/>
    <w:p>
      <w:pPr>
        <w:spacing w:after="0"/>
        <w:ind w:left="0"/>
        <w:jc w:val="both"/>
      </w:pPr>
      <w:r>
        <w:rPr>
          <w:rFonts w:ascii="Times New Roman"/>
          <w:b w:val="false"/>
          <w:i w:val="false"/>
          <w:color w:val="000000"/>
          <w:sz w:val="28"/>
        </w:rPr>
        <w:t>
      9. Раздельный сход местного сообщества открывается акимом города районного значения, села, поселка, сельского округа или уполномоченным им лицом.</w:t>
      </w:r>
    </w:p>
    <w:bookmarkEnd w:id="14"/>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города районного значения, села, поселка, сельского округа или уполномоченное им лицо.</w:t>
      </w:r>
    </w:p>
    <w:p>
      <w:pPr>
        <w:spacing w:after="0"/>
        <w:ind w:left="0"/>
        <w:jc w:val="both"/>
      </w:pPr>
      <w:r>
        <w:rPr>
          <w:rFonts w:ascii="Times New Roman"/>
          <w:b w:val="false"/>
          <w:i w:val="false"/>
          <w:color w:val="000000"/>
          <w:sz w:val="28"/>
        </w:rPr>
        <w:t>
      Для оформления протокола раздельного схода местного сообщества открытым голосованием избирается секретарь.</w:t>
      </w:r>
    </w:p>
    <w:bookmarkStart w:name="z17" w:id="15"/>
    <w:p>
      <w:pPr>
        <w:spacing w:after="0"/>
        <w:ind w:left="0"/>
        <w:jc w:val="both"/>
      </w:pPr>
      <w:r>
        <w:rPr>
          <w:rFonts w:ascii="Times New Roman"/>
          <w:b w:val="false"/>
          <w:i w:val="false"/>
          <w:color w:val="000000"/>
          <w:sz w:val="28"/>
        </w:rPr>
        <w:t>
      10. Кандидатуры представителей жителей села, микрорайона, улицы,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маслихатом района.</w:t>
      </w:r>
    </w:p>
    <w:bookmarkEnd w:id="15"/>
    <w:bookmarkStart w:name="z18" w:id="16"/>
    <w:p>
      <w:pPr>
        <w:spacing w:after="0"/>
        <w:ind w:left="0"/>
        <w:jc w:val="both"/>
      </w:pPr>
      <w:r>
        <w:rPr>
          <w:rFonts w:ascii="Times New Roman"/>
          <w:b w:val="false"/>
          <w:i w:val="false"/>
          <w:color w:val="000000"/>
          <w:sz w:val="28"/>
        </w:rPr>
        <w:t>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16"/>
    <w:bookmarkStart w:name="z19" w:id="17"/>
    <w:p>
      <w:pPr>
        <w:spacing w:after="0"/>
        <w:ind w:left="0"/>
        <w:jc w:val="both"/>
      </w:pPr>
      <w:r>
        <w:rPr>
          <w:rFonts w:ascii="Times New Roman"/>
          <w:b w:val="false"/>
          <w:i w:val="false"/>
          <w:color w:val="000000"/>
          <w:sz w:val="28"/>
        </w:rPr>
        <w:t>
      12. На раздельном сходе местного сообщества ведется протокол, который подписывается председателем и секретарем и передается в аппарат акима соответствующего города районного значения, села, поселка и сельского округа.</w:t>
      </w:r>
    </w:p>
    <w:bookmarkEnd w:id="17"/>
    <w:bookmarkStart w:name="z20" w:id="18"/>
    <w:p>
      <w:pPr>
        <w:spacing w:after="0"/>
        <w:ind w:left="0"/>
        <w:jc w:val="left"/>
      </w:pPr>
      <w:r>
        <w:rPr>
          <w:rFonts w:ascii="Times New Roman"/>
          <w:b/>
          <w:i w:val="false"/>
          <w:color w:val="000000"/>
        </w:rPr>
        <w:t xml:space="preserve"> Глава 3. Для участия в сходе местного сообщества на раздельных сходах местного сообщества определить количество представителей</w:t>
      </w:r>
    </w:p>
    <w:bookmarkEnd w:id="18"/>
    <w:bookmarkStart w:name="z21" w:id="19"/>
    <w:p>
      <w:pPr>
        <w:spacing w:after="0"/>
        <w:ind w:left="0"/>
        <w:jc w:val="both"/>
      </w:pPr>
      <w:r>
        <w:rPr>
          <w:rFonts w:ascii="Times New Roman"/>
          <w:b w:val="false"/>
          <w:i w:val="false"/>
          <w:color w:val="000000"/>
          <w:sz w:val="28"/>
        </w:rPr>
        <w:t>
      13. Для участия в сходе местного сообщества на раздельных сходах местного сообщества определить количество представителей села, микрорайона, улиц, многоэтажных жилых домов как ниже указано:</w:t>
      </w:r>
    </w:p>
    <w:bookmarkEnd w:id="19"/>
    <w:p>
      <w:pPr>
        <w:spacing w:after="0"/>
        <w:ind w:left="0"/>
        <w:jc w:val="both"/>
      </w:pPr>
      <w:r>
        <w:rPr>
          <w:rFonts w:ascii="Times New Roman"/>
          <w:b w:val="false"/>
          <w:i w:val="false"/>
          <w:color w:val="000000"/>
          <w:sz w:val="28"/>
        </w:rPr>
        <w:t>
      1) 1-3 тысячи населения – на каждую улицу по 1 представителю;</w:t>
      </w:r>
    </w:p>
    <w:p>
      <w:pPr>
        <w:spacing w:after="0"/>
        <w:ind w:left="0"/>
        <w:jc w:val="both"/>
      </w:pPr>
      <w:r>
        <w:rPr>
          <w:rFonts w:ascii="Times New Roman"/>
          <w:b w:val="false"/>
          <w:i w:val="false"/>
          <w:color w:val="000000"/>
          <w:sz w:val="28"/>
        </w:rPr>
        <w:t>
      2) 2-5 тысячи населения - на микрорайон по 3 представителя, на каждую улицу по 1 представителю;</w:t>
      </w:r>
    </w:p>
    <w:p>
      <w:pPr>
        <w:spacing w:after="0"/>
        <w:ind w:left="0"/>
        <w:jc w:val="both"/>
      </w:pPr>
      <w:r>
        <w:rPr>
          <w:rFonts w:ascii="Times New Roman"/>
          <w:b w:val="false"/>
          <w:i w:val="false"/>
          <w:color w:val="000000"/>
          <w:sz w:val="28"/>
        </w:rPr>
        <w:t>
      3) 2-8 тысячи населения – на микрорайон по 3 представителя, на каждую улицу по 1 представителю;</w:t>
      </w:r>
    </w:p>
    <w:p>
      <w:pPr>
        <w:spacing w:after="0"/>
        <w:ind w:left="0"/>
        <w:jc w:val="both"/>
      </w:pPr>
      <w:r>
        <w:rPr>
          <w:rFonts w:ascii="Times New Roman"/>
          <w:b w:val="false"/>
          <w:i w:val="false"/>
          <w:color w:val="000000"/>
          <w:sz w:val="28"/>
        </w:rPr>
        <w:t>
      4) 10-20 тысячи населения – на микрорайон по 3 представителя, на каждую улицу по 1 представителю.</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