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f673" w14:textId="6fef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Созакского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Созакского районного маслихата Южно-Казахстанской области от 27 марта 2014 года № 162. Зарегистрировано Департаментом юстиции Южно-Казахстанской области 23 апреля 2014 года № 2623. Утратило силу решением Созакского районного маслихата Южно-Казахстанской области от 23 июня 2016 года № 24</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Созакского районного маслихата Южно-Казахстанской области от 23.06.2016 № 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Созакский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Созакского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Настоящий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 XХVІІ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Созакского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Б.Байгараев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Cозакского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Созакского</w:t>
            </w:r>
            <w:r>
              <w:br/>
            </w:r>
            <w:r>
              <w:rPr>
                <w:rFonts w:ascii="Times New Roman"/>
                <w:b w:val="false"/>
                <w:i w:val="false"/>
                <w:color w:val="000000"/>
                <w:sz w:val="20"/>
              </w:rPr>
              <w:t>районного маслихата от 27 марта</w:t>
            </w:r>
            <w:r>
              <w:br/>
            </w:r>
            <w:r>
              <w:rPr>
                <w:rFonts w:ascii="Times New Roman"/>
                <w:b w:val="false"/>
                <w:i w:val="false"/>
                <w:color w:val="000000"/>
                <w:sz w:val="20"/>
              </w:rPr>
              <w:t>2014 года № 162</w:t>
            </w:r>
          </w:p>
        </w:tc>
      </w:tr>
    </w:tbl>
    <w:bookmarkStart w:name="z5" w:id="0"/>
    <w:p>
      <w:pPr>
        <w:spacing w:after="0"/>
        <w:ind w:left="0"/>
        <w:jc w:val="left"/>
      </w:pPr>
      <w:r>
        <w:rPr>
          <w:rFonts w:ascii="Times New Roman"/>
          <w:b/>
          <w:i w:val="false"/>
          <w:color w:val="000000"/>
        </w:rPr>
        <w:t xml:space="preserve"> Регламент Созакского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Созакского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Созакский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районской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государственном языке, текст на русском языке не изменяется в соответствии с решением Созакского районного маслихата Южно-Казахстанской области от 19.03.2015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районный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районом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 утверждение маслихатом представленных акимом района отчетов об исполнении планов, экономических и социальных программ развития района,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районного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районный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районным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