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37a0" w14:textId="7d43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Ордабасынского района от 27 января 2014 года № 35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15 сентября 2014 года № 478. Зарегистрировано Департаментом юстиции Южно-Казахстанской области 24 сентября 2014 года № 2807. Утратило силу в связи с истечением срока применения - (письмо акимата Ордабасынского района Южно-Казахстанской области от 20 февраля 2015 года № 487)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Ордабасынского района Южно-Казахстанской области от 20.02.2015 № 487).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44444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444444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444444"/>
          <w:sz w:val="28"/>
        </w:rPr>
        <w:t xml:space="preserve"> Закона Республики Казахстан от 23 января 2001 года «О занятости населения»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444444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19 июня 2001 года № 836 «О мерах по реализации Закона Республики Казахстан от 23 января 2001 года «О занятости населения»,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Ордабасынского районного акимата от 27 января 2014 года № 35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2528, опубликовано 8 марта 2014 года в газете «Ордабасы оттары»)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444444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44444"/>
          <w:sz w:val="28"/>
        </w:rPr>
        <w:t>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44444"/>
          <w:sz w:val="28"/>
        </w:rPr>
        <w:t>      2. Контроль за исполнением настоящего постановления возложить на заместителя акима района Садирмека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