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569d52" w14:textId="9569d5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порядка расчета ставки арендной платы при передаче в имущественный наем (аренду) коммунального имущества Мактааральского района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Мактааральского района Южно-Казахстанской области от 21 ноября 2014 года № 1274. Зарегистрировано Департаментом юстиции Южно-Казахстанской области 5 декабря 2014 года № 2904. Утратило силу постановлением акимата Мактааральского района Южно-Казахстанской области от 6 мая 2015 года № 526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>постановлением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акимата Мактааральского района Южно-Казахстанской области от 06.05.2015 № 526.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Примечание РЦПИ.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В тексте документа сохранена пунктуация и орфография оригинала.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 марта 2011 года «О государственном имуществе» и </w:t>
      </w:r>
      <w:r>
        <w:rPr>
          <w:rFonts w:ascii="Times New Roman"/>
          <w:b w:val="false"/>
          <w:i w:val="false"/>
          <w:color w:val="000000"/>
          <w:sz w:val="28"/>
        </w:rPr>
        <w:t>пункта 50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 передачи государственного имущества в имущественный наем (аренду), утвержденных постановлением Правительства Республики Казахстан от 13 февраля 2014 года № 88, акимат Мактааральского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 </w:t>
      </w:r>
      <w:r>
        <w:rPr>
          <w:rFonts w:ascii="Times New Roman"/>
          <w:b w:val="false"/>
          <w:i w:val="false"/>
          <w:color w:val="000000"/>
          <w:sz w:val="28"/>
        </w:rPr>
        <w:t>порядок</w:t>
      </w:r>
      <w:r>
        <w:rPr>
          <w:rFonts w:ascii="Times New Roman"/>
          <w:b w:val="false"/>
          <w:i w:val="false"/>
          <w:color w:val="000000"/>
          <w:sz w:val="28"/>
        </w:rPr>
        <w:t xml:space="preserve"> расчета ставки арендной платы при передаче в имущественный наем (аренду) коммунального имущества Мактааральского района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«Отдел экономики и финансов Мактааральского района» в порядке, установленном законодательными актами Республики Казахстан, обеспечить: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направление настоящего постановления на официальное опубликование в периодических печатных изданиях, распространяемых на территории Мактааральского района и информационно-правовой системе «Әділет»;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постановления на интернет-ресурсе акимата Мактааральского района;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заместителя акима района Абжанова 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по истечении десяти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Аким района                                С.Турбеков</w:t>
      </w:r>
      <w:r>
        <w:rPr>
          <w:rFonts w:ascii="Times New Roman"/>
          <w:b w:val="false"/>
          <w:i w:val="false"/>
          <w:color w:val="000000"/>
          <w:sz w:val="28"/>
        </w:rPr>
        <w:t>     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Приложение к постановлению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акимата Мактааральского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 21 ноября 2014 года № 1274</w:t>
      </w:r>
    </w:p>
    <w:bookmarkEnd w:id="1"/>
    <w:bookmarkStart w:name="z7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Порядок расчета ставки арендной платы при передаче в имущественный наем (аренду) Мактааральского районного коммунального имущества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Настоящий Порядок расчета ставки арендной платы при передаче Мактааральского районного коммунального имущества  в имущественный наем (аренду) (далее – </w:t>
      </w:r>
      <w:r>
        <w:rPr>
          <w:rFonts w:ascii="Times New Roman"/>
          <w:b w:val="false"/>
          <w:i w:val="false"/>
          <w:color w:val="000000"/>
          <w:sz w:val="28"/>
        </w:rPr>
        <w:t>Порядок</w:t>
      </w:r>
      <w:r>
        <w:rPr>
          <w:rFonts w:ascii="Times New Roman"/>
          <w:b w:val="false"/>
          <w:i w:val="false"/>
          <w:color w:val="000000"/>
          <w:sz w:val="28"/>
        </w:rPr>
        <w:t>) разработан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50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 передачи государственного имущества в имущественный наем (аренду), утвержденных постановлением Правительства Республики Казахстан от 13 февраля 2014 года № 88, и определяют порядок расчета ставки арендной платы при передаче Мактааральского районного коммунального имущества в имущественный наем (аренду).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Расчет ставки годовой арендной платы при предоставлении в имущественный наем (аренду) объектов государственного нежилого фонда, находящихся на балансе коммунальных юридических лиц района определяется на основании базовых ставок и размеров применяемых коэффициентов, учитывающих тип строения, вид нежилого помещения, степень комфортности, территориальное расположение, вид деятельности нанимателя, организационно-правовую форму нанимателя и осуществляется по формуле: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Ап = Рбс х S х Кт х Кк х Кск х Кр х Квд х Копф,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Ап – ставка арендной платы объектов государственного нежилого фонда, находящихся на балансе коммунальных юридических лиц в год;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Рбс – базовая ставка арендной платы за 1 квадратный метр, тенге в год;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S – арендуемая площадь, квадратный метр;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Кт - коэффициент, учитывающий тип строения;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Кк - коэффициент, учитывающий вид нежилого помещения;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Кск - коэффициент, учитывающий степень комфортности;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Кр - коэффициент, учитывающий территориальное расположение;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Квд - коэффициент, учитывающий вид деятельности нанимателя;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Копф - коэффициент, учитывающий организационно-правовую форму нанимателя.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Базовая ставка арендной платы (Рбс) устанавливается в размере, составляющем 1,5 (полтора) месячных расчетных показателя, утвержденного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«О республиканском бюджете» на соответствующий год.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Расчет ставки годовой арендной платы при предоставлении в имущественный наем (аренду) оборудования, автотранспортных средств и других непотребляемых вещей осуществляется по формуле: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Ап = С х Nam /100 х Кп,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Ап - ставка арендной платы за оборудование, транспортные средства и другие не потребляемые вещи в год;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 - остаточная стоимость оборудования по данным бухгалтерского учета.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сдаче в имущественный наем (аренду) оборудования, транспортных средств и других непотребляемых вещей с начисленным износом 100 процентов остаточная стоимость принимается в размере 10 процентов от первоначальной (восстановительной) стоимости;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Nam - предельные нормы амортизации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120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 Республики Казахстан от 10 декабря 2008 года «О налогах и других обязательных платежах в бюджет» (Налоговый кодекс);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Кп - понижающий коэффициент (применяется при износе оборудования, транспортных средств и других непотребляемых вещей более шестидесяти процентов - в размере 0,8, при предоставлении субъектам малого предпринимательства для организации производственной деятельности и развития сферы услуг населения, за исключением торгово-закупочной (посреднической) деятельности, - в размере 0,5).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При предоставлении объектов государственного нежилого фонда, оборудования и транспортных средств государственным юридическим лицам сумма арендной платы составляет в размере 0 (ноль)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При предоставлении в имущественный наем (аренду) объектов государственного нежилого фонда, находящихся на балансе коммунальных юридических лиц по дням, расчет арендной платы производится исходя из стоимости годовой арендной платы и осуществляется путем математического деления ежемесячной ставки оплаты по имущественному найму на количество рабочих дней в месяц.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Ап.плд. = К / Рд / 2,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Ап. плд. – ставка арендной платы за пол дня;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 - ежемесячная ставка арендной платы (К=Ап/12);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Рд - количество рабочих дней в 1 месяце;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Ап.д. = К / Рд,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Ап. д. – ставка арендной платы за 1 день;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 - ежемесячная ставка арендной платы (К=Ап/12);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Рд - количество рабочих дней в 1 месяце;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При предоставлении в имущественный найм до 4 (четырех) часов включительно применяется Ап.плд, а в случае предоставления свыше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4 (четырех) часов в день применяется Ап.д., но не более 8 (восьми) часов в день.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Ставка оплаты имущественного найма государственного нежилого фонда за день применяется в случаях, когда имущество сдается на неполный день (спортивные, актовые и выставочные залы, учебные аудитории) согласно предоставленному заявителями графику работы, согласованному с балансодержателем имущества. Данный расчет не распространяется на проведение культурно-развлекательных мероприятий.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6. Коэффициенты, применяемые при расчете ставок арендной платы для объектов Мактааральского районного коммунального имущества.     </w:t>
      </w:r>
    </w:p>
    <w:bookmarkEnd w:id="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52"/>
        <w:gridCol w:w="10523"/>
        <w:gridCol w:w="1"/>
        <w:gridCol w:w="1724"/>
      </w:tblGrid>
      <w:tr>
        <w:trPr>
          <w:trHeight w:val="30" w:hRule="atLeast"/>
        </w:trPr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 коэффициентов</w:t>
            </w:r>
          </w:p>
        </w:tc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Размер коэффициента</w:t>
            </w:r>
          </w:p>
        </w:tc>
      </w:tr>
      <w:tr>
        <w:trPr>
          <w:trHeight w:val="30" w:hRule="atLeast"/>
        </w:trPr>
        <w:tc>
          <w:tcPr>
            <w:tcW w:w="35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Коэффициент, учитывающий тип строения (Кт):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1.1 офисное</w:t>
            </w:r>
          </w:p>
        </w:tc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1.2 производственное</w:t>
            </w:r>
          </w:p>
        </w:tc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1.3 складское, гаражное, котельная</w:t>
            </w:r>
          </w:p>
        </w:tc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1.4 спортивные сооружения (стадионы, спортивные залы)</w:t>
            </w:r>
          </w:p>
        </w:tc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0,7</w:t>
            </w:r>
          </w:p>
        </w:tc>
      </w:tr>
      <w:tr>
        <w:trPr>
          <w:trHeight w:val="30" w:hRule="atLeast"/>
        </w:trPr>
        <w:tc>
          <w:tcPr>
            <w:tcW w:w="35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Коэффициент, учитывающий вид нежилого помещения (Кк):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2.1 отдельно стоящее строение</w:t>
            </w:r>
          </w:p>
        </w:tc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2.2 встроено-пристроенная часть</w:t>
            </w:r>
          </w:p>
        </w:tc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2.3 цокольная (полуподвальная) часть</w:t>
            </w:r>
          </w:p>
        </w:tc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2.4 подвальная часть</w:t>
            </w:r>
          </w:p>
        </w:tc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0,6</w:t>
            </w:r>
          </w:p>
        </w:tc>
      </w:tr>
      <w:tr>
        <w:trPr>
          <w:trHeight w:val="30" w:hRule="atLeast"/>
        </w:trPr>
        <w:tc>
          <w:tcPr>
            <w:tcW w:w="35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Коэффициент, учитывающий степень комфортности (Кск):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3.1 для помещений со всеми инженерно-техническими устройствами (электрическая энергия, канализация, водоснабжение, отопление) при отстутствии каких-либо видов коммуникаций уменьшается на 0,1 за каждый вид</w:t>
            </w:r>
          </w:p>
        </w:tc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1,0</w:t>
            </w:r>
          </w:p>
        </w:tc>
      </w:tr>
      <w:tr>
        <w:trPr>
          <w:trHeight w:val="30" w:hRule="atLeast"/>
        </w:trPr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Коэффициент, учитывающий территориальное расположение (Кр):</w:t>
            </w:r>
          </w:p>
        </w:tc>
      </w:tr>
      <w:tr>
        <w:trPr>
          <w:trHeight w:val="30" w:hRule="atLeast"/>
        </w:trPr>
        <w:tc>
          <w:tcPr>
            <w:tcW w:w="35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4.1 для города Жетысай</w:t>
            </w:r>
          </w:p>
        </w:tc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4.2 поселок, село (ауыл)</w:t>
            </w:r>
          </w:p>
        </w:tc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0,5</w:t>
            </w:r>
          </w:p>
        </w:tc>
      </w:tr>
      <w:tr>
        <w:trPr>
          <w:trHeight w:val="30" w:hRule="atLeast"/>
        </w:trPr>
        <w:tc>
          <w:tcPr>
            <w:tcW w:w="35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Коэффициент, учитывающий вид деятельности нанимателя (Квд):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5.1 для расчетно-кассовых центров банков, АО «Казпочта», банкоматов, терминалов для обслуживания населения (в зданиях коммунальных юридических лиц области с ограниченным доступом применяется понижающий коэффициент - 0,5):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районного центра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остальные населенные пункты </w:t>
            </w:r>
          </w:p>
        </w:tc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5.2 для брокерской деятельности и оказания таможенных услуг, обменных пунктов и организаций, деятельность которых связана с рынком ценных бумаг, страховых, инвестиционных компаний, нотариальных контор, адвокатских контор</w:t>
            </w:r>
          </w:p>
        </w:tc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5.3 для организации торговли в зданиях общежитиях учебных заведений</w:t>
            </w:r>
          </w:p>
        </w:tc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5.4 для организации общественного питания</w:t>
            </w:r>
          </w:p>
        </w:tc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5.5 для организации услуг в области: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науки и высшего образования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среднего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дошкольного образования</w:t>
            </w:r>
          </w:p>
        </w:tc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5.6 для организации услуг в области здравоохранения,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культуры и спорта</w:t>
            </w:r>
          </w:p>
        </w:tc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5.7 для организации питания сотрудников, оказания бытовых услуг в зданиях коммунальных юридических лиц области с пропускной системой (ограниченным доступом), а также для столовых и буфетов в учебных заведениях и общежитиях учебных заведений</w:t>
            </w:r>
          </w:p>
        </w:tc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5.8 для видов деятельности, за исключением видов деятельности, указанных в пунктах 5.1-5.7.</w:t>
            </w:r>
          </w:p>
        </w:tc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1,9</w:t>
            </w:r>
          </w:p>
        </w:tc>
      </w:tr>
      <w:tr>
        <w:trPr>
          <w:trHeight w:val="30" w:hRule="atLeast"/>
        </w:trPr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Коэффициент, учитывающий организационно-правовую форму нанимателя (Копф):</w:t>
            </w:r>
          </w:p>
        </w:tc>
      </w:tr>
      <w:tr>
        <w:trPr>
          <w:trHeight w:val="30" w:hRule="atLeast"/>
        </w:trPr>
        <w:tc>
          <w:tcPr>
            <w:tcW w:w="35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6.1 для субъектов малого предпринимательства для организации производственной деятельности и развития сферы услуг населению, за исключением торгово-посреднической деятельности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6.2 для акционерных обществ (товариществ с ограниченной ответственностью) пятьдесят и более процентов акций (долей участия) и получающих не менее 90 процентов дохода от выполнения бюджетных программ, в случае предоставления письменного подтверждения государственного органа, осуществляющего права владения и пользования государственным пакетом акций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6.3 для благотворительных и общественных объединений, некоммерческих организаций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6.4 для остальных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