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a1a3" w14:textId="35ea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Мактааральского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25 апреля 2014 года № 30-171-V. Зарегистрировано Департаментом юстиции Южно-Казахстанской области 4 июня 2014 года № 2679. Утратило силу решением Мактааральского районного маслихата Южно-Казахстанской области от 20 июня 2016 года № 4-21-VI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Южно-Казахстанской области от 20.06.2016 № 4-21-VI.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Мактааральский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Мактааральского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О.Дандибаев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Мактааральского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апреля 2014 года</w:t>
            </w:r>
            <w:r>
              <w:br/>
            </w:r>
            <w:r>
              <w:rPr>
                <w:rFonts w:ascii="Times New Roman"/>
                <w:b w:val="false"/>
                <w:i w:val="false"/>
                <w:color w:val="000000"/>
                <w:sz w:val="20"/>
              </w:rPr>
              <w:t>№ 30-171-V</w:t>
            </w:r>
          </w:p>
        </w:tc>
      </w:tr>
    </w:tbl>
    <w:bookmarkStart w:name="z5" w:id="0"/>
    <w:p>
      <w:pPr>
        <w:spacing w:after="0"/>
        <w:ind w:left="0"/>
        <w:jc w:val="left"/>
      </w:pPr>
      <w:r>
        <w:rPr>
          <w:rFonts w:ascii="Times New Roman"/>
          <w:b/>
          <w:i w:val="false"/>
          <w:color w:val="000000"/>
        </w:rPr>
        <w:t xml:space="preserve"> Регламент Мактааральского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Мактааральского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Мактааральский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Мактааральского районного маслихата Южно-Казахстанской области от 31.03.2015 </w:t>
      </w:r>
      <w:r>
        <w:rPr>
          <w:rFonts w:ascii="Times New Roman"/>
          <w:b w:val="false"/>
          <w:i w:val="false"/>
          <w:color w:val="ff0000"/>
          <w:sz w:val="28"/>
        </w:rPr>
        <w:t>№ 42-254-V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города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районного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