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70fd" w14:textId="0437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Байдибекскому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4 апреля 2014 года № 23/121. Зарегистрировано Департаментом юстиции Южно-Казахстанской области 23 апреля 2014 года № 2621. Утратило силу решением Байдибекского районного маслихата Туркестанской области от 28 августа 2020 года № 55/333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28.08.2020 № 55/333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Байдибекскому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23/121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Байдибекскому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Байдибекского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 или аульных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сложившуюся в районе Байдибек,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10 килограммов в месяц, в том числе на одного человека не более 2,5 килограммов потребления газа баллонного, независимо от наличия или отсутствия центрального горячего водоснабжения.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органов управления объектов кондоминиума.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