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a6ef" w14:textId="dcaa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Туркестанского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Туркестанского городского маслихата Южно-Казахстанской области от 19 марта 2014 года № 25/144-V. Зарегистрировано Департаментом юстиции Южно-Казахстанской области 14 апреля 2014 года № 2606. Утратило силу решением Туркестанского городского маслихата Южно-Казахстанской области от 29 июня 2016 года № 5/19-VI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Туркестанского городского маслихата Южно-Казахстанской области от 29.06.2016 № 5/19-VI.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Туркестанский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Туркестанского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А.Наринбетов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Г.Рысбеков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Туркестанского городского</w:t>
            </w:r>
            <w:r>
              <w:br/>
            </w:r>
            <w:r>
              <w:rPr>
                <w:rFonts w:ascii="Times New Roman"/>
                <w:b w:val="false"/>
                <w:i w:val="false"/>
                <w:color w:val="000000"/>
                <w:sz w:val="20"/>
              </w:rPr>
              <w:t>маслихата от 19 марта</w:t>
            </w:r>
            <w:r>
              <w:br/>
            </w:r>
            <w:r>
              <w:rPr>
                <w:rFonts w:ascii="Times New Roman"/>
                <w:b w:val="false"/>
                <w:i w:val="false"/>
                <w:color w:val="000000"/>
                <w:sz w:val="20"/>
              </w:rPr>
              <w:t>2014 года № 25/144-V</w:t>
            </w:r>
          </w:p>
        </w:tc>
      </w:tr>
    </w:tbl>
    <w:bookmarkStart w:name="z5" w:id="0"/>
    <w:p>
      <w:pPr>
        <w:spacing w:after="0"/>
        <w:ind w:left="0"/>
        <w:jc w:val="left"/>
      </w:pPr>
      <w:r>
        <w:rPr>
          <w:rFonts w:ascii="Times New Roman"/>
          <w:b/>
          <w:i w:val="false"/>
          <w:color w:val="000000"/>
        </w:rPr>
        <w:t xml:space="preserve"> Регламент Туркестанского городского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Туркестанского городского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Туркестанский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городского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городского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городского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городского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городского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городского маслихата созывается председателем городской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городского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городской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городского маслихата созывается не реже четырех раз в год и ведется председателем сессии городского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Туркестанского городского маслихата Южно-Казахстанской области от 27.03.2015 № </w:t>
      </w:r>
      <w:r>
        <w:rPr>
          <w:rFonts w:ascii="Times New Roman"/>
          <w:b w:val="false"/>
          <w:i w:val="false"/>
          <w:color w:val="ff0000"/>
          <w:sz w:val="28"/>
        </w:rPr>
        <w:t>40/232-V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городского маслихата созывается и ведется председателем сессии маслихата по предложению не менее одной трети от числа депутатов, избранных в данный городской маслихат, а также акима города.</w:t>
      </w:r>
      <w:r>
        <w:br/>
      </w:r>
      <w:r>
        <w:rPr>
          <w:rFonts w:ascii="Times New Roman"/>
          <w:b w:val="false"/>
          <w:i w:val="false"/>
          <w:color w:val="000000"/>
          <w:sz w:val="28"/>
        </w:rPr>
        <w:t>
      Внеочередная сессия городского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городского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городского маслихата не позднее чем за пять дней до сессии, а в случае созыва внеочередной сессии не позднее чем за три дня представляет депутатам и акиму города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городского маслихата освобождается от выполнения служебных обязанностей с возмещением ему за счет средств городского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городского маслихата, вопросов, вносимых секретарем маслихата, постоянными комиссиями и иными органами городского маслихата, депутатскими группами и депутатами, акимом города.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 города,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городского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городского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городского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Городской маслихат по вопросам своей компетенции принимает решения большинством голосов от общего числа депутатов городского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городского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городского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городской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городского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городским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городского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города, отчетов об их исполнении, схем управления городом и другие выносимые на рассмотрение сессии городского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городской маслихат за три недели до очередной сессии на рассмотрение постоянных комиссий городского маслихата.</w:t>
      </w:r>
      <w:r>
        <w:br/>
      </w:r>
      <w:r>
        <w:rPr>
          <w:rFonts w:ascii="Times New Roman"/>
          <w:b w:val="false"/>
          <w:i w:val="false"/>
          <w:color w:val="000000"/>
          <w:sz w:val="28"/>
        </w:rPr>
        <w:t>
      </w:t>
      </w:r>
      <w:r>
        <w:rPr>
          <w:rFonts w:ascii="Times New Roman"/>
          <w:b w:val="false"/>
          <w:i w:val="false"/>
          <w:color w:val="000000"/>
          <w:sz w:val="28"/>
        </w:rPr>
        <w:t>28. Проект городского бюджета рассматривается в постоянных комиссиях маслихата. Секретарь городского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городского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городского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городского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Городской бюджет, утверждается на сессии городского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городского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Городской маслихат осуществляет контроль за исполнением городского бюджета, программ развития города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 xml:space="preserve">32. Городской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города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городского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города отчетов об исполнении планов, экономических и социальных программ развития города, городского бюджета является основанием для рассмотрения маслихатом вопроса о выражении недоверия акиму города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Городской маслихат заслушивает отчеты председателя сессии и секретаря городского маслихата, председателей постоянных комиссий и иных органов маслихата.</w:t>
      </w:r>
      <w:r>
        <w:br/>
      </w:r>
      <w:r>
        <w:rPr>
          <w:rFonts w:ascii="Times New Roman"/>
          <w:b w:val="false"/>
          <w:i w:val="false"/>
          <w:color w:val="000000"/>
          <w:sz w:val="28"/>
        </w:rPr>
        <w:t>
      Секретарь городского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городского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Городской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городского маслихата представляется населению сельских округов на сходах местного сообщества группой депутатов, возглавляемой секретарем городского маслихата, председателями постоянных комиссий.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городского маслихата по вопросам, отнесенным к компетенции городского маслихата, обращается с официальным письменным запросом к акиму города,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городского маслихата и рассматриваются на ее заседании при решении вопроса о включении их в повестку дня сессии. Копия запроса направляется секретарем городского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Городской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городского маслихата</w:t>
      </w:r>
      <w:r>
        <w:br/>
      </w:r>
      <w:r>
        <w:rPr>
          <w:rFonts w:ascii="Times New Roman"/>
          <w:b/>
          <w:i w:val="false"/>
          <w:color w:val="000000"/>
        </w:rPr>
        <w:t>5.1. Председатель сессии городского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городского маслихата избирается на предыдущей сессии городского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городского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городского маслихата не может быть избран председателем сессии городского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городского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городского маслихата:</w:t>
      </w:r>
      <w:r>
        <w:br/>
      </w:r>
      <w:r>
        <w:rPr>
          <w:rFonts w:ascii="Times New Roman"/>
          <w:b w:val="false"/>
          <w:i w:val="false"/>
          <w:color w:val="000000"/>
          <w:sz w:val="28"/>
        </w:rPr>
        <w:t>
      1) принимает решение о созыве сессии городского маслихата;</w:t>
      </w:r>
      <w:r>
        <w:br/>
      </w:r>
      <w:r>
        <w:rPr>
          <w:rFonts w:ascii="Times New Roman"/>
          <w:b w:val="false"/>
          <w:i w:val="false"/>
          <w:color w:val="000000"/>
          <w:sz w:val="28"/>
        </w:rPr>
        <w:t>
      2) осуществляет руководство подготовкой сессии городского маслихата, формирует повестку дня сессии;</w:t>
      </w:r>
      <w:r>
        <w:br/>
      </w:r>
      <w:r>
        <w:rPr>
          <w:rFonts w:ascii="Times New Roman"/>
          <w:b w:val="false"/>
          <w:i w:val="false"/>
          <w:color w:val="000000"/>
          <w:sz w:val="28"/>
        </w:rPr>
        <w:t>
      3) ведет заседания сессии городского маслихата, обеспечивает соблюдение регламента городского маслихата;</w:t>
      </w:r>
      <w:r>
        <w:br/>
      </w:r>
      <w:r>
        <w:rPr>
          <w:rFonts w:ascii="Times New Roman"/>
          <w:b w:val="false"/>
          <w:i w:val="false"/>
          <w:color w:val="000000"/>
          <w:sz w:val="28"/>
        </w:rPr>
        <w:t>
      4) подписывает решения городского маслихата, протоколы, иные документы, принятые или утвержденные на сессии городского маслихата.</w:t>
      </w:r>
      <w:r>
        <w:br/>
      </w:r>
      <w:r>
        <w:rPr>
          <w:rFonts w:ascii="Times New Roman"/>
          <w:b w:val="false"/>
          <w:i w:val="false"/>
          <w:color w:val="000000"/>
          <w:sz w:val="28"/>
        </w:rPr>
        <w:t>
      Председатель сессии городского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городского маслихата пользуется правом решающего голоса в случае, если при голосовании на сессии городского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городского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городской маслихат избирает из числа депутатов секретаря городского маслихата, который является должностным лицом, работающим на постоянной основе и подотчетным маслихату. Секретарь городского маслихата избирается на срок полномочий маслихата.</w:t>
      </w:r>
      <w:r>
        <w:br/>
      </w:r>
      <w:r>
        <w:rPr>
          <w:rFonts w:ascii="Times New Roman"/>
          <w:b w:val="false"/>
          <w:i w:val="false"/>
          <w:color w:val="000000"/>
          <w:sz w:val="28"/>
        </w:rPr>
        <w:t xml:space="preserve">
      Секретарь городского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городского маслихата выдвигаются депутатами маслихата на сессии городского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городского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городского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городского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городского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городской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городского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городского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городского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городского маслихата, городской маслихат либо секретарь городского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городского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Городской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городского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городском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городского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городского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городского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городского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городского маслихата, постоянных комиссий и иных органов городского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городского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городского маслихата, не имеющий специальных полномочий на представительство городского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городского маслихата за неисполнение и (или) ненадлежащее исполнение своих обязанностей, а также нарушение правил депутатской этики, установленных регламентом городского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городского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городского маслихата и его органов, оказания помощи депутатам в осуществлении их полномочий образуется аппарат городского маслихата.</w:t>
      </w:r>
      <w:r>
        <w:br/>
      </w:r>
      <w:r>
        <w:rPr>
          <w:rFonts w:ascii="Times New Roman"/>
          <w:b w:val="false"/>
          <w:i w:val="false"/>
          <w:color w:val="000000"/>
          <w:sz w:val="28"/>
        </w:rPr>
        <w:t>
      Аппарат городского маслихата является государственным учреждением, содержащимся за счет городского бюджета.</w:t>
      </w:r>
      <w:r>
        <w:br/>
      </w:r>
      <w:r>
        <w:rPr>
          <w:rFonts w:ascii="Times New Roman"/>
          <w:b w:val="false"/>
          <w:i w:val="false"/>
          <w:color w:val="000000"/>
          <w:sz w:val="28"/>
        </w:rPr>
        <w:t>
      Положение об аппарате городского маслихата утверждается городским маслихатом.</w:t>
      </w:r>
      <w:r>
        <w:br/>
      </w:r>
      <w:r>
        <w:rPr>
          <w:rFonts w:ascii="Times New Roman"/>
          <w:b w:val="false"/>
          <w:i w:val="false"/>
          <w:color w:val="000000"/>
          <w:sz w:val="28"/>
        </w:rPr>
        <w:t>
      </w:t>
      </w:r>
      <w:r>
        <w:rPr>
          <w:rFonts w:ascii="Times New Roman"/>
          <w:b w:val="false"/>
          <w:i w:val="false"/>
          <w:color w:val="000000"/>
          <w:sz w:val="28"/>
        </w:rPr>
        <w:t>66. Городской маслихат утверждает структуру аппарата городского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городского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городского маслихата, в случаях досрочного прекращения полномочий городского маслихата и выборов нового состава его депутатов, деятельность государственных служащих аппарата городского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