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cde3" w14:textId="1abc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Шымкентского городского маслихата от 24 декабря 2013 года № 30/193-5с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22 сентября 2014 года № 40/272-5с. Зарегистрировано Департаментом юстиции Южно-Казахстанской области 21 октября 2014 года № 2835. Утратило силу решением Шымкентского городского маслихата Южно-Казахстанской области от 21 сентября 2016 года № 7/64-6с</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Шымкентского городского маслихата Южно-Казахстанской области от 21.09.2016 № 7/64-6с.</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Шымкентского городского маслихата от 24 декабря 2013 года № 30/193-5с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2501, опубликовано 31 января 2014 года в газете "Панорама Шымкента")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xml:space="preserve">подпункт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8 марта - Международный женский день -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r>
        <w:br/>
      </w:r>
      <w:r>
        <w:rPr>
          <w:rFonts w:ascii="Times New Roman"/>
          <w:b w:val="false"/>
          <w:i w:val="false"/>
          <w:color w:val="000000"/>
          <w:sz w:val="28"/>
        </w:rPr>
        <w:t xml:space="preserve">
      дополнить подпунктом 2-1) </w:t>
      </w:r>
      <w:r>
        <w:rPr>
          <w:rFonts w:ascii="Times New Roman"/>
          <w:b w:val="false"/>
          <w:i w:val="false"/>
          <w:color w:val="000000"/>
          <w:sz w:val="28"/>
        </w:rPr>
        <w:t>пункта 7</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"2-1) 21-23 марта (Наурыз мейрамы) - Семьи погибших военнослужащих,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2 кратного месячного расчетного показателя;</w:t>
      </w:r>
      <w:r>
        <w:br/>
      </w: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2 кратного месячного расчетного показателя;";</w:t>
      </w:r>
      <w:r>
        <w:br/>
      </w: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мая "День защитника Отечества" - военнообязанные, призывавшиеся на учебные сборы и направлявшиеся в Афганистан в период ведения боевых действий, единовременно, в размере 20 месячных расчетных показателей;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единовременно, в размере 20 месячных расчетных показателей;</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20 месячных расчетных показателей;";</w:t>
      </w:r>
      <w:r>
        <w:br/>
      </w: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9 мая "День Победы Великой Отечественной войны" - участники и инвалиды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единовременно в размере 5 кратного месячного расчетного показателя;</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семьи военнослужащих, партизан, подпольщиков, лиц, в указанных статьях 5, 6, 7 и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в размере 5 кратного месячного расчетного показателя;</w:t>
      </w:r>
      <w:r>
        <w:br/>
      </w: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5 кратного месячного расчетного показателя;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участникам и инвалидам Великой Отечественной войны, на улучшение качество жизни, единовременно, в размере 100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А.Ниязов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