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0e6e6" w14:textId="3d0e6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Шымкентского городского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Шымкентского городского маслихата Южно-Казахстанской области от 30 мая 2014 года № 36/248-5с. Зарегистрировано Департаментом юстиции Южно-Казахстанской области 20 июня 2014 года № 2703. Утратило силу ршением Шымкентского городского маслихата Южно-Казахстанской области от 14 июня 2016 года № 3/36-6с</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Шымкентского городского маслихата Южно-Казахстанской области от 14.06.2016 № 3/36-6с.</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Шымкентской городской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Шымкентского городского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Н.Жанабаев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Н.Бекназаров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Утвержден решением</w:t>
      </w:r>
      <w:r>
        <w:br/>
      </w:r>
      <w:r>
        <w:rPr>
          <w:rFonts w:ascii="Times New Roman"/>
          <w:b w:val="false"/>
          <w:i w:val="false"/>
          <w:color w:val="000000"/>
          <w:sz w:val="28"/>
        </w:rPr>
        <w:t>Шымкентского городского</w:t>
      </w:r>
      <w:r>
        <w:br/>
      </w:r>
      <w:r>
        <w:rPr>
          <w:rFonts w:ascii="Times New Roman"/>
          <w:b w:val="false"/>
          <w:i w:val="false"/>
          <w:color w:val="000000"/>
          <w:sz w:val="28"/>
        </w:rPr>
        <w:t>маслихата от 30 мая</w:t>
      </w:r>
      <w:r>
        <w:br/>
      </w:r>
      <w:r>
        <w:rPr>
          <w:rFonts w:ascii="Times New Roman"/>
          <w:b w:val="false"/>
          <w:i w:val="false"/>
          <w:color w:val="000000"/>
          <w:sz w:val="28"/>
        </w:rPr>
        <w:t>2014 года № 36/248-5с</w:t>
      </w:r>
      <w:r>
        <w:br/>
      </w:r>
      <w:r>
        <w:rPr>
          <w:rFonts w:ascii="Times New Roman"/>
          <w:b w:val="false"/>
          <w:i w:val="false"/>
          <w:color w:val="000000"/>
          <w:sz w:val="28"/>
        </w:rPr>
        <w:t>
      </w:t>
      </w:r>
      <w:r>
        <w:rPr>
          <w:rFonts w:ascii="Times New Roman"/>
          <w:b/>
          <w:i w:val="false"/>
          <w:color w:val="000000"/>
          <w:sz w:val="28"/>
        </w:rPr>
        <w:t>Регламент Шымкентского городского маслихата</w:t>
      </w:r>
      <w:r>
        <w:br/>
      </w:r>
      <w:r>
        <w:rPr>
          <w:rFonts w:ascii="Times New Roman"/>
          <w:b/>
          <w:i w:val="false"/>
          <w:color w:val="000000"/>
          <w:sz w:val="28"/>
        </w:rPr>
        <w:t>Раздел 1. Общие положения</w:t>
      </w:r>
      <w:r>
        <w:br/>
      </w:r>
      <w:r>
        <w:rPr>
          <w:rFonts w:ascii="Times New Roman"/>
          <w:b w:val="false"/>
          <w:i w:val="false"/>
          <w:color w:val="000000"/>
          <w:sz w:val="28"/>
        </w:rPr>
        <w:t>
      </w:t>
      </w:r>
      <w:r>
        <w:rPr>
          <w:rFonts w:ascii="Times New Roman"/>
          <w:b w:val="false"/>
          <w:i w:val="false"/>
          <w:color w:val="000000"/>
          <w:sz w:val="28"/>
        </w:rPr>
        <w:t xml:space="preserve">1. Настоящий регламент Шымкентского городского маслихата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w:t>
      </w:r>
      <w:r>
        <w:rPr>
          <w:rFonts w:ascii="Times New Roman"/>
          <w:b w:val="false"/>
          <w:i w:val="false"/>
          <w:color w:val="000000"/>
          <w:sz w:val="28"/>
        </w:rPr>
        <w:t>Закон</w:t>
      </w:r>
      <w:r>
        <w:rPr>
          <w:rFonts w:ascii="Times New Roman"/>
          <w:b w:val="false"/>
          <w:i w:val="false"/>
          <w:color w:val="000000"/>
          <w:sz w:val="28"/>
        </w:rPr>
        <w:t>)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Шымкентской городской маслихат (местный представительный орган) - выборный орган, избираемый населением города,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городского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 </w:t>
      </w:r>
      <w:r>
        <w:br/>
      </w:r>
      <w:r>
        <w:rPr>
          <w:rFonts w:ascii="Times New Roman"/>
          <w:b w:val="false"/>
          <w:i w:val="false"/>
          <w:color w:val="000000"/>
          <w:sz w:val="28"/>
        </w:rPr>
        <w:t>
      </w:t>
      </w:r>
      <w:r>
        <w:rPr>
          <w:rFonts w:ascii="Times New Roman"/>
          <w:b/>
          <w:i w:val="false"/>
          <w:color w:val="000000"/>
          <w:sz w:val="28"/>
        </w:rPr>
        <w:t>Раздел 2. Порядок проведения сессии городского маслихата</w:t>
      </w:r>
      <w:r>
        <w:br/>
      </w:r>
      <w:r>
        <w:rPr>
          <w:rFonts w:ascii="Times New Roman"/>
          <w:b/>
          <w:i w:val="false"/>
          <w:color w:val="000000"/>
          <w:sz w:val="28"/>
        </w:rPr>
        <w:t>Глава 1. Сессии городского маслихата</w:t>
      </w:r>
      <w:r>
        <w:br/>
      </w:r>
      <w:r>
        <w:rPr>
          <w:rFonts w:ascii="Times New Roman"/>
          <w:b w:val="false"/>
          <w:i w:val="false"/>
          <w:color w:val="000000"/>
          <w:sz w:val="28"/>
        </w:rPr>
        <w:t>
      </w:t>
      </w:r>
      <w:r>
        <w:rPr>
          <w:rFonts w:ascii="Times New Roman"/>
          <w:b w:val="false"/>
          <w:i w:val="false"/>
          <w:color w:val="000000"/>
          <w:sz w:val="28"/>
        </w:rPr>
        <w:t>4. Основной формой деятельности городского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городского маслихата правомочна, если на ней присутствует не менее двух третей от общего числа депутатов городского маслихата. Сессия проводится в форме пленарных заседаний.</w:t>
      </w:r>
      <w:r>
        <w:br/>
      </w:r>
      <w:r>
        <w:rPr>
          <w:rFonts w:ascii="Times New Roman"/>
          <w:b w:val="false"/>
          <w:i w:val="false"/>
          <w:color w:val="000000"/>
          <w:sz w:val="28"/>
        </w:rPr>
        <w:t>
      В работе сессии по решению городского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городского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О невозможности присутствовать на заседании сессии, с указанием причины, депутат городского маслихата информирует секретаря городского маслихата не менее чем за день до дня проведения сессии.</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городского маслихата созывается председателем городской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городского маслихата.</w:t>
      </w:r>
      <w:r>
        <w:br/>
      </w:r>
      <w:r>
        <w:rPr>
          <w:rFonts w:ascii="Times New Roman"/>
          <w:b w:val="false"/>
          <w:i w:val="false"/>
          <w:color w:val="000000"/>
          <w:sz w:val="28"/>
        </w:rPr>
        <w:t>
      </w:t>
      </w:r>
      <w:r>
        <w:rPr>
          <w:rFonts w:ascii="Times New Roman"/>
          <w:b w:val="false"/>
          <w:i w:val="false"/>
          <w:color w:val="000000"/>
          <w:sz w:val="28"/>
        </w:rPr>
        <w:t>6. Первую сессию городского маслихата открывает председатель городской территориальной избирательной комиссии и до избрания председателя сессии маслихата ведет ее.</w:t>
      </w:r>
      <w:r>
        <w:br/>
      </w:r>
      <w:r>
        <w:rPr>
          <w:rFonts w:ascii="Times New Roman"/>
          <w:b w:val="false"/>
          <w:i w:val="false"/>
          <w:color w:val="000000"/>
          <w:sz w:val="28"/>
        </w:rPr>
        <w:t>
      Председатель городской территориальной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городского маслихата созывается не реже четырех раз в год и ведется председателем сессии городского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городского маслихата созывается и ведется председателем сессии городского маслихата по предложению не менее одной трети от числа депутатов, избранных в городской маслихат, а также акима города.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городского маслихата сообщает депутатам, населению и акиму города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городского маслихата не позднее чем за пять дней до сессии, а в случае созыва внеочередной сессии не позднее чем за три дня представляет депутатам и акиму города необходимые материалы.</w:t>
      </w:r>
      <w:r>
        <w:br/>
      </w:r>
      <w:r>
        <w:rPr>
          <w:rFonts w:ascii="Times New Roman"/>
          <w:b w:val="false"/>
          <w:i w:val="false"/>
          <w:color w:val="000000"/>
          <w:sz w:val="28"/>
        </w:rPr>
        <w:t>
      </w:t>
      </w:r>
      <w:r>
        <w:rPr>
          <w:rFonts w:ascii="Times New Roman"/>
          <w:b w:val="false"/>
          <w:i w:val="false"/>
          <w:color w:val="000000"/>
          <w:sz w:val="28"/>
        </w:rPr>
        <w:t xml:space="preserve">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w:t>
      </w:r>
      <w:r>
        <w:rPr>
          <w:rFonts w:ascii="Times New Roman"/>
          <w:b w:val="false"/>
          <w:i w:val="false"/>
          <w:color w:val="000000"/>
          <w:sz w:val="28"/>
        </w:rPr>
        <w:t>регламентом</w:t>
      </w:r>
      <w:r>
        <w:rPr>
          <w:rFonts w:ascii="Times New Roman"/>
          <w:b w:val="false"/>
          <w:i w:val="false"/>
          <w:color w:val="000000"/>
          <w:sz w:val="28"/>
        </w:rPr>
        <w:t>, депутат городского маслихата освобождается от выполнения служебных обязанностей с возмещением ему за счет средств городского бюджета средней заработной платы по месту основной работы, но в размере, не превышающем заработную плату руководителя аппарата акима города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городского маслихата, вопросов, вносимых секретарем маслихата, постоянными комиссиями и иными органами городского маслихата, депутатскими группами и депутатами, акимом города.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дополнениям и изменениям повестки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городского маслихата приглашаются депутаты Парламента Республики Казахстан и областного маслихата, аким города,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w:t>
      </w:r>
      <w:r>
        <w:br/>
      </w:r>
      <w:r>
        <w:rPr>
          <w:rFonts w:ascii="Times New Roman"/>
          <w:b w:val="false"/>
          <w:i w:val="false"/>
          <w:color w:val="000000"/>
          <w:sz w:val="28"/>
        </w:rPr>
        <w:t>
      Продолжительность докладов не должна превышать 30 минут, содокладов – 20 минут, информаций – 15 минут, заключительного слова – 10 минут.</w:t>
      </w:r>
      <w:r>
        <w:br/>
      </w:r>
      <w:r>
        <w:rPr>
          <w:rFonts w:ascii="Times New Roman"/>
          <w:b w:val="false"/>
          <w:i w:val="false"/>
          <w:color w:val="000000"/>
          <w:sz w:val="28"/>
        </w:rPr>
        <w:t>
      Выступающим в прениях предоставляется до 10 минут, для повторных выступлениях в прениях, для выступлений при обсуждении проекта решения городского маслихата – до пяти минут, для выступлений по порядку ведения заседания, по мотивам голосования, по обсуждению кандидатур, для заявлений, предложений, обращений, ответов на вопросы, справок – до трех минут.</w:t>
      </w:r>
      <w:r>
        <w:br/>
      </w:r>
      <w:r>
        <w:rPr>
          <w:rFonts w:ascii="Times New Roman"/>
          <w:b w:val="false"/>
          <w:i w:val="false"/>
          <w:color w:val="000000"/>
          <w:sz w:val="28"/>
        </w:rPr>
        <w:t>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xml:space="preserve">
      Вопросы докладчикам подаются в письменном или устном виде. Письменные вопросы подаются председателю сессии и оглашаются на заседании маслихата. </w:t>
      </w:r>
      <w:r>
        <w:br/>
      </w:r>
      <w:r>
        <w:rPr>
          <w:rFonts w:ascii="Times New Roman"/>
          <w:b w:val="false"/>
          <w:i w:val="false"/>
          <w:color w:val="000000"/>
          <w:sz w:val="28"/>
        </w:rPr>
        <w:t>
      </w:t>
      </w:r>
      <w:r>
        <w:rPr>
          <w:rFonts w:ascii="Times New Roman"/>
          <w:b/>
          <w:i w:val="false"/>
          <w:color w:val="000000"/>
          <w:sz w:val="28"/>
        </w:rPr>
        <w:t>Глава 2. Порядок принятия актов городского маслихата</w:t>
      </w:r>
      <w:r>
        <w:br/>
      </w:r>
      <w:r>
        <w:rPr>
          <w:rFonts w:ascii="Times New Roman"/>
          <w:b w:val="false"/>
          <w:i w:val="false"/>
          <w:color w:val="000000"/>
          <w:sz w:val="28"/>
        </w:rPr>
        <w:t>
      </w:t>
      </w:r>
      <w:r>
        <w:rPr>
          <w:rFonts w:ascii="Times New Roman"/>
          <w:b w:val="false"/>
          <w:i w:val="false"/>
          <w:color w:val="000000"/>
          <w:sz w:val="28"/>
        </w:rPr>
        <w:t>18. Городской маслихат по вопросам своей компетенции принимает решения большинством голосов от общего числа депутатов городского маслихата, если иное не установлено законом</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городского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городского маслихата в постоянные комиссии для рассмотрения и подготовки предложений</w:t>
      </w:r>
      <w:r>
        <w:rPr>
          <w:rFonts w:ascii="Times New Roman"/>
          <w:b/>
          <w:i w:val="false"/>
          <w:color w:val="000000"/>
          <w:sz w:val="28"/>
        </w:rPr>
        <w:t>.</w:t>
      </w:r>
      <w:r>
        <w:rPr>
          <w:rFonts w:ascii="Times New Roman"/>
          <w:b w:val="false"/>
          <w:i w:val="false"/>
          <w:color w:val="000000"/>
          <w:sz w:val="28"/>
        </w:rPr>
        <w:t xml:space="preserve">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акимата города городской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Решения городского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городским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городского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города, отчетов об их исполнении, схем управления городом и другие выносимые на рассмотрение сессии городского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городской маслихат за три недели до очередной сессии на рассмотрение постоянных комиссий городского маслихата.</w:t>
      </w:r>
      <w:r>
        <w:br/>
      </w:r>
      <w:r>
        <w:rPr>
          <w:rFonts w:ascii="Times New Roman"/>
          <w:b w:val="false"/>
          <w:i w:val="false"/>
          <w:color w:val="000000"/>
          <w:sz w:val="28"/>
        </w:rPr>
        <w:t>
      </w:t>
      </w:r>
      <w:r>
        <w:rPr>
          <w:rFonts w:ascii="Times New Roman"/>
          <w:b w:val="false"/>
          <w:i w:val="false"/>
          <w:color w:val="000000"/>
          <w:sz w:val="28"/>
        </w:rPr>
        <w:t>28. Проект городского бюджета рассматривается в постоянных комиссиях городского маслихата. Постоянные комиссии городского маслихата создают рабочие группы по рассмотрению проекта бюджета, в составы которых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рабочих групп вырабатывают предложения по проекту городского бюджета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w:t>
      </w:r>
      <w:r>
        <w:br/>
      </w:r>
      <w:r>
        <w:rPr>
          <w:rFonts w:ascii="Times New Roman"/>
          <w:b w:val="false"/>
          <w:i w:val="false"/>
          <w:color w:val="000000"/>
          <w:sz w:val="28"/>
        </w:rPr>
        <w:t>
      Городской бюджет утверждается на сессии городского маслихата не позднее двухнедельного срока после подписания решения областного маслихата об утвержеднии областного бюджета.</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 xml:space="preserve">30. При уточнении городского бюджета на внеочередной сессии городского маслихата в течение двух дней со дня принятия решения о ее созыве проводится работа по рассмотрению уточнений бюджета в постоянных комиссиях. </w:t>
      </w:r>
      <w:r>
        <w:br/>
      </w:r>
      <w:r>
        <w:rPr>
          <w:rFonts w:ascii="Times New Roman"/>
          <w:b w:val="false"/>
          <w:i w:val="false"/>
          <w:color w:val="000000"/>
          <w:sz w:val="28"/>
        </w:rPr>
        <w:t>
      </w:t>
      </w:r>
      <w:r>
        <w:rPr>
          <w:rFonts w:ascii="Times New Roman"/>
          <w:b/>
          <w:i w:val="false"/>
          <w:color w:val="000000"/>
          <w:sz w:val="28"/>
        </w:rPr>
        <w:t>Раздел 3. Порядок заслушивания отчетов</w:t>
      </w:r>
      <w:r>
        <w:br/>
      </w:r>
      <w:r>
        <w:rPr>
          <w:rFonts w:ascii="Times New Roman"/>
          <w:b w:val="false"/>
          <w:i w:val="false"/>
          <w:color w:val="000000"/>
          <w:sz w:val="28"/>
        </w:rPr>
        <w:t>
      </w:t>
      </w:r>
      <w:r>
        <w:rPr>
          <w:rFonts w:ascii="Times New Roman"/>
          <w:b w:val="false"/>
          <w:i w:val="false"/>
          <w:color w:val="000000"/>
          <w:sz w:val="28"/>
        </w:rPr>
        <w:t>31</w:t>
      </w:r>
      <w:r>
        <w:rPr>
          <w:rFonts w:ascii="Times New Roman"/>
          <w:b/>
          <w:i w:val="false"/>
          <w:color w:val="000000"/>
          <w:sz w:val="28"/>
        </w:rPr>
        <w:t xml:space="preserve">. </w:t>
      </w:r>
      <w:r>
        <w:rPr>
          <w:rFonts w:ascii="Times New Roman"/>
          <w:b w:val="false"/>
          <w:i w:val="false"/>
          <w:color w:val="000000"/>
          <w:sz w:val="28"/>
        </w:rPr>
        <w:t>Городской маслихат осуществляет контроль за исполнением городского бюджета, программ развития области путем заслушивания отчетов акима города</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32. Городской маслихат заслушивает на сессии отчет акима города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города о выполнении возложенных на него функций и задач и проект решения по нему вносятся на рассмотрение постоянных комиссий городского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города отчетов об исполнении планов, экономических и социальных программ развития города, городского бюджета является основанием для рассмотрения маслихатом вопроса о выражении недоверия акиму города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Городской маслихат заслушивает отчеты председателя сессии и секретаря городского маслихата, председателей постоянных комиссий и иных органов маслихата.</w:t>
      </w:r>
      <w:r>
        <w:br/>
      </w:r>
      <w:r>
        <w:rPr>
          <w:rFonts w:ascii="Times New Roman"/>
          <w:b w:val="false"/>
          <w:i w:val="false"/>
          <w:color w:val="000000"/>
          <w:sz w:val="28"/>
        </w:rPr>
        <w:t>
      Секретарь городского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Отчеты ревизионной комиссии области об исполнении городского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35. Городской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xml:space="preserve">
      Отчет городского маслихата представляется населению города на сходах местного сообщества группой депутатов, возглавляемой секретарем областного маслихата, председателями постоянных комиссий. </w:t>
      </w:r>
      <w:r>
        <w:br/>
      </w:r>
      <w:r>
        <w:rPr>
          <w:rFonts w:ascii="Times New Roman"/>
          <w:b w:val="false"/>
          <w:i w:val="false"/>
          <w:color w:val="000000"/>
          <w:sz w:val="28"/>
        </w:rPr>
        <w:t>
      </w:t>
      </w:r>
      <w:r>
        <w:rPr>
          <w:rFonts w:ascii="Times New Roman"/>
          <w:b/>
          <w:i w:val="false"/>
          <w:color w:val="000000"/>
          <w:sz w:val="28"/>
        </w:rPr>
        <w:t>Раздел 4. Порядок рассмотрения запросов депутатов</w:t>
      </w:r>
      <w:r>
        <w:br/>
      </w:r>
      <w:r>
        <w:rPr>
          <w:rFonts w:ascii="Times New Roman"/>
          <w:b w:val="false"/>
          <w:i w:val="false"/>
          <w:color w:val="000000"/>
          <w:sz w:val="28"/>
        </w:rPr>
        <w:t>
      </w:t>
      </w:r>
      <w:r>
        <w:rPr>
          <w:rFonts w:ascii="Times New Roman"/>
          <w:b w:val="false"/>
          <w:i w:val="false"/>
          <w:color w:val="000000"/>
          <w:sz w:val="28"/>
        </w:rPr>
        <w:t>36. Депутат городского маслихата по вопросам, отнесенным к компетенции городского маслихата, обращается с официальным письменным запросом к акиму города, председателю и члену городской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городского маслихата и рассматриваются на ее заседании при решении вопроса о включении их в повестку дня сессии. Копия запроса направляется секретарем городского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Городской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 Ответ на депутатский запрос подписывается должностным лицом, к которому он был адресован, либо лицом, официально исполняющим обязанности данного должностного лица.</w:t>
      </w:r>
      <w:r>
        <w:br/>
      </w:r>
      <w:r>
        <w:rPr>
          <w:rFonts w:ascii="Times New Roman"/>
          <w:b w:val="false"/>
          <w:i w:val="false"/>
          <w:color w:val="000000"/>
          <w:sz w:val="28"/>
        </w:rPr>
        <w:t xml:space="preserve">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 </w:t>
      </w:r>
      <w:r>
        <w:br/>
      </w:r>
      <w:r>
        <w:rPr>
          <w:rFonts w:ascii="Times New Roman"/>
          <w:b w:val="false"/>
          <w:i w:val="false"/>
          <w:color w:val="000000"/>
          <w:sz w:val="28"/>
        </w:rPr>
        <w:t>
      </w:t>
      </w:r>
      <w:r>
        <w:rPr>
          <w:rFonts w:ascii="Times New Roman"/>
          <w:b/>
          <w:i w:val="false"/>
          <w:color w:val="000000"/>
          <w:sz w:val="28"/>
        </w:rPr>
        <w:t>Раздел 5. Должностные лица, постоянные комиссии и иные органы маслихата, депутатские объединения городского маслихата</w:t>
      </w:r>
      <w:r>
        <w:br/>
      </w:r>
      <w:r>
        <w:rPr>
          <w:rFonts w:ascii="Times New Roman"/>
          <w:b/>
          <w:i w:val="false"/>
          <w:color w:val="000000"/>
          <w:sz w:val="28"/>
        </w:rPr>
        <w:t>Глава 3. Председатель сессии городского маслихата</w:t>
      </w:r>
      <w:r>
        <w:br/>
      </w:r>
      <w:r>
        <w:rPr>
          <w:rFonts w:ascii="Times New Roman"/>
          <w:b w:val="false"/>
          <w:i w:val="false"/>
          <w:color w:val="000000"/>
          <w:sz w:val="28"/>
        </w:rPr>
        <w:t>
      </w:t>
      </w:r>
      <w:r>
        <w:rPr>
          <w:rFonts w:ascii="Times New Roman"/>
          <w:b w:val="false"/>
          <w:i w:val="false"/>
          <w:color w:val="000000"/>
          <w:sz w:val="28"/>
        </w:rPr>
        <w:t>41. Председатель очередной сессии городского маслихата избирается на предыдущей сессии городского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городского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городского маслихата не может быть избран председателем сессии городского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городского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городского маслихата:</w:t>
      </w:r>
      <w:r>
        <w:br/>
      </w:r>
      <w:r>
        <w:rPr>
          <w:rFonts w:ascii="Times New Roman"/>
          <w:b w:val="false"/>
          <w:i w:val="false"/>
          <w:color w:val="000000"/>
          <w:sz w:val="28"/>
        </w:rPr>
        <w:t>
      1) принимает решение о созыве сессии городского маслихата;</w:t>
      </w:r>
      <w:r>
        <w:br/>
      </w:r>
      <w:r>
        <w:rPr>
          <w:rFonts w:ascii="Times New Roman"/>
          <w:b w:val="false"/>
          <w:i w:val="false"/>
          <w:color w:val="000000"/>
          <w:sz w:val="28"/>
        </w:rPr>
        <w:t>
      2) осуществляет руководство подготовкой сессии городского маслихата, формирует повестку дня сессии;</w:t>
      </w:r>
      <w:r>
        <w:br/>
      </w:r>
      <w:r>
        <w:rPr>
          <w:rFonts w:ascii="Times New Roman"/>
          <w:b w:val="false"/>
          <w:i w:val="false"/>
          <w:color w:val="000000"/>
          <w:sz w:val="28"/>
        </w:rPr>
        <w:t>
      3) ведет заседания сессии городского маслихата, обеспечивает соблюдение регламента городского маслихата;</w:t>
      </w:r>
      <w:r>
        <w:br/>
      </w:r>
      <w:r>
        <w:rPr>
          <w:rFonts w:ascii="Times New Roman"/>
          <w:b w:val="false"/>
          <w:i w:val="false"/>
          <w:color w:val="000000"/>
          <w:sz w:val="28"/>
        </w:rPr>
        <w:t>
      4) подписывает решения городского маслихата, протоколы, иные документы, принятые или утвержденные на сессии городского маслихата.</w:t>
      </w:r>
      <w:r>
        <w:br/>
      </w:r>
      <w:r>
        <w:rPr>
          <w:rFonts w:ascii="Times New Roman"/>
          <w:b w:val="false"/>
          <w:i w:val="false"/>
          <w:color w:val="000000"/>
          <w:sz w:val="28"/>
        </w:rPr>
        <w:t>
      Председатель сессии городского маслихата осуществляет свои функции на неосвобожденной основе.</w:t>
      </w:r>
      <w:r>
        <w:br/>
      </w:r>
      <w:r>
        <w:rPr>
          <w:rFonts w:ascii="Times New Roman"/>
          <w:b w:val="false"/>
          <w:i w:val="false"/>
          <w:color w:val="000000"/>
          <w:sz w:val="28"/>
        </w:rPr>
        <w:t>
      Председатель сессии принимает решения о предоставлении очередного трудового отпуска секретарю городского маслихата, а также о его премировании и командировках за пределы города.</w:t>
      </w:r>
      <w:r>
        <w:br/>
      </w:r>
      <w:r>
        <w:rPr>
          <w:rFonts w:ascii="Times New Roman"/>
          <w:b w:val="false"/>
          <w:i w:val="false"/>
          <w:color w:val="000000"/>
          <w:sz w:val="28"/>
        </w:rPr>
        <w:t>
      </w:t>
      </w:r>
      <w:r>
        <w:rPr>
          <w:rFonts w:ascii="Times New Roman"/>
          <w:b w:val="false"/>
          <w:i w:val="false"/>
          <w:color w:val="000000"/>
          <w:sz w:val="28"/>
        </w:rPr>
        <w:t xml:space="preserve">43. Председатель сессии городского маслихата пользуется правом решающего голоса в случае, если при голосовании на сессии городского маслихата голоса депутатов разделяются поровну. </w:t>
      </w:r>
      <w:r>
        <w:br/>
      </w:r>
      <w:r>
        <w:rPr>
          <w:rFonts w:ascii="Times New Roman"/>
          <w:b w:val="false"/>
          <w:i w:val="false"/>
          <w:color w:val="000000"/>
          <w:sz w:val="28"/>
        </w:rPr>
        <w:t>
      </w:t>
      </w:r>
      <w:r>
        <w:rPr>
          <w:rFonts w:ascii="Times New Roman"/>
          <w:b/>
          <w:i w:val="false"/>
          <w:color w:val="000000"/>
          <w:sz w:val="28"/>
        </w:rPr>
        <w:t>Глава 4. Секретарь городского маслихата</w:t>
      </w:r>
      <w:r>
        <w:br/>
      </w:r>
      <w:r>
        <w:rPr>
          <w:rFonts w:ascii="Times New Roman"/>
          <w:b w:val="false"/>
          <w:i w:val="false"/>
          <w:color w:val="000000"/>
          <w:sz w:val="28"/>
        </w:rPr>
        <w:t>
      </w:t>
      </w:r>
      <w:r>
        <w:rPr>
          <w:rFonts w:ascii="Times New Roman"/>
          <w:b w:val="false"/>
          <w:i w:val="false"/>
          <w:color w:val="000000"/>
          <w:sz w:val="28"/>
        </w:rPr>
        <w:t>44. На первой сессии городской маслихат избирает из числа депутатов секретаря городского маслихата, который является должностным лицом, работающим на постоянной основе и подотчетным маслихату. Секретарь городского маслихата избирается на срок полномочий городского маслихата.</w:t>
      </w:r>
      <w:r>
        <w:br/>
      </w:r>
      <w:r>
        <w:rPr>
          <w:rFonts w:ascii="Times New Roman"/>
          <w:b w:val="false"/>
          <w:i w:val="false"/>
          <w:color w:val="000000"/>
          <w:sz w:val="28"/>
        </w:rPr>
        <w:t xml:space="preserve">
      Секретарь городского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городского маслихата выдвигаются депутатами городского маслихата на сессии городского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городского маслихата, если в результате открытого или тайного голосования он получил большинство голосов от общего числа депутатов городского маслихата.</w:t>
      </w:r>
      <w:r>
        <w:br/>
      </w:r>
      <w:r>
        <w:rPr>
          <w:rFonts w:ascii="Times New Roman"/>
          <w:b w:val="false"/>
          <w:i w:val="false"/>
          <w:color w:val="000000"/>
          <w:sz w:val="28"/>
        </w:rPr>
        <w:t>
      Если на должность секретаря городского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46. Секретарь городского маслихата не праве состоять в постоянных комиссиях городского маслихата. При досрочном прекращении полномочий секретаря городского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Глава 5. Постоянные и временные комиссии областного маслихата</w:t>
      </w:r>
      <w:r>
        <w:br/>
      </w:r>
      <w:r>
        <w:rPr>
          <w:rFonts w:ascii="Times New Roman"/>
          <w:b w:val="false"/>
          <w:i w:val="false"/>
          <w:color w:val="000000"/>
          <w:sz w:val="28"/>
        </w:rPr>
        <w:t>
      </w:t>
      </w:r>
      <w:r>
        <w:rPr>
          <w:rFonts w:ascii="Times New Roman"/>
          <w:b w:val="false"/>
          <w:i w:val="false"/>
          <w:color w:val="000000"/>
          <w:sz w:val="28"/>
        </w:rPr>
        <w:t>47. На срок своих полномочий городской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городского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городским маслихатом по предложению председателя сессии, секретаря городского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городского маслихата выдвигаются на заседании постоянных комиссий. Число кандидатур не ограничивается. Обсуждение на заседании городского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городского маслихата, областной маслихат либо секретарь городского маслихата вправе образовывать временные комиссии. Состав, задачи, сроки полномочий и права временных комиссий определяются городским маслихатом либо секретарем городского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городского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городского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О невозможности присутствовать на заседании постоянной комиссии, с указанием причины, член комиссии информирует председателя постоянной комиссии не менее чем за день до дня проведения комиссии.</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xml:space="preserve">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 </w:t>
      </w:r>
      <w:r>
        <w:br/>
      </w:r>
      <w:r>
        <w:rPr>
          <w:rFonts w:ascii="Times New Roman"/>
          <w:b w:val="false"/>
          <w:i w:val="false"/>
          <w:color w:val="000000"/>
          <w:sz w:val="28"/>
        </w:rPr>
        <w:t>
      </w:t>
      </w:r>
      <w:r>
        <w:rPr>
          <w:rFonts w:ascii="Times New Roman"/>
          <w:b/>
          <w:i w:val="false"/>
          <w:color w:val="000000"/>
          <w:sz w:val="28"/>
        </w:rPr>
        <w:t>Глава 6. Редакционная и счетная комиссия маслихата</w:t>
      </w:r>
      <w:r>
        <w:br/>
      </w:r>
      <w:r>
        <w:rPr>
          <w:rFonts w:ascii="Times New Roman"/>
          <w:b w:val="false"/>
          <w:i w:val="false"/>
          <w:color w:val="000000"/>
          <w:sz w:val="28"/>
        </w:rPr>
        <w:t>
      </w:t>
      </w:r>
      <w:r>
        <w:rPr>
          <w:rFonts w:ascii="Times New Roman"/>
          <w:b w:val="false"/>
          <w:i w:val="false"/>
          <w:color w:val="000000"/>
          <w:sz w:val="28"/>
        </w:rPr>
        <w:t>52. Городской маслихат открытым голосованием из числа депутатов избирает в нечетном количестве составы счетной и редакционной комиссий.</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По решению городского маслихата, принятому открытым голосованием большинством голосов от общего числа присутствующих депутатов, при рассмотрении вопросов может применяться тайное голосование.</w:t>
      </w:r>
      <w:r>
        <w:br/>
      </w:r>
      <w:r>
        <w:rPr>
          <w:rFonts w:ascii="Times New Roman"/>
          <w:b w:val="false"/>
          <w:i w:val="false"/>
          <w:color w:val="000000"/>
          <w:sz w:val="28"/>
        </w:rPr>
        <w:t xml:space="preserve">
      Время и место тайного голосования, порядок его проведения устанавливаются счетной комиссией на основе регламента городского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 </w:t>
      </w:r>
      <w:r>
        <w:br/>
      </w:r>
      <w:r>
        <w:rPr>
          <w:rFonts w:ascii="Times New Roman"/>
          <w:b w:val="false"/>
          <w:i w:val="false"/>
          <w:color w:val="000000"/>
          <w:sz w:val="28"/>
        </w:rPr>
        <w:t>
      </w:t>
      </w:r>
      <w:r>
        <w:rPr>
          <w:rFonts w:ascii="Times New Roman"/>
          <w:b/>
          <w:i w:val="false"/>
          <w:color w:val="000000"/>
          <w:sz w:val="28"/>
        </w:rPr>
        <w:t>Глава 7. Депутатские объединения в городском маслихате</w:t>
      </w:r>
      <w:r>
        <w:br/>
      </w:r>
      <w:r>
        <w:rPr>
          <w:rFonts w:ascii="Times New Roman"/>
          <w:b w:val="false"/>
          <w:i w:val="false"/>
          <w:color w:val="000000"/>
          <w:sz w:val="28"/>
        </w:rPr>
        <w:t>
      </w:t>
      </w:r>
      <w:r>
        <w:rPr>
          <w:rFonts w:ascii="Times New Roman"/>
          <w:b w:val="false"/>
          <w:i w:val="false"/>
          <w:color w:val="000000"/>
          <w:sz w:val="28"/>
        </w:rPr>
        <w:t>55. Депутаты городского маслихата могут создавать депутатские объединения в виде фракций политических партий и иных общественных объединений, депутатских групп. Секретарь городского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r>
        <w:rPr>
          <w:rFonts w:ascii="Times New Roman"/>
          <w:b/>
          <w:i w:val="false"/>
          <w:color w:val="000000"/>
          <w:sz w:val="28"/>
        </w:rPr>
        <w:t>Раздел 6. Депутатская этика</w:t>
      </w:r>
      <w:r>
        <w:br/>
      </w:r>
      <w:r>
        <w:rPr>
          <w:rFonts w:ascii="Times New Roman"/>
          <w:b w:val="false"/>
          <w:i w:val="false"/>
          <w:color w:val="000000"/>
          <w:sz w:val="28"/>
        </w:rPr>
        <w:t>
      </w:t>
      </w:r>
      <w:r>
        <w:rPr>
          <w:rFonts w:ascii="Times New Roman"/>
          <w:b w:val="false"/>
          <w:i w:val="false"/>
          <w:color w:val="000000"/>
          <w:sz w:val="28"/>
        </w:rPr>
        <w:t>59. Депутаты городского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комиссий городского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городского маслихата, постоянных комиссий и иных органов городского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городского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городского маслихата, не имеющий специальных полномочий на представительство городского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городского маслихата за неисполнение и (или) ненадлежащее исполнение своих обязанностей, а также нарушение правил депутатской этики, установленных регламентом городского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w:t>
      </w:r>
      <w:r>
        <w:br/>
      </w:r>
      <w:r>
        <w:rPr>
          <w:rFonts w:ascii="Times New Roman"/>
          <w:b w:val="false"/>
          <w:i w:val="false"/>
          <w:color w:val="000000"/>
          <w:sz w:val="28"/>
        </w:rPr>
        <w:t>
      </w:t>
      </w:r>
      <w:r>
        <w:rPr>
          <w:rFonts w:ascii="Times New Roman"/>
          <w:b/>
          <w:i w:val="false"/>
          <w:color w:val="000000"/>
          <w:sz w:val="28"/>
        </w:rPr>
        <w:t>Раздел 7. Организация работы аппарата городского маслихата</w:t>
      </w:r>
      <w:r>
        <w:br/>
      </w:r>
      <w:r>
        <w:rPr>
          <w:rFonts w:ascii="Times New Roman"/>
          <w:b w:val="false"/>
          <w:i w:val="false"/>
          <w:color w:val="000000"/>
          <w:sz w:val="28"/>
        </w:rPr>
        <w:t>
      </w:t>
      </w:r>
      <w:r>
        <w:rPr>
          <w:rFonts w:ascii="Times New Roman"/>
          <w:b w:val="false"/>
          <w:i w:val="false"/>
          <w:color w:val="000000"/>
          <w:sz w:val="28"/>
        </w:rPr>
        <w:t>65. Для информационно-аналитического, организационно-правового и материально-технического обеспечения деятельности городского маслихата и его органов, оказания помощи депутатам в осуществлении их полномочий образуется аппарат городского маслихата.</w:t>
      </w:r>
      <w:r>
        <w:br/>
      </w:r>
      <w:r>
        <w:rPr>
          <w:rFonts w:ascii="Times New Roman"/>
          <w:b w:val="false"/>
          <w:i w:val="false"/>
          <w:color w:val="000000"/>
          <w:sz w:val="28"/>
        </w:rPr>
        <w:t>
      Аппарат городского маслихата является государственным учреждением, содержащимся за счет городского бюджета.</w:t>
      </w:r>
      <w:r>
        <w:br/>
      </w:r>
      <w:r>
        <w:rPr>
          <w:rFonts w:ascii="Times New Roman"/>
          <w:b w:val="false"/>
          <w:i w:val="false"/>
          <w:color w:val="000000"/>
          <w:sz w:val="28"/>
        </w:rPr>
        <w:t>
      Положение об аппарате городского маслихата утверждается городским маслихатом.</w:t>
      </w:r>
      <w:r>
        <w:br/>
      </w:r>
      <w:r>
        <w:rPr>
          <w:rFonts w:ascii="Times New Roman"/>
          <w:b w:val="false"/>
          <w:i w:val="false"/>
          <w:color w:val="000000"/>
          <w:sz w:val="28"/>
        </w:rPr>
        <w:t>
      </w:t>
      </w:r>
      <w:r>
        <w:rPr>
          <w:rFonts w:ascii="Times New Roman"/>
          <w:b w:val="false"/>
          <w:i w:val="false"/>
          <w:color w:val="000000"/>
          <w:sz w:val="28"/>
        </w:rPr>
        <w:t>66. Городской маслихат утверждает структуру аппарата городского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67. Деятельность государственных служащих аппарата городского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городского маслихата, в случаях досрочного прекращения полномочий городского маслихата и выборов нового состава его депутатов, деятельность государственных служащих аппарата городского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