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8173" w14:textId="d1e8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26 сентября 2014 года № 309. Зарегистрировано Департаментом юстиции Южно-Казахстанской области 4 ноября 2014 года № 2855. Утратило силу постановлением акимата Южно-Казахстанской области от 14 сентября 2015 года № 268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14.09.2015 № 268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Южно-Казахстанской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субсидирования ставки вознаграждения в рамках программы «Дорожная карта бизнеса 2020» согласно приложению 1 к настоящему постановлению;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гарантий в рамках программы «Дорожная карта бизнеса 2020» согласно приложению 2 к настоящему постановлению;</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грантов в рамках программы «Дорожная карта бизнеса 2020» согласно приложению 3 к настоящему постановлению;</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 согласно приложению 4 к настоящему постановлению;</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грантов в рамках программы «Развитие моногородов на 2012-2020 годы» согласно приложению 5 к настоящему постановлению;</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субсидирования ставки вознаграждения в рамках программы «Развитие моногородов на 2012-2020 годы» согласно приложению 6 к настоящему постановлению;</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поддержки по развитию производственной (индустриальной) инфраструктуры в рамках программы «Развитие моногородов на 2012-2020 годы» согласно приложению 7 к настоящему постановлению;</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микрокредитов в рамках программы «Развитие моногородов на 2012-2020 годы» согласно приложению 8 к настоящему постановлению;</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«Управление предпринимательства и индустриально-инновационного развития Южно-Казахстанской области»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Южно-Казахстанской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области Туякбаева С.К.</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Аким области                               А. Мырзахметов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Оспанов Б.</w:t>
      </w:r>
      <w:r>
        <w:br/>
      </w:r>
      <w:r>
        <w:rPr>
          <w:rFonts w:ascii="Times New Roman"/>
          <w:b w:val="false"/>
          <w:i w:val="false"/>
          <w:color w:val="000000"/>
          <w:sz w:val="28"/>
        </w:rPr>
        <w:t>
</w:t>
      </w:r>
      <w:r>
        <w:rPr>
          <w:rFonts w:ascii="Times New Roman"/>
          <w:b w:val="false"/>
          <w:i/>
          <w:color w:val="000000"/>
          <w:sz w:val="28"/>
        </w:rPr>
        <w:t>      Жилкишиев Б.</w:t>
      </w:r>
      <w:r>
        <w:br/>
      </w:r>
      <w:r>
        <w:rPr>
          <w:rFonts w:ascii="Times New Roman"/>
          <w:b w:val="false"/>
          <w:i w:val="false"/>
          <w:color w:val="000000"/>
          <w:sz w:val="28"/>
        </w:rPr>
        <w:t>
</w:t>
      </w:r>
      <w:r>
        <w:rPr>
          <w:rFonts w:ascii="Times New Roman"/>
          <w:b w:val="false"/>
          <w:i/>
          <w:color w:val="000000"/>
          <w:sz w:val="28"/>
        </w:rPr>
        <w:t>      Бектаев А.</w:t>
      </w:r>
      <w:r>
        <w:br/>
      </w:r>
      <w:r>
        <w:rPr>
          <w:rFonts w:ascii="Times New Roman"/>
          <w:b w:val="false"/>
          <w:i w:val="false"/>
          <w:color w:val="000000"/>
          <w:sz w:val="28"/>
        </w:rPr>
        <w:t>
</w:t>
      </w:r>
      <w:r>
        <w:rPr>
          <w:rFonts w:ascii="Times New Roman"/>
          <w:b w:val="false"/>
          <w:i/>
          <w:color w:val="000000"/>
          <w:sz w:val="28"/>
        </w:rPr>
        <w:t>      Каныбеков С.</w:t>
      </w:r>
      <w:r>
        <w:br/>
      </w:r>
      <w:r>
        <w:rPr>
          <w:rFonts w:ascii="Times New Roman"/>
          <w:b w:val="false"/>
          <w:i w:val="false"/>
          <w:color w:val="000000"/>
          <w:sz w:val="28"/>
        </w:rPr>
        <w:t>
</w:t>
      </w:r>
      <w:r>
        <w:rPr>
          <w:rFonts w:ascii="Times New Roman"/>
          <w:b w:val="false"/>
          <w:i/>
          <w:color w:val="000000"/>
          <w:sz w:val="28"/>
        </w:rPr>
        <w:t>      Садыр Е.</w:t>
      </w:r>
      <w:r>
        <w:br/>
      </w:r>
      <w:r>
        <w:rPr>
          <w:rFonts w:ascii="Times New Roman"/>
          <w:b w:val="false"/>
          <w:i w:val="false"/>
          <w:color w:val="000000"/>
          <w:sz w:val="28"/>
        </w:rPr>
        <w:t>
</w:t>
      </w:r>
      <w:r>
        <w:rPr>
          <w:rFonts w:ascii="Times New Roman"/>
          <w:b w:val="false"/>
          <w:i/>
          <w:color w:val="000000"/>
          <w:sz w:val="28"/>
        </w:rPr>
        <w:t>      Туякбаев С.</w:t>
      </w:r>
      <w:r>
        <w:br/>
      </w:r>
      <w:r>
        <w:rPr>
          <w:rFonts w:ascii="Times New Roman"/>
          <w:b w:val="false"/>
          <w:i w:val="false"/>
          <w:color w:val="000000"/>
          <w:sz w:val="28"/>
        </w:rPr>
        <w:t>
</w:t>
      </w:r>
      <w:r>
        <w:rPr>
          <w:rFonts w:ascii="Times New Roman"/>
          <w:b w:val="false"/>
          <w:i/>
          <w:color w:val="000000"/>
          <w:sz w:val="28"/>
        </w:rPr>
        <w:t>      Абдуллаев А.</w:t>
      </w:r>
      <w:r>
        <w:br/>
      </w:r>
      <w:r>
        <w:rPr>
          <w:rFonts w:ascii="Times New Roman"/>
          <w:b w:val="false"/>
          <w:i w:val="false"/>
          <w:color w:val="000000"/>
          <w:sz w:val="28"/>
        </w:rPr>
        <w:t>
</w:t>
      </w:r>
      <w:r>
        <w:rPr>
          <w:rFonts w:ascii="Times New Roman"/>
          <w:b w:val="false"/>
          <w:i/>
          <w:color w:val="000000"/>
          <w:sz w:val="28"/>
        </w:rPr>
        <w:t>      Исаева Р.</w:t>
      </w:r>
    </w:p>
    <w:bookmarkStart w:name="z1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«26» сентября 2014 года № 309</w:t>
      </w:r>
    </w:p>
    <w:bookmarkEnd w:id="1"/>
    <w:bookmarkStart w:name="z15" w:id="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субсидирования ставки вознаграждения в рамках программы «Дорожная карта бизнеса 2020»</w:t>
      </w:r>
    </w:p>
    <w:bookmarkEnd w:id="2"/>
    <w:bookmarkStart w:name="z16" w:id="3"/>
    <w:p>
      <w:pPr>
        <w:spacing w:after="0"/>
        <w:ind w:left="0"/>
        <w:jc w:val="left"/>
      </w:pPr>
      <w:r>
        <w:rPr>
          <w:rFonts w:ascii="Times New Roman"/>
          <w:b/>
          <w:i w:val="false"/>
          <w:color w:val="000000"/>
        </w:rPr>
        <w:t xml:space="preserve"> 
1. Общие положения</w:t>
      </w:r>
    </w:p>
    <w:bookmarkEnd w:id="3"/>
    <w:bookmarkStart w:name="z17" w:id="4"/>
    <w:p>
      <w:pPr>
        <w:spacing w:after="0"/>
        <w:ind w:left="0"/>
        <w:jc w:val="both"/>
      </w:pPr>
      <w:r>
        <w:rPr>
          <w:rFonts w:ascii="Times New Roman"/>
          <w:b w:val="false"/>
          <w:i w:val="false"/>
          <w:color w:val="000000"/>
          <w:sz w:val="28"/>
        </w:rPr>
        <w:t>
      1. Государственная услуга «Предоставление субсидирования ставки вознаграждения в рамках программы «Дорожная карта бизнеса 2020» (далее – государственная услуга) оказывается Управлением предпринимательства и индустриально-инновационного развития акимата Южно-Казахстанской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 (далее - РКС).</w:t>
      </w:r>
    </w:p>
    <w:bookmarkEnd w:id="4"/>
    <w:bookmarkStart w:name="z20"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
    <w:bookmarkStart w:name="z21" w:id="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субсидирования ставки вознаграждения в рамках программы «Дорожная карта бизнеса 2020»,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выдается копия заявления услугополучателю со штампом регистрации (входящий номер, дата) не более 20 (двадцати) минут и передает материалы руководителю услугодателя;</w:t>
      </w:r>
      <w:r>
        <w:br/>
      </w:r>
      <w:r>
        <w:rPr>
          <w:rFonts w:ascii="Times New Roman"/>
          <w:b w:val="false"/>
          <w:i w:val="false"/>
          <w:color w:val="000000"/>
          <w:sz w:val="28"/>
        </w:rPr>
        <w:t>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2) руководитель ознакамливается с документами и передает ответственному исполнителю (не более 10 (десяти) минут);</w:t>
      </w:r>
      <w:r>
        <w:br/>
      </w:r>
      <w:r>
        <w:rPr>
          <w:rFonts w:ascii="Times New Roman"/>
          <w:b w:val="false"/>
          <w:i w:val="false"/>
          <w:color w:val="000000"/>
          <w:sz w:val="28"/>
        </w:rPr>
        <w:t>
      3) ответственный исполнитель изучает документы и выносит на рассмотрение РКС не более 12 (двенадцати) календарных дней;</w:t>
      </w:r>
      <w:r>
        <w:br/>
      </w:r>
      <w:r>
        <w:rPr>
          <w:rFonts w:ascii="Times New Roman"/>
          <w:b w:val="false"/>
          <w:i w:val="false"/>
          <w:color w:val="000000"/>
          <w:sz w:val="28"/>
        </w:rPr>
        <w:t>
      4) РКС рассматривает проекты на соответствие критериям Программы «Дорожная карта бизнеса 2020» и в соответствии с приоритетами региона принимает решение о возможности (или невозможности) субсидирования.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5)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календарного дня.</w:t>
      </w:r>
    </w:p>
    <w:bookmarkEnd w:id="6"/>
    <w:bookmarkStart w:name="z23" w:id="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
    <w:bookmarkStart w:name="z24" w:id="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субсидирования ставки вознаграждения в рамках программы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8"/>
    <w:bookmarkStart w:name="z26"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субсидирования</w:t>
      </w:r>
      <w:r>
        <w:br/>
      </w:r>
      <w:r>
        <w:rPr>
          <w:rFonts w:ascii="Times New Roman"/>
          <w:b w:val="false"/>
          <w:i w:val="false"/>
          <w:color w:val="000000"/>
          <w:sz w:val="28"/>
        </w:rPr>
        <w:t>
      ставки вознаграждения в рамках программы</w:t>
      </w:r>
      <w:r>
        <w:br/>
      </w:r>
      <w:r>
        <w:rPr>
          <w:rFonts w:ascii="Times New Roman"/>
          <w:b w:val="false"/>
          <w:i w:val="false"/>
          <w:color w:val="000000"/>
          <w:sz w:val="28"/>
        </w:rPr>
        <w:t>
      «Дорожная карта бизнеса 2020»</w:t>
      </w:r>
    </w:p>
    <w:bookmarkEnd w:id="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w:t>
      </w:r>
      <w:r>
        <w:drawing>
          <wp:inline distT="0" distB="0" distL="0" distR="0">
            <wp:extent cx="60198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19800" cy="5422900"/>
                    </a:xfrm>
                    <a:prstGeom prst="rect">
                      <a:avLst/>
                    </a:prstGeom>
                  </pic:spPr>
                </pic:pic>
              </a:graphicData>
            </a:graphic>
          </wp:inline>
        </w:drawing>
      </w:r>
    </w:p>
    <w:bookmarkStart w:name="z27" w:id="1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субсидирования</w:t>
      </w:r>
      <w:r>
        <w:br/>
      </w:r>
      <w:r>
        <w:rPr>
          <w:rFonts w:ascii="Times New Roman"/>
          <w:b w:val="false"/>
          <w:i w:val="false"/>
          <w:color w:val="000000"/>
          <w:sz w:val="28"/>
        </w:rPr>
        <w:t>
      ставки вознаграждения в рамках программы</w:t>
      </w:r>
      <w:r>
        <w:br/>
      </w:r>
      <w:r>
        <w:rPr>
          <w:rFonts w:ascii="Times New Roman"/>
          <w:b w:val="false"/>
          <w:i w:val="false"/>
          <w:color w:val="000000"/>
          <w:sz w:val="28"/>
        </w:rPr>
        <w:t>
      «Дорожная карта бизнеса 2020»</w:t>
      </w:r>
    </w:p>
    <w:bookmarkEnd w:id="10"/>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субсидирования ставки вознаграждения в рамках программы «Дорожная карта бизнеса 2020»</w:t>
      </w:r>
    </w:p>
    <w:p>
      <w:pPr>
        <w:spacing w:after="0"/>
        <w:ind w:left="0"/>
        <w:jc w:val="both"/>
      </w:pPr>
      <w:r>
        <w:rPr>
          <w:rFonts w:ascii="Times New Roman"/>
          <w:b w:val="false"/>
          <w:i w:val="false"/>
          <w:color w:val="000000"/>
          <w:sz w:val="28"/>
        </w:rPr>
        <w:t>      </w:t>
      </w:r>
      <w:r>
        <w:drawing>
          <wp:inline distT="0" distB="0" distL="0" distR="0">
            <wp:extent cx="71120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0" cy="6985000"/>
                    </a:xfrm>
                    <a:prstGeom prst="rect">
                      <a:avLst/>
                    </a:prstGeom>
                  </pic:spPr>
                </pic:pic>
              </a:graphicData>
            </a:graphic>
          </wp:inline>
        </w:drawing>
      </w:r>
    </w:p>
    <w:bookmarkStart w:name="z28" w:id="1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«26» сентября 2014 года № 309</w:t>
      </w:r>
    </w:p>
    <w:bookmarkEnd w:id="11"/>
    <w:bookmarkStart w:name="z29" w:id="12"/>
    <w:p>
      <w:pPr>
        <w:spacing w:after="0"/>
        <w:ind w:left="0"/>
        <w:jc w:val="left"/>
      </w:pPr>
      <w:r>
        <w:rPr>
          <w:rFonts w:ascii="Times New Roman"/>
          <w:b/>
          <w:i w:val="false"/>
          <w:color w:val="000000"/>
        </w:rPr>
        <w:t xml:space="preserve"> 
      Регламент государственной услуги «Предоставление гарантий в рамках программы «Дорожная карта бизнеса 2020» </w:t>
      </w:r>
    </w:p>
    <w:bookmarkEnd w:id="12"/>
    <w:bookmarkStart w:name="z30" w:id="13"/>
    <w:p>
      <w:pPr>
        <w:spacing w:after="0"/>
        <w:ind w:left="0"/>
        <w:jc w:val="left"/>
      </w:pPr>
      <w:r>
        <w:rPr>
          <w:rFonts w:ascii="Times New Roman"/>
          <w:b/>
          <w:i w:val="false"/>
          <w:color w:val="000000"/>
        </w:rPr>
        <w:t xml:space="preserve"> 
      1. Общие положения</w:t>
      </w:r>
    </w:p>
    <w:bookmarkEnd w:id="13"/>
    <w:bookmarkStart w:name="z31" w:id="14"/>
    <w:p>
      <w:pPr>
        <w:spacing w:after="0"/>
        <w:ind w:left="0"/>
        <w:jc w:val="both"/>
      </w:pPr>
      <w:r>
        <w:rPr>
          <w:rFonts w:ascii="Times New Roman"/>
          <w:b w:val="false"/>
          <w:i w:val="false"/>
          <w:color w:val="000000"/>
          <w:sz w:val="28"/>
        </w:rPr>
        <w:t>
      1. Государственная услуга «Предоставление гарантий в рамках программы «Дорожная карта бизнеса 2020» (далее – государственная услуга) оказывается Управлением предпринимательства и индустриально-инновационного развития акимата Южно-Казахстанской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 (далее - РКС).</w:t>
      </w:r>
    </w:p>
    <w:bookmarkEnd w:id="14"/>
    <w:bookmarkStart w:name="z34" w:id="15"/>
    <w:p>
      <w:pPr>
        <w:spacing w:after="0"/>
        <w:ind w:left="0"/>
        <w:jc w:val="left"/>
      </w:pPr>
      <w:r>
        <w:rPr>
          <w:rFonts w:ascii="Times New Roman"/>
          <w:b/>
          <w:i w:val="false"/>
          <w:color w:val="000000"/>
        </w:rPr>
        <w:t xml:space="preserve"> 
      2. Описание порядка действий </w:t>
      </w:r>
      <w:r>
        <w:br/>
      </w:r>
      <w:r>
        <w:rPr>
          <w:rFonts w:ascii="Times New Roman"/>
          <w:b/>
          <w:i w:val="false"/>
          <w:color w:val="000000"/>
        </w:rPr>
        <w:t>
структурных подразделений (работников) услугодателя в процессе оказания государственной услуги</w:t>
      </w:r>
    </w:p>
    <w:bookmarkEnd w:id="15"/>
    <w:bookmarkStart w:name="z35" w:id="1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гарантий в рамках программы «Дорожная карта бизнеса 2020»,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канцелярией услугодателя выдается копия заявления получателю со штампом регистрации (входящий номер, дата) не более 20 (двадцати) минут и передает материалы руководителю услугодателя.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2) руководитель ознакамливается с материалами и передает ответственному исполнителю услугодателя не более 10 (десяти) минут;</w:t>
      </w:r>
      <w:r>
        <w:br/>
      </w:r>
      <w:r>
        <w:rPr>
          <w:rFonts w:ascii="Times New Roman"/>
          <w:b w:val="false"/>
          <w:i w:val="false"/>
          <w:color w:val="000000"/>
          <w:sz w:val="28"/>
        </w:rPr>
        <w:t>
      3) ответственный исполнитель изучает документы и выносится на рассмотрение РКС не более 12 (двенадцати) календарных дней;</w:t>
      </w:r>
      <w:r>
        <w:br/>
      </w:r>
      <w:r>
        <w:rPr>
          <w:rFonts w:ascii="Times New Roman"/>
          <w:b w:val="false"/>
          <w:i w:val="false"/>
          <w:color w:val="000000"/>
          <w:sz w:val="28"/>
        </w:rPr>
        <w:t>
      4) РКС рассматривает проекты на соответствие критериям Программы «Дорожная карта бизнеса 2020» и в соответствии с приоритетами региона принимает решение о возможности (или невозможности) гарантирования.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5)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дня.</w:t>
      </w:r>
    </w:p>
    <w:bookmarkEnd w:id="16"/>
    <w:bookmarkStart w:name="z37" w:id="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
    <w:bookmarkStart w:name="z38" w:id="1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гарантий в рамках программы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18"/>
    <w:bookmarkStart w:name="z40" w:id="1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гарантий в рамках</w:t>
      </w:r>
      <w:r>
        <w:br/>
      </w:r>
      <w:r>
        <w:rPr>
          <w:rFonts w:ascii="Times New Roman"/>
          <w:b w:val="false"/>
          <w:i w:val="false"/>
          <w:color w:val="000000"/>
          <w:sz w:val="28"/>
        </w:rPr>
        <w:t>
      программы «Дорожная карта бизнеса 2020»</w:t>
      </w:r>
    </w:p>
    <w:bookmarkEnd w:id="1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w:t>
      </w:r>
      <w:r>
        <w:drawing>
          <wp:inline distT="0" distB="0" distL="0" distR="0">
            <wp:extent cx="59436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43600" cy="5842000"/>
                    </a:xfrm>
                    <a:prstGeom prst="rect">
                      <a:avLst/>
                    </a:prstGeom>
                  </pic:spPr>
                </pic:pic>
              </a:graphicData>
            </a:graphic>
          </wp:inline>
        </w:drawing>
      </w:r>
      <w:r>
        <w:rPr>
          <w:rFonts w:ascii="Times New Roman"/>
          <w:b w:val="false"/>
          <w:i w:val="false"/>
          <w:color w:val="000000"/>
          <w:sz w:val="28"/>
        </w:rPr>
        <w:t> </w:t>
      </w:r>
    </w:p>
    <w:bookmarkStart w:name="z41" w:id="2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гарантий в рамках</w:t>
      </w:r>
      <w:r>
        <w:br/>
      </w:r>
      <w:r>
        <w:rPr>
          <w:rFonts w:ascii="Times New Roman"/>
          <w:b w:val="false"/>
          <w:i w:val="false"/>
          <w:color w:val="000000"/>
          <w:sz w:val="28"/>
        </w:rPr>
        <w:t>
      программы «Дорожная карта бизнеса 2020»</w:t>
      </w:r>
    </w:p>
    <w:bookmarkEnd w:id="20"/>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гарантий в рамках программы «Дорожная карта бизнеса 2020»</w:t>
      </w:r>
    </w:p>
    <w:p>
      <w:pPr>
        <w:spacing w:after="0"/>
        <w:ind w:left="0"/>
        <w:jc w:val="both"/>
      </w:pPr>
      <w:r>
        <w:rPr>
          <w:rFonts w:ascii="Times New Roman"/>
          <w:b w:val="false"/>
          <w:i w:val="false"/>
          <w:color w:val="000000"/>
          <w:sz w:val="28"/>
        </w:rPr>
        <w:t>      </w:t>
      </w:r>
      <w:r>
        <w:drawing>
          <wp:inline distT="0" distB="0" distL="0" distR="0">
            <wp:extent cx="68961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7175500"/>
                    </a:xfrm>
                    <a:prstGeom prst="rect">
                      <a:avLst/>
                    </a:prstGeom>
                  </pic:spPr>
                </pic:pic>
              </a:graphicData>
            </a:graphic>
          </wp:inline>
        </w:drawing>
      </w:r>
    </w:p>
    <w:bookmarkStart w:name="z42" w:id="2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«26» сентября 2014 года № 309</w:t>
      </w:r>
    </w:p>
    <w:bookmarkEnd w:id="21"/>
    <w:bookmarkStart w:name="z43" w:id="2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грантов в рамках программы «Дорожная карта бизнеса 2020»</w:t>
      </w:r>
    </w:p>
    <w:bookmarkEnd w:id="22"/>
    <w:bookmarkStart w:name="z44" w:id="23"/>
    <w:p>
      <w:pPr>
        <w:spacing w:after="0"/>
        <w:ind w:left="0"/>
        <w:jc w:val="left"/>
      </w:pPr>
      <w:r>
        <w:rPr>
          <w:rFonts w:ascii="Times New Roman"/>
          <w:b/>
          <w:i w:val="false"/>
          <w:color w:val="000000"/>
        </w:rPr>
        <w:t xml:space="preserve"> 
1. Общие положения</w:t>
      </w:r>
    </w:p>
    <w:bookmarkEnd w:id="23"/>
    <w:bookmarkStart w:name="z45" w:id="24"/>
    <w:p>
      <w:pPr>
        <w:spacing w:after="0"/>
        <w:ind w:left="0"/>
        <w:jc w:val="both"/>
      </w:pPr>
      <w:r>
        <w:rPr>
          <w:rFonts w:ascii="Times New Roman"/>
          <w:b w:val="false"/>
          <w:i w:val="false"/>
          <w:color w:val="000000"/>
          <w:sz w:val="28"/>
        </w:rPr>
        <w:t>
      1. Государственная услуга «Предоставление грантов в рамках программы «Дорожная карта бизнеса 2020» (далее – государственная услуга) оказывается Управлением предпринимательства и индустриально-инновационного развития акимата Южно-Казахстанской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 (далее - РКС).</w:t>
      </w:r>
    </w:p>
    <w:bookmarkEnd w:id="24"/>
    <w:bookmarkStart w:name="z48" w:id="25"/>
    <w:p>
      <w:pPr>
        <w:spacing w:after="0"/>
        <w:ind w:left="0"/>
        <w:jc w:val="left"/>
      </w:pPr>
      <w:r>
        <w:rPr>
          <w:rFonts w:ascii="Times New Roman"/>
          <w:b/>
          <w:i w:val="false"/>
          <w:color w:val="000000"/>
        </w:rPr>
        <w:t xml:space="preserve"> 
2. Описание порядка действий </w:t>
      </w:r>
      <w:r>
        <w:br/>
      </w:r>
      <w:r>
        <w:rPr>
          <w:rFonts w:ascii="Times New Roman"/>
          <w:b/>
          <w:i w:val="false"/>
          <w:color w:val="000000"/>
        </w:rPr>
        <w:t>
структурных подразделений (работников) услугодателя в процессе оказания государственной услуги</w:t>
      </w:r>
    </w:p>
    <w:bookmarkEnd w:id="25"/>
    <w:bookmarkStart w:name="z49" w:id="2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заявка на участие в конкурсном отборе по предоставлению грантов.</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канцелярии услугодателя принимает заявку на участие в конкурсном отборе по предоставлению грантов. Если документы соответствуют указанным требованиям, то канцелярией услугодателя выдается копия заявления получателю со штампом регистрации (входящий номер, дата) не более 20 (двадцати) минут и передает материалы руководителю услугодателя. Если документы не соответствуют указанным требованиям, то канцелярией услугодателя возвращает документы услугополучателю не более 10 (десяти) минут;</w:t>
      </w:r>
      <w:r>
        <w:br/>
      </w:r>
      <w:r>
        <w:rPr>
          <w:rFonts w:ascii="Times New Roman"/>
          <w:b w:val="false"/>
          <w:i w:val="false"/>
          <w:color w:val="000000"/>
          <w:sz w:val="28"/>
        </w:rPr>
        <w:t>
      2) руководитель ознакамливается с документами и передает ответственному исполнителю не более 10 (десяти) минут);</w:t>
      </w:r>
      <w:r>
        <w:br/>
      </w:r>
      <w:r>
        <w:rPr>
          <w:rFonts w:ascii="Times New Roman"/>
          <w:b w:val="false"/>
          <w:i w:val="false"/>
          <w:color w:val="000000"/>
          <w:sz w:val="28"/>
        </w:rPr>
        <w:t>
      3) ответственный исполнитель после получения документов осуществляет проверку их полноты и организует заседание Конкурсной комиссии в течение 3 (трех) календарных дней;</w:t>
      </w:r>
      <w:r>
        <w:br/>
      </w:r>
      <w:r>
        <w:rPr>
          <w:rFonts w:ascii="Times New Roman"/>
          <w:b w:val="false"/>
          <w:i w:val="false"/>
          <w:color w:val="000000"/>
          <w:sz w:val="28"/>
        </w:rPr>
        <w:t>
      4) Конкурсная комиссия при рассмотрении документов дает рекомендации на основании критериев оценки бизнес-проекта услугополучателя не более 2 (двух) календарных дней;</w:t>
      </w:r>
      <w:r>
        <w:br/>
      </w:r>
      <w:r>
        <w:rPr>
          <w:rFonts w:ascii="Times New Roman"/>
          <w:b w:val="false"/>
          <w:i w:val="false"/>
          <w:color w:val="000000"/>
          <w:sz w:val="28"/>
        </w:rPr>
        <w:t>
      Рекомендации о предоставлении/непредоставлении услугополучателю гранта оформляется протоколом Конкурсной комиссии с указанием причин возможности предоставления/непредоставления гранта и передает ответственному исполнителю не более 1 (одного) календарного дня;</w:t>
      </w:r>
      <w:r>
        <w:br/>
      </w:r>
      <w:r>
        <w:rPr>
          <w:rFonts w:ascii="Times New Roman"/>
          <w:b w:val="false"/>
          <w:i w:val="false"/>
          <w:color w:val="000000"/>
          <w:sz w:val="28"/>
        </w:rPr>
        <w:t>
      5) По результатам проведенного конкурса ответственный исполнитель в течение 4 (четырех) календарных дня направляет на рассмотрение РКС протокол Конкурсной комиссии;</w:t>
      </w:r>
      <w:r>
        <w:br/>
      </w:r>
      <w:r>
        <w:rPr>
          <w:rFonts w:ascii="Times New Roman"/>
          <w:b w:val="false"/>
          <w:i w:val="false"/>
          <w:color w:val="000000"/>
          <w:sz w:val="28"/>
        </w:rPr>
        <w:t>
      РКС в течение 2 (двух) календарных дней осуществляет следующие мероприятия:</w:t>
      </w:r>
      <w:r>
        <w:br/>
      </w:r>
      <w:r>
        <w:rPr>
          <w:rFonts w:ascii="Times New Roman"/>
          <w:b w:val="false"/>
          <w:i w:val="false"/>
          <w:color w:val="000000"/>
          <w:sz w:val="28"/>
        </w:rPr>
        <w:t>
      рассмотрение рекомендаций Конкурсной комиссии по предоставлению/ непредоставлению средств гранта. Обсуждение между членами РКС проекта услугополучателя и представленных документов. По результатам обсуждения производит отбор бизнес-проектов услугополучателя и принимает решение о возможности/ невозможности предоставления гранта, которое оформляется протоколом и протокол передается ответственному исполнителю не более 2 (двух) календарных дней;</w:t>
      </w:r>
      <w:r>
        <w:br/>
      </w:r>
      <w:r>
        <w:rPr>
          <w:rFonts w:ascii="Times New Roman"/>
          <w:b w:val="false"/>
          <w:i w:val="false"/>
          <w:color w:val="000000"/>
          <w:sz w:val="28"/>
        </w:rPr>
        <w:t xml:space="preserve">
      6)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календарного дня. </w:t>
      </w:r>
    </w:p>
    <w:bookmarkEnd w:id="26"/>
    <w:bookmarkStart w:name="z51" w:id="2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7"/>
    <w:bookmarkStart w:name="z52" w:id="2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Конкурсная комиссия;</w:t>
      </w:r>
      <w:r>
        <w:br/>
      </w:r>
      <w:r>
        <w:rPr>
          <w:rFonts w:ascii="Times New Roman"/>
          <w:b w:val="false"/>
          <w:i w:val="false"/>
          <w:color w:val="000000"/>
          <w:sz w:val="28"/>
        </w:rPr>
        <w:t>
      5)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грантов в рамках программы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28"/>
    <w:bookmarkStart w:name="z54" w:id="2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грантов в рамках</w:t>
      </w:r>
      <w:r>
        <w:br/>
      </w:r>
      <w:r>
        <w:rPr>
          <w:rFonts w:ascii="Times New Roman"/>
          <w:b w:val="false"/>
          <w:i w:val="false"/>
          <w:color w:val="000000"/>
          <w:sz w:val="28"/>
        </w:rPr>
        <w:t>
      программы «Дорожная карта бизнеса 2020»</w:t>
      </w:r>
    </w:p>
    <w:bookmarkEnd w:id="2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w:t>
      </w:r>
      <w:r>
        <w:drawing>
          <wp:inline distT="0" distB="0" distL="0" distR="0">
            <wp:extent cx="59563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56300" cy="6908800"/>
                    </a:xfrm>
                    <a:prstGeom prst="rect">
                      <a:avLst/>
                    </a:prstGeom>
                  </pic:spPr>
                </pic:pic>
              </a:graphicData>
            </a:graphic>
          </wp:inline>
        </w:drawing>
      </w:r>
      <w:r>
        <w:rPr>
          <w:rFonts w:ascii="Times New Roman"/>
          <w:b w:val="false"/>
          <w:i w:val="false"/>
          <w:color w:val="000000"/>
          <w:sz w:val="28"/>
        </w:rPr>
        <w:t> </w:t>
      </w:r>
    </w:p>
    <w:bookmarkStart w:name="z55" w:id="3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грантов в рамках</w:t>
      </w:r>
      <w:r>
        <w:br/>
      </w:r>
      <w:r>
        <w:rPr>
          <w:rFonts w:ascii="Times New Roman"/>
          <w:b w:val="false"/>
          <w:i w:val="false"/>
          <w:color w:val="000000"/>
          <w:sz w:val="28"/>
        </w:rPr>
        <w:t>
      программы «Дорожная карта бизнеса 2020»</w:t>
      </w:r>
    </w:p>
    <w:bookmarkEnd w:id="30"/>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грантов в рамках программы «Дорожная карта бизнеса 2020»</w:t>
      </w:r>
    </w:p>
    <w:p>
      <w:pPr>
        <w:spacing w:after="0"/>
        <w:ind w:left="0"/>
        <w:jc w:val="both"/>
      </w:pPr>
      <w:r>
        <w:rPr>
          <w:rFonts w:ascii="Times New Roman"/>
          <w:b w:val="false"/>
          <w:i w:val="false"/>
          <w:color w:val="000000"/>
          <w:sz w:val="28"/>
        </w:rPr>
        <w:t>      </w:t>
      </w:r>
      <w:r>
        <w:drawing>
          <wp:inline distT="0" distB="0" distL="0" distR="0">
            <wp:extent cx="70612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8166100"/>
                    </a:xfrm>
                    <a:prstGeom prst="rect">
                      <a:avLst/>
                    </a:prstGeom>
                  </pic:spPr>
                </pic:pic>
              </a:graphicData>
            </a:graphic>
          </wp:inline>
        </w:drawing>
      </w:r>
    </w:p>
    <w:bookmarkStart w:name="z56" w:id="3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«26» сентября 2014 года № 309</w:t>
      </w:r>
    </w:p>
    <w:bookmarkEnd w:id="31"/>
    <w:bookmarkStart w:name="z57" w:id="3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w:t>
      </w:r>
    </w:p>
    <w:bookmarkEnd w:id="32"/>
    <w:bookmarkStart w:name="z58" w:id="33"/>
    <w:p>
      <w:pPr>
        <w:spacing w:after="0"/>
        <w:ind w:left="0"/>
        <w:jc w:val="left"/>
      </w:pPr>
      <w:r>
        <w:rPr>
          <w:rFonts w:ascii="Times New Roman"/>
          <w:b/>
          <w:i w:val="false"/>
          <w:color w:val="000000"/>
        </w:rPr>
        <w:t xml:space="preserve"> 
1. Общие положения</w:t>
      </w:r>
    </w:p>
    <w:bookmarkEnd w:id="33"/>
    <w:bookmarkStart w:name="z59" w:id="34"/>
    <w:p>
      <w:pPr>
        <w:spacing w:after="0"/>
        <w:ind w:left="0"/>
        <w:jc w:val="both"/>
      </w:pPr>
      <w:r>
        <w:rPr>
          <w:rFonts w:ascii="Times New Roman"/>
          <w:b w:val="false"/>
          <w:i w:val="false"/>
          <w:color w:val="000000"/>
          <w:sz w:val="28"/>
        </w:rPr>
        <w:t>
      1. Государственная услуга «Предоставление поддержки по развитию производственной (индустриальной) инфраструктуры в рамках программы «Дорожная карта бизнеса 2020» (далее – государственная услуга) оказывается Управлением предпринимательства и индустриально-инновационного развития акимата Южно-Казахстанской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3. Результатом оказываемой государственной услуги является выписка из протокола заседания Регионального координационного совета (далее - РКС). </w:t>
      </w:r>
    </w:p>
    <w:bookmarkEnd w:id="34"/>
    <w:bookmarkStart w:name="z62" w:id="3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5"/>
    <w:bookmarkStart w:name="z63" w:id="3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выдается копия заявления услугополучателю со штампом регистрации (входящий номер, дата) не более 20 (двадцати) минут и передает материалы руководителю услугодателя;</w:t>
      </w:r>
      <w:r>
        <w:br/>
      </w:r>
      <w:r>
        <w:rPr>
          <w:rFonts w:ascii="Times New Roman"/>
          <w:b w:val="false"/>
          <w:i w:val="false"/>
          <w:color w:val="000000"/>
          <w:sz w:val="28"/>
        </w:rPr>
        <w:t>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2) руководитель ознакамливается с документами и передает ответственному исполнителю не более 10 (десяти) минут;</w:t>
      </w:r>
      <w:r>
        <w:br/>
      </w:r>
      <w:r>
        <w:rPr>
          <w:rFonts w:ascii="Times New Roman"/>
          <w:b w:val="false"/>
          <w:i w:val="false"/>
          <w:color w:val="000000"/>
          <w:sz w:val="28"/>
        </w:rPr>
        <w:t>
      3) ответственный исполнитель изучает документы и выносит на рассмотрение РКС не более 12 (двенадцати) календарных дней;</w:t>
      </w:r>
      <w:r>
        <w:br/>
      </w:r>
      <w:r>
        <w:rPr>
          <w:rFonts w:ascii="Times New Roman"/>
          <w:b w:val="false"/>
          <w:i w:val="false"/>
          <w:color w:val="000000"/>
          <w:sz w:val="28"/>
        </w:rPr>
        <w:t>
      4) РКС рассматривает проекты на соответствие критериям Программы «Дорожная карта бизнеса 2020» и в соответствии с приоритетами региона принимает решение о возможности (или невозможности) предоставления поддержки по развитию производственной (индустриальной) инфраструктуры.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5)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календарного дня.</w:t>
      </w:r>
    </w:p>
    <w:bookmarkEnd w:id="36"/>
    <w:bookmarkStart w:name="z65" w:id="3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7"/>
    <w:bookmarkStart w:name="z66" w:id="3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38"/>
    <w:bookmarkStart w:name="z68" w:id="3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поддержки по развитию</w:t>
      </w:r>
      <w:r>
        <w:br/>
      </w:r>
      <w:r>
        <w:rPr>
          <w:rFonts w:ascii="Times New Roman"/>
          <w:b w:val="false"/>
          <w:i w:val="false"/>
          <w:color w:val="000000"/>
          <w:sz w:val="28"/>
        </w:rPr>
        <w:t>
      производственной (индустриальной)</w:t>
      </w:r>
      <w:r>
        <w:br/>
      </w:r>
      <w:r>
        <w:rPr>
          <w:rFonts w:ascii="Times New Roman"/>
          <w:b w:val="false"/>
          <w:i w:val="false"/>
          <w:color w:val="000000"/>
          <w:sz w:val="28"/>
        </w:rPr>
        <w:t>
      инфраструктуры в рамках программы</w:t>
      </w:r>
      <w:r>
        <w:br/>
      </w:r>
      <w:r>
        <w:rPr>
          <w:rFonts w:ascii="Times New Roman"/>
          <w:b w:val="false"/>
          <w:i w:val="false"/>
          <w:color w:val="000000"/>
          <w:sz w:val="28"/>
        </w:rPr>
        <w:t>
      «Дорожная карта бизнеса 2020»</w:t>
      </w:r>
    </w:p>
    <w:bookmarkEnd w:id="3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w:t>
      </w:r>
      <w:r>
        <w:drawing>
          <wp:inline distT="0" distB="0" distL="0" distR="0">
            <wp:extent cx="59944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94400" cy="5803900"/>
                    </a:xfrm>
                    <a:prstGeom prst="rect">
                      <a:avLst/>
                    </a:prstGeom>
                  </pic:spPr>
                </pic:pic>
              </a:graphicData>
            </a:graphic>
          </wp:inline>
        </w:drawing>
      </w:r>
    </w:p>
    <w:bookmarkStart w:name="z69" w:id="4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поддержки по развитию</w:t>
      </w:r>
      <w:r>
        <w:br/>
      </w:r>
      <w:r>
        <w:rPr>
          <w:rFonts w:ascii="Times New Roman"/>
          <w:b w:val="false"/>
          <w:i w:val="false"/>
          <w:color w:val="000000"/>
          <w:sz w:val="28"/>
        </w:rPr>
        <w:t>
      производственной (индустриальной)</w:t>
      </w:r>
      <w:r>
        <w:br/>
      </w:r>
      <w:r>
        <w:rPr>
          <w:rFonts w:ascii="Times New Roman"/>
          <w:b w:val="false"/>
          <w:i w:val="false"/>
          <w:color w:val="000000"/>
          <w:sz w:val="28"/>
        </w:rPr>
        <w:t>
      инфраструктуры в рамках программы</w:t>
      </w:r>
      <w:r>
        <w:br/>
      </w:r>
      <w:r>
        <w:rPr>
          <w:rFonts w:ascii="Times New Roman"/>
          <w:b w:val="false"/>
          <w:i w:val="false"/>
          <w:color w:val="000000"/>
          <w:sz w:val="28"/>
        </w:rPr>
        <w:t>
      «Дорожная карта бизнеса 2020»</w:t>
      </w:r>
    </w:p>
    <w:bookmarkEnd w:id="40"/>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w:t>
      </w:r>
    </w:p>
    <w:p>
      <w:pPr>
        <w:spacing w:after="0"/>
        <w:ind w:left="0"/>
        <w:jc w:val="both"/>
      </w:pPr>
      <w:r>
        <w:rPr>
          <w:rFonts w:ascii="Times New Roman"/>
          <w:b w:val="false"/>
          <w:i w:val="false"/>
          <w:color w:val="000000"/>
          <w:sz w:val="28"/>
        </w:rPr>
        <w:t>      </w:t>
      </w:r>
      <w:r>
        <w:drawing>
          <wp:inline distT="0" distB="0" distL="0" distR="0">
            <wp:extent cx="69850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85000" cy="7137400"/>
                    </a:xfrm>
                    <a:prstGeom prst="rect">
                      <a:avLst/>
                    </a:prstGeom>
                  </pic:spPr>
                </pic:pic>
              </a:graphicData>
            </a:graphic>
          </wp:inline>
        </w:drawing>
      </w:r>
    </w:p>
    <w:bookmarkStart w:name="z70" w:id="4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«26» сентября 2014 года № 309</w:t>
      </w:r>
    </w:p>
    <w:bookmarkEnd w:id="41"/>
    <w:bookmarkStart w:name="z71" w:id="4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грантов в рамках программы «Развитие моногородов на 2012-2020 годы»</w:t>
      </w:r>
    </w:p>
    <w:bookmarkEnd w:id="42"/>
    <w:bookmarkStart w:name="z72" w:id="43"/>
    <w:p>
      <w:pPr>
        <w:spacing w:after="0"/>
        <w:ind w:left="0"/>
        <w:jc w:val="left"/>
      </w:pPr>
      <w:r>
        <w:rPr>
          <w:rFonts w:ascii="Times New Roman"/>
          <w:b/>
          <w:i w:val="false"/>
          <w:color w:val="000000"/>
        </w:rPr>
        <w:t xml:space="preserve"> 
1. Общие положения</w:t>
      </w:r>
    </w:p>
    <w:bookmarkEnd w:id="43"/>
    <w:bookmarkStart w:name="z73" w:id="44"/>
    <w:p>
      <w:pPr>
        <w:spacing w:after="0"/>
        <w:ind w:left="0"/>
        <w:jc w:val="both"/>
      </w:pPr>
      <w:r>
        <w:rPr>
          <w:rFonts w:ascii="Times New Roman"/>
          <w:b w:val="false"/>
          <w:i w:val="false"/>
          <w:color w:val="000000"/>
          <w:sz w:val="28"/>
        </w:rPr>
        <w:t>
      1. Государственная услуга «Предоставление грантов в рамках программы «Развитие моногородов на 2012-2020 годы» (далее – государственная услуга) оказывается Управлением предпринимательства и индустриально-инновационного развития Южно-Казахстанской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 (далее - РКС).      </w:t>
      </w:r>
    </w:p>
    <w:bookmarkEnd w:id="44"/>
    <w:bookmarkStart w:name="z76" w:id="45"/>
    <w:p>
      <w:pPr>
        <w:spacing w:after="0"/>
        <w:ind w:left="0"/>
        <w:jc w:val="left"/>
      </w:pPr>
      <w:r>
        <w:rPr>
          <w:rFonts w:ascii="Times New Roman"/>
          <w:b/>
          <w:i w:val="false"/>
          <w:color w:val="000000"/>
        </w:rPr>
        <w:t xml:space="preserve"> 
      2. Описание порядка действий </w:t>
      </w:r>
      <w:r>
        <w:br/>
      </w:r>
      <w:r>
        <w:rPr>
          <w:rFonts w:ascii="Times New Roman"/>
          <w:b/>
          <w:i w:val="false"/>
          <w:color w:val="000000"/>
        </w:rPr>
        <w:t>
структурных подразделений (работников) услугодателя в процессе оказания государственной услуги</w:t>
      </w:r>
    </w:p>
    <w:bookmarkEnd w:id="45"/>
    <w:bookmarkStart w:name="z77" w:id="4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грантов в рамках программы «Развитие моногородов на 2012-2020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канцелярией услугодателя выдается копия заявления услугополучателю со штампом регистрации (входящий номер, дата) не более 20 (двадцати) минут и передает материалы руководителю услугодателя.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2) руководитель услугодателя ознакамливается с материалами и передает ответственному исполнителю услугодателя не более 10 (десяти) минут;</w:t>
      </w:r>
      <w:r>
        <w:br/>
      </w:r>
      <w:r>
        <w:rPr>
          <w:rFonts w:ascii="Times New Roman"/>
          <w:b w:val="false"/>
          <w:i w:val="false"/>
          <w:color w:val="000000"/>
          <w:sz w:val="28"/>
        </w:rPr>
        <w:t>
      3) ответственный исполнитель изучает документы не более 5 (пяти) календарных дней и направляет услугодателю не более 1 (одного) календарного дня на рассмотрение на РКС не более 2 (двух) календарных дней; ответственный исполнитель канцелярии услугодатель принимает документы и передает руководителю не более 1 (одного) календарного дня;</w:t>
      </w:r>
      <w:r>
        <w:br/>
      </w:r>
      <w:r>
        <w:rPr>
          <w:rFonts w:ascii="Times New Roman"/>
          <w:b w:val="false"/>
          <w:i w:val="false"/>
          <w:color w:val="000000"/>
          <w:sz w:val="28"/>
        </w:rPr>
        <w:t>
      4) руководитель ознакамливается с материалами и передает ответственному исполнителю не более 30 (тридцати) минут;</w:t>
      </w:r>
      <w:r>
        <w:br/>
      </w:r>
      <w:r>
        <w:rPr>
          <w:rFonts w:ascii="Times New Roman"/>
          <w:b w:val="false"/>
          <w:i w:val="false"/>
          <w:color w:val="000000"/>
          <w:sz w:val="28"/>
        </w:rPr>
        <w:t>
      5) ответственный исполнитель изучает документы и выносится на РКС для рассмотрения проектов на соответствие критериям Программы «Развитие моногородов на 2012-2020 годы» и принимает решение о возможности (или невозможности) предоставления грантов не более 3 (трех) календарных дней.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6)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течении 1 (одного) календарного дня;</w:t>
      </w:r>
      <w:r>
        <w:br/>
      </w:r>
      <w:r>
        <w:rPr>
          <w:rFonts w:ascii="Times New Roman"/>
          <w:b w:val="false"/>
          <w:i w:val="false"/>
          <w:color w:val="000000"/>
          <w:sz w:val="28"/>
        </w:rPr>
        <w:t xml:space="preserve">
      7) ответственный исполнитель услугодателя принимает выписку из протокола и выдает услугополучателю. </w:t>
      </w:r>
    </w:p>
    <w:bookmarkEnd w:id="46"/>
    <w:bookmarkStart w:name="z79" w:id="47"/>
    <w:p>
      <w:pPr>
        <w:spacing w:after="0"/>
        <w:ind w:left="0"/>
        <w:jc w:val="left"/>
      </w:pPr>
      <w:r>
        <w:rPr>
          <w:rFonts w:ascii="Times New Roman"/>
          <w:b/>
          <w:i w:val="false"/>
          <w:color w:val="000000"/>
        </w:rPr>
        <w:t xml:space="preserve"> 
3. Описание порядка взаимодействия </w:t>
      </w:r>
      <w:r>
        <w:br/>
      </w:r>
      <w:r>
        <w:rPr>
          <w:rFonts w:ascii="Times New Roman"/>
          <w:b/>
          <w:i w:val="false"/>
          <w:color w:val="000000"/>
        </w:rPr>
        <w:t>
структурных подразделений (работников) услугодателя в процессе оказания государственной услуги</w:t>
      </w:r>
    </w:p>
    <w:bookmarkEnd w:id="47"/>
    <w:bookmarkStart w:name="z80" w:id="4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руководитель услугодателя;</w:t>
      </w:r>
      <w:r>
        <w:br/>
      </w:r>
      <w:r>
        <w:rPr>
          <w:rFonts w:ascii="Times New Roman"/>
          <w:b w:val="false"/>
          <w:i w:val="false"/>
          <w:color w:val="000000"/>
          <w:sz w:val="28"/>
        </w:rPr>
        <w:t>
      5) канцелярия услугодателя;</w:t>
      </w:r>
      <w:r>
        <w:br/>
      </w:r>
      <w:r>
        <w:rPr>
          <w:rFonts w:ascii="Times New Roman"/>
          <w:b w:val="false"/>
          <w:i w:val="false"/>
          <w:color w:val="000000"/>
          <w:sz w:val="28"/>
        </w:rPr>
        <w:t>
      6) ответственный исполнитель услугодателя;</w:t>
      </w:r>
      <w:r>
        <w:br/>
      </w:r>
      <w:r>
        <w:rPr>
          <w:rFonts w:ascii="Times New Roman"/>
          <w:b w:val="false"/>
          <w:i w:val="false"/>
          <w:color w:val="000000"/>
          <w:sz w:val="28"/>
        </w:rPr>
        <w:t>
      7)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грантов в рамках программы «Развитие моногородов на 2012-2020 годы»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48"/>
    <w:bookmarkStart w:name="z82" w:id="4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грантов в рамках</w:t>
      </w:r>
      <w:r>
        <w:br/>
      </w:r>
      <w:r>
        <w:rPr>
          <w:rFonts w:ascii="Times New Roman"/>
          <w:b w:val="false"/>
          <w:i w:val="false"/>
          <w:color w:val="000000"/>
          <w:sz w:val="28"/>
        </w:rPr>
        <w:t>
      программы «Развитие моногородов</w:t>
      </w:r>
      <w:r>
        <w:br/>
      </w:r>
      <w:r>
        <w:rPr>
          <w:rFonts w:ascii="Times New Roman"/>
          <w:b w:val="false"/>
          <w:i w:val="false"/>
          <w:color w:val="000000"/>
          <w:sz w:val="28"/>
        </w:rPr>
        <w:t>
      на 2012-2020 годы»</w:t>
      </w:r>
    </w:p>
    <w:bookmarkEnd w:id="4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w:t>
      </w:r>
      <w:r>
        <w:drawing>
          <wp:inline distT="0" distB="0" distL="0" distR="0">
            <wp:extent cx="59309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30900" cy="7112000"/>
                    </a:xfrm>
                    <a:prstGeom prst="rect">
                      <a:avLst/>
                    </a:prstGeom>
                  </pic:spPr>
                </pic:pic>
              </a:graphicData>
            </a:graphic>
          </wp:inline>
        </w:drawing>
      </w:r>
    </w:p>
    <w:bookmarkStart w:name="z83" w:id="5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грантов в рамках</w:t>
      </w:r>
      <w:r>
        <w:br/>
      </w:r>
      <w:r>
        <w:rPr>
          <w:rFonts w:ascii="Times New Roman"/>
          <w:b w:val="false"/>
          <w:i w:val="false"/>
          <w:color w:val="000000"/>
          <w:sz w:val="28"/>
        </w:rPr>
        <w:t>
      программы «Развитие моногородов</w:t>
      </w:r>
      <w:r>
        <w:br/>
      </w:r>
      <w:r>
        <w:rPr>
          <w:rFonts w:ascii="Times New Roman"/>
          <w:b w:val="false"/>
          <w:i w:val="false"/>
          <w:color w:val="000000"/>
          <w:sz w:val="28"/>
        </w:rPr>
        <w:t>
      на 2012-2020 годы»</w:t>
      </w:r>
    </w:p>
    <w:bookmarkEnd w:id="50"/>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грантов в рамках программы «Развитие моногородов на 2012-2020 годы»</w:t>
      </w:r>
    </w:p>
    <w:p>
      <w:pPr>
        <w:spacing w:after="0"/>
        <w:ind w:left="0"/>
        <w:jc w:val="both"/>
      </w:pPr>
      <w:r>
        <w:rPr>
          <w:rFonts w:ascii="Times New Roman"/>
          <w:b w:val="false"/>
          <w:i w:val="false"/>
          <w:color w:val="000000"/>
          <w:sz w:val="28"/>
        </w:rPr>
        <w:t>      </w:t>
      </w:r>
      <w:r>
        <w:drawing>
          <wp:inline distT="0" distB="0" distL="0" distR="0">
            <wp:extent cx="6959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59600" cy="8115300"/>
                    </a:xfrm>
                    <a:prstGeom prst="rect">
                      <a:avLst/>
                    </a:prstGeom>
                  </pic:spPr>
                </pic:pic>
              </a:graphicData>
            </a:graphic>
          </wp:inline>
        </w:drawing>
      </w:r>
    </w:p>
    <w:bookmarkStart w:name="z84" w:id="51"/>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«26» сентября 2014 года № 309</w:t>
      </w:r>
    </w:p>
    <w:bookmarkEnd w:id="51"/>
    <w:bookmarkStart w:name="z85" w:id="5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субсидирования ставки вознаграждения в рамках программы «Развитие моногородов на 2012-2020 годы»</w:t>
      </w:r>
    </w:p>
    <w:bookmarkEnd w:id="52"/>
    <w:bookmarkStart w:name="z86" w:id="53"/>
    <w:p>
      <w:pPr>
        <w:spacing w:after="0"/>
        <w:ind w:left="0"/>
        <w:jc w:val="left"/>
      </w:pPr>
      <w:r>
        <w:rPr>
          <w:rFonts w:ascii="Times New Roman"/>
          <w:b/>
          <w:i w:val="false"/>
          <w:color w:val="000000"/>
        </w:rPr>
        <w:t xml:space="preserve"> 
1. Общие положения</w:t>
      </w:r>
    </w:p>
    <w:bookmarkEnd w:id="53"/>
    <w:bookmarkStart w:name="z87" w:id="54"/>
    <w:p>
      <w:pPr>
        <w:spacing w:after="0"/>
        <w:ind w:left="0"/>
        <w:jc w:val="both"/>
      </w:pPr>
      <w:r>
        <w:rPr>
          <w:rFonts w:ascii="Times New Roman"/>
          <w:b w:val="false"/>
          <w:i w:val="false"/>
          <w:color w:val="000000"/>
          <w:sz w:val="28"/>
        </w:rPr>
        <w:t>
      1. Государственная услуга «Предоставление субсидирования ставки вознаграждения в рамках программы «Развитие моногородов на 2012-2020 годы» (далее – государственная услуга) оказывается Управлением предпринимательства и индустриально-инновационного развития Южно-Казахстанской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3. Результатом оказываемой государственной услуги является выписка из протокола заседания Регионального координационного совета (далее - РКС). </w:t>
      </w:r>
    </w:p>
    <w:bookmarkEnd w:id="54"/>
    <w:bookmarkStart w:name="z90" w:id="5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5"/>
    <w:bookmarkStart w:name="z91" w:id="5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субсидирования ставки вознаграждения в рамках программы «Развитие моногородов на 2012-2020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канцелярией услугодателя выдается копия заявления услугополучателю со штампом регистрации (входящий номер, дата) не более 20 (двадцати) минут и передает материалы руководителю услугодателя.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2) руководитель услугодателя ознакамливается с материалами и передает ответственному исполнителю услугодателя не более 10 (десяти) минут;</w:t>
      </w:r>
      <w:r>
        <w:br/>
      </w:r>
      <w:r>
        <w:rPr>
          <w:rFonts w:ascii="Times New Roman"/>
          <w:b w:val="false"/>
          <w:i w:val="false"/>
          <w:color w:val="000000"/>
          <w:sz w:val="28"/>
        </w:rPr>
        <w:t>
      3) ответственный исполнитель изучает документы не более 5 (пяти) календарных дней и направляет услугодателю не более 1 (одного) календарного дня) на рассмотрение в РКС не более 2 (двух) календарных дней; ответственный исполнитель канцелярии услугодатель принимает документы и передает руководителю не более 1 (одного) календарного дня;</w:t>
      </w:r>
      <w:r>
        <w:br/>
      </w:r>
      <w:r>
        <w:rPr>
          <w:rFonts w:ascii="Times New Roman"/>
          <w:b w:val="false"/>
          <w:i w:val="false"/>
          <w:color w:val="000000"/>
          <w:sz w:val="28"/>
        </w:rPr>
        <w:t>
      4) руководитель ознакамливается с материалами и передает ответственному исполнителю (не более 30 (тридцати) минут);</w:t>
      </w:r>
      <w:r>
        <w:br/>
      </w:r>
      <w:r>
        <w:rPr>
          <w:rFonts w:ascii="Times New Roman"/>
          <w:b w:val="false"/>
          <w:i w:val="false"/>
          <w:color w:val="000000"/>
          <w:sz w:val="28"/>
        </w:rPr>
        <w:t>
      5) ответственный исполнитель изучает документы и выносится на РКС для рассмотрения проектов на соответствие критериям Программы «Развитие моногородов на 2012-2020 годы» и принимает решение о возможности (или невозможности) субсидирования не более 3 (трех) календарных дней.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6)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течении 1 (одного) календарного дня;</w:t>
      </w:r>
      <w:r>
        <w:br/>
      </w:r>
      <w:r>
        <w:rPr>
          <w:rFonts w:ascii="Times New Roman"/>
          <w:b w:val="false"/>
          <w:i w:val="false"/>
          <w:color w:val="000000"/>
          <w:sz w:val="28"/>
        </w:rPr>
        <w:t xml:space="preserve">
      7) ответственный исполнитель услугодателя принимает выписку из протокола и выдает услугополучателю. </w:t>
      </w:r>
    </w:p>
    <w:bookmarkEnd w:id="56"/>
    <w:bookmarkStart w:name="z93" w:id="5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7"/>
    <w:bookmarkStart w:name="z94" w:id="5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руководитель услугодателя;</w:t>
      </w:r>
      <w:r>
        <w:br/>
      </w:r>
      <w:r>
        <w:rPr>
          <w:rFonts w:ascii="Times New Roman"/>
          <w:b w:val="false"/>
          <w:i w:val="false"/>
          <w:color w:val="000000"/>
          <w:sz w:val="28"/>
        </w:rPr>
        <w:t>
      5) канцелярия услугодателя;</w:t>
      </w:r>
      <w:r>
        <w:br/>
      </w:r>
      <w:r>
        <w:rPr>
          <w:rFonts w:ascii="Times New Roman"/>
          <w:b w:val="false"/>
          <w:i w:val="false"/>
          <w:color w:val="000000"/>
          <w:sz w:val="28"/>
        </w:rPr>
        <w:t>
      6) ответственный исполнитель услугодателя;</w:t>
      </w:r>
      <w:r>
        <w:br/>
      </w:r>
      <w:r>
        <w:rPr>
          <w:rFonts w:ascii="Times New Roman"/>
          <w:b w:val="false"/>
          <w:i w:val="false"/>
          <w:color w:val="000000"/>
          <w:sz w:val="28"/>
        </w:rPr>
        <w:t>
      7)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субсидирования ставки вознаграждения в рамках программы «Развитие моногородов на 2012-2020 годы»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58"/>
    <w:bookmarkStart w:name="z96" w:id="5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субсидирования</w:t>
      </w:r>
      <w:r>
        <w:br/>
      </w:r>
      <w:r>
        <w:rPr>
          <w:rFonts w:ascii="Times New Roman"/>
          <w:b w:val="false"/>
          <w:i w:val="false"/>
          <w:color w:val="000000"/>
          <w:sz w:val="28"/>
        </w:rPr>
        <w:t>
      ставки вознаграждения в рамках программы</w:t>
      </w:r>
      <w:r>
        <w:br/>
      </w:r>
      <w:r>
        <w:rPr>
          <w:rFonts w:ascii="Times New Roman"/>
          <w:b w:val="false"/>
          <w:i w:val="false"/>
          <w:color w:val="000000"/>
          <w:sz w:val="28"/>
        </w:rPr>
        <w:t>
      «Развитие моногородов на 2012-2020 годы»</w:t>
      </w:r>
    </w:p>
    <w:bookmarkEnd w:id="5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w:t>
      </w:r>
      <w:r>
        <w:drawing>
          <wp:inline distT="0" distB="0" distL="0" distR="0">
            <wp:extent cx="59817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81700" cy="7010400"/>
                    </a:xfrm>
                    <a:prstGeom prst="rect">
                      <a:avLst/>
                    </a:prstGeom>
                  </pic:spPr>
                </pic:pic>
              </a:graphicData>
            </a:graphic>
          </wp:inline>
        </w:drawing>
      </w:r>
    </w:p>
    <w:bookmarkStart w:name="z97" w:id="6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субсидирования ставки</w:t>
      </w:r>
      <w:r>
        <w:br/>
      </w:r>
      <w:r>
        <w:rPr>
          <w:rFonts w:ascii="Times New Roman"/>
          <w:b w:val="false"/>
          <w:i w:val="false"/>
          <w:color w:val="000000"/>
          <w:sz w:val="28"/>
        </w:rPr>
        <w:t>
      вознаграждения в рамках программы</w:t>
      </w:r>
      <w:r>
        <w:br/>
      </w:r>
      <w:r>
        <w:rPr>
          <w:rFonts w:ascii="Times New Roman"/>
          <w:b w:val="false"/>
          <w:i w:val="false"/>
          <w:color w:val="000000"/>
          <w:sz w:val="28"/>
        </w:rPr>
        <w:t>
      «Развитие моногородов на 2012-2020 годы»</w:t>
      </w:r>
    </w:p>
    <w:bookmarkEnd w:id="60"/>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субсидирования ставки вознаграждения в рамках программы «Развитие моногородов на 2012-2020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048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48500" cy="7658100"/>
                    </a:xfrm>
                    <a:prstGeom prst="rect">
                      <a:avLst/>
                    </a:prstGeom>
                  </pic:spPr>
                </pic:pic>
              </a:graphicData>
            </a:graphic>
          </wp:inline>
        </w:drawing>
      </w:r>
    </w:p>
    <w:bookmarkStart w:name="z98" w:id="61"/>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«26» сентября 2014 года № 309</w:t>
      </w:r>
    </w:p>
    <w:bookmarkEnd w:id="61"/>
    <w:bookmarkStart w:name="z99" w:id="6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поддержки по развитию производственной (индустриальной) инфраструктуры в рамках программы «Развитие моногородов на 2012-2020 годы»</w:t>
      </w:r>
    </w:p>
    <w:bookmarkEnd w:id="62"/>
    <w:bookmarkStart w:name="z100" w:id="63"/>
    <w:p>
      <w:pPr>
        <w:spacing w:after="0"/>
        <w:ind w:left="0"/>
        <w:jc w:val="left"/>
      </w:pPr>
      <w:r>
        <w:rPr>
          <w:rFonts w:ascii="Times New Roman"/>
          <w:b/>
          <w:i w:val="false"/>
          <w:color w:val="000000"/>
        </w:rPr>
        <w:t xml:space="preserve"> 
1. Общие положения</w:t>
      </w:r>
    </w:p>
    <w:bookmarkEnd w:id="63"/>
    <w:bookmarkStart w:name="z101" w:id="64"/>
    <w:p>
      <w:pPr>
        <w:spacing w:after="0"/>
        <w:ind w:left="0"/>
        <w:jc w:val="both"/>
      </w:pPr>
      <w:r>
        <w:rPr>
          <w:rFonts w:ascii="Times New Roman"/>
          <w:b w:val="false"/>
          <w:i w:val="false"/>
          <w:color w:val="000000"/>
          <w:sz w:val="28"/>
        </w:rPr>
        <w:t>
      1. Государственная услуга «Предоставление поддержки по развитию производственной (индустриальной) инфраструктуры в рамках программы «Развитие моногородов на 2012-2020 годы» (далее – государственная услуга) оказывается Управлением предпринимательства и индустриально-инновационного развития акимата Южно-Казахстанской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3. Результатом оказываемой государственной услуги является выписка из протокола заседания Регионального координационного совета (далее - РКС). </w:t>
      </w:r>
    </w:p>
    <w:bookmarkEnd w:id="64"/>
    <w:bookmarkStart w:name="z104" w:id="6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5"/>
    <w:bookmarkStart w:name="z105" w:id="6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поддержки по развитию производственной (индустриальной) инфраструктуры в рамках программы «Развития моногородов на 2012-2020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выдается копия заявления услугополучателю со штампом регистрации (входящий номер, дата) не более 20 (двадцати) минут и передает материалы руководителю услугодателя;</w:t>
      </w:r>
      <w:r>
        <w:br/>
      </w:r>
      <w:r>
        <w:rPr>
          <w:rFonts w:ascii="Times New Roman"/>
          <w:b w:val="false"/>
          <w:i w:val="false"/>
          <w:color w:val="000000"/>
          <w:sz w:val="28"/>
        </w:rPr>
        <w:t>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2) руководитель ознакамливается с документами и передает ответственному исполнителю не более 10 (десяти) минут;</w:t>
      </w:r>
      <w:r>
        <w:br/>
      </w:r>
      <w:r>
        <w:rPr>
          <w:rFonts w:ascii="Times New Roman"/>
          <w:b w:val="false"/>
          <w:i w:val="false"/>
          <w:color w:val="000000"/>
          <w:sz w:val="28"/>
        </w:rPr>
        <w:t>
      3) ответственный исполнитель изучает документы и выносит на рассмотрение РКС не более 12 (двенадцати) календарных дней;</w:t>
      </w:r>
      <w:r>
        <w:br/>
      </w:r>
      <w:r>
        <w:rPr>
          <w:rFonts w:ascii="Times New Roman"/>
          <w:b w:val="false"/>
          <w:i w:val="false"/>
          <w:color w:val="000000"/>
          <w:sz w:val="28"/>
        </w:rPr>
        <w:t>
      4) РКС рассматривает проекты на соответствие критериям Программы «Развития моногородов на 2012-2020 годы» и в соответствии с приоритетами региона принимает решение о возможности (или невозможности) предоставления поддержки по развитию производственной (индустриальной) инфраструктуры.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xml:space="preserve">
      5)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календарного дня. </w:t>
      </w:r>
    </w:p>
    <w:bookmarkEnd w:id="66"/>
    <w:bookmarkStart w:name="z107" w:id="6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7"/>
    <w:bookmarkStart w:name="z108" w:id="6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программы «Развития моногородов на 2012-2020 годы»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68"/>
    <w:bookmarkStart w:name="z110" w:id="6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поддержки по развитию</w:t>
      </w:r>
      <w:r>
        <w:br/>
      </w:r>
      <w:r>
        <w:rPr>
          <w:rFonts w:ascii="Times New Roman"/>
          <w:b w:val="false"/>
          <w:i w:val="false"/>
          <w:color w:val="000000"/>
          <w:sz w:val="28"/>
        </w:rPr>
        <w:t>
      производственной (индустриальной)</w:t>
      </w:r>
      <w:r>
        <w:br/>
      </w:r>
      <w:r>
        <w:rPr>
          <w:rFonts w:ascii="Times New Roman"/>
          <w:b w:val="false"/>
          <w:i w:val="false"/>
          <w:color w:val="000000"/>
          <w:sz w:val="28"/>
        </w:rPr>
        <w:t>
      инфраструктуры в рамках программы</w:t>
      </w:r>
      <w:r>
        <w:br/>
      </w:r>
      <w:r>
        <w:rPr>
          <w:rFonts w:ascii="Times New Roman"/>
          <w:b w:val="false"/>
          <w:i w:val="false"/>
          <w:color w:val="000000"/>
          <w:sz w:val="28"/>
        </w:rPr>
        <w:t>
      «Развития моногородов на 2012-2020 годы»</w:t>
      </w:r>
    </w:p>
    <w:bookmarkEnd w:id="6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w:t>
      </w:r>
      <w:r>
        <w:drawing>
          <wp:inline distT="0" distB="0" distL="0" distR="0">
            <wp:extent cx="59817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81700" cy="5511800"/>
                    </a:xfrm>
                    <a:prstGeom prst="rect">
                      <a:avLst/>
                    </a:prstGeom>
                  </pic:spPr>
                </pic:pic>
              </a:graphicData>
            </a:graphic>
          </wp:inline>
        </w:drawing>
      </w:r>
    </w:p>
    <w:bookmarkStart w:name="z111" w:id="7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поддержки по развитию</w:t>
      </w:r>
      <w:r>
        <w:br/>
      </w:r>
      <w:r>
        <w:rPr>
          <w:rFonts w:ascii="Times New Roman"/>
          <w:b w:val="false"/>
          <w:i w:val="false"/>
          <w:color w:val="000000"/>
          <w:sz w:val="28"/>
        </w:rPr>
        <w:t>
      производственной (индустриальной)</w:t>
      </w:r>
      <w:r>
        <w:br/>
      </w:r>
      <w:r>
        <w:rPr>
          <w:rFonts w:ascii="Times New Roman"/>
          <w:b w:val="false"/>
          <w:i w:val="false"/>
          <w:color w:val="000000"/>
          <w:sz w:val="28"/>
        </w:rPr>
        <w:t>
      инфраструктуры в рамках программы</w:t>
      </w:r>
      <w:r>
        <w:br/>
      </w:r>
      <w:r>
        <w:rPr>
          <w:rFonts w:ascii="Times New Roman"/>
          <w:b w:val="false"/>
          <w:i w:val="false"/>
          <w:color w:val="000000"/>
          <w:sz w:val="28"/>
        </w:rPr>
        <w:t>
      «Развития моногородов на 2012-2020 годы»</w:t>
      </w:r>
    </w:p>
    <w:bookmarkEnd w:id="70"/>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программы «Развития моногородов на 2012-2020 годы»</w:t>
      </w:r>
    </w:p>
    <w:p>
      <w:pPr>
        <w:spacing w:after="0"/>
        <w:ind w:left="0"/>
        <w:jc w:val="both"/>
      </w:pPr>
      <w:r>
        <w:rPr>
          <w:rFonts w:ascii="Times New Roman"/>
          <w:b w:val="false"/>
          <w:i w:val="false"/>
          <w:color w:val="000000"/>
          <w:sz w:val="28"/>
        </w:rPr>
        <w:t>      </w:t>
      </w:r>
      <w:r>
        <w:drawing>
          <wp:inline distT="0" distB="0" distL="0" distR="0">
            <wp:extent cx="7048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48500" cy="7061200"/>
                    </a:xfrm>
                    <a:prstGeom prst="rect">
                      <a:avLst/>
                    </a:prstGeom>
                  </pic:spPr>
                </pic:pic>
              </a:graphicData>
            </a:graphic>
          </wp:inline>
        </w:drawing>
      </w:r>
    </w:p>
    <w:bookmarkStart w:name="z112" w:id="71"/>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«26» сентября 2014 года № 309</w:t>
      </w:r>
    </w:p>
    <w:bookmarkEnd w:id="71"/>
    <w:bookmarkStart w:name="z113" w:id="72"/>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микрокредитов в рамках программы «Развитие моногородов на 2012-2020 годы»</w:t>
      </w:r>
    </w:p>
    <w:bookmarkEnd w:id="72"/>
    <w:bookmarkStart w:name="z114" w:id="73"/>
    <w:p>
      <w:pPr>
        <w:spacing w:after="0"/>
        <w:ind w:left="0"/>
        <w:jc w:val="left"/>
      </w:pPr>
      <w:r>
        <w:rPr>
          <w:rFonts w:ascii="Times New Roman"/>
          <w:b/>
          <w:i w:val="false"/>
          <w:color w:val="000000"/>
        </w:rPr>
        <w:t xml:space="preserve"> 
1. Общие положения</w:t>
      </w:r>
    </w:p>
    <w:bookmarkEnd w:id="73"/>
    <w:bookmarkStart w:name="z115" w:id="74"/>
    <w:p>
      <w:pPr>
        <w:spacing w:after="0"/>
        <w:ind w:left="0"/>
        <w:jc w:val="both"/>
      </w:pPr>
      <w:r>
        <w:rPr>
          <w:rFonts w:ascii="Times New Roman"/>
          <w:b w:val="false"/>
          <w:i w:val="false"/>
          <w:color w:val="000000"/>
          <w:sz w:val="28"/>
        </w:rPr>
        <w:t>
      1. Государственная услуга «Предоставление микрокредитов в рамках программы «Развитие моногородов на 2012-2020 годы» (далее – государственная услуга) оказывается Отделом занятости и социальных программ города Кентау Южно-Казахстанской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оказываемой государственной услуги является социальный контракт.</w:t>
      </w:r>
    </w:p>
    <w:bookmarkEnd w:id="74"/>
    <w:bookmarkStart w:name="z118" w:id="7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5"/>
    <w:bookmarkStart w:name="z119" w:id="7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микрокредитов в рамках программы «Развитие моногородов на 2012-2020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канцелярии услугодателя принимает документы от услугополучателя и направляет руководителю в течение 20 (двадцать) минут).</w:t>
      </w:r>
      <w:r>
        <w:br/>
      </w:r>
      <w:r>
        <w:rPr>
          <w:rFonts w:ascii="Times New Roman"/>
          <w:b w:val="false"/>
          <w:i w:val="false"/>
          <w:color w:val="000000"/>
          <w:sz w:val="28"/>
        </w:rPr>
        <w:t>
      2) руководитель рассматривает документы и направляет ответственному исполнителю в течение 30 (тридцати) минут;</w:t>
      </w:r>
      <w:r>
        <w:br/>
      </w:r>
      <w:r>
        <w:rPr>
          <w:rFonts w:ascii="Times New Roman"/>
          <w:b w:val="false"/>
          <w:i w:val="false"/>
          <w:color w:val="000000"/>
          <w:sz w:val="28"/>
        </w:rPr>
        <w:t>
      3) ответственный исполнитель рассматривает документы, формирует списки претендентов по видам получения государственной поддержки, перечень бизнес-предложений и в течение 10 (десяти) календарных дней направляет в отдел предпринимательства города Кентау;</w:t>
      </w:r>
      <w:r>
        <w:br/>
      </w:r>
      <w:r>
        <w:rPr>
          <w:rFonts w:ascii="Times New Roman"/>
          <w:b w:val="false"/>
          <w:i w:val="false"/>
          <w:color w:val="000000"/>
          <w:sz w:val="28"/>
        </w:rPr>
        <w:t>
      4) отдел предпринимательства города Кентау дает заключение и направляет в отдел занятости и социальных программ в течение 3 (трех) календарных дней;</w:t>
      </w:r>
      <w:r>
        <w:br/>
      </w:r>
      <w:r>
        <w:rPr>
          <w:rFonts w:ascii="Times New Roman"/>
          <w:b w:val="false"/>
          <w:i w:val="false"/>
          <w:color w:val="000000"/>
          <w:sz w:val="28"/>
        </w:rPr>
        <w:t xml:space="preserve">
      5) ответственный исполнитель направляет результат услугополучателю о получении микрокредитования в течение 2 (двух) календарных дней. </w:t>
      </w:r>
    </w:p>
    <w:bookmarkEnd w:id="76"/>
    <w:bookmarkStart w:name="z121" w:id="7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7"/>
    <w:bookmarkStart w:name="z122" w:id="7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микрокредитов в рамках программы «Развитие моногородов на 2012-2020 годы»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78"/>
    <w:bookmarkStart w:name="z124" w:id="7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микрокредитов в рамках</w:t>
      </w:r>
      <w:r>
        <w:br/>
      </w:r>
      <w:r>
        <w:rPr>
          <w:rFonts w:ascii="Times New Roman"/>
          <w:b w:val="false"/>
          <w:i w:val="false"/>
          <w:color w:val="000000"/>
          <w:sz w:val="28"/>
        </w:rPr>
        <w:t>
      Программы «Развитие моногородов</w:t>
      </w:r>
      <w:r>
        <w:br/>
      </w:r>
      <w:r>
        <w:rPr>
          <w:rFonts w:ascii="Times New Roman"/>
          <w:b w:val="false"/>
          <w:i w:val="false"/>
          <w:color w:val="000000"/>
          <w:sz w:val="28"/>
        </w:rPr>
        <w:t>
      на 2012-2020 годы»</w:t>
      </w:r>
    </w:p>
    <w:bookmarkEnd w:id="7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w:t>
      </w:r>
      <w:r>
        <w:drawing>
          <wp:inline distT="0" distB="0" distL="0" distR="0">
            <wp:extent cx="57912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91200" cy="6426200"/>
                    </a:xfrm>
                    <a:prstGeom prst="rect">
                      <a:avLst/>
                    </a:prstGeom>
                  </pic:spPr>
                </pic:pic>
              </a:graphicData>
            </a:graphic>
          </wp:inline>
        </w:drawing>
      </w:r>
    </w:p>
    <w:bookmarkStart w:name="z125" w:id="8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микрокредитов в рамках</w:t>
      </w:r>
      <w:r>
        <w:br/>
      </w:r>
      <w:r>
        <w:rPr>
          <w:rFonts w:ascii="Times New Roman"/>
          <w:b w:val="false"/>
          <w:i w:val="false"/>
          <w:color w:val="000000"/>
          <w:sz w:val="28"/>
        </w:rPr>
        <w:t>
      Программы «Развитие моногородов</w:t>
      </w:r>
      <w:r>
        <w:br/>
      </w:r>
      <w:r>
        <w:rPr>
          <w:rFonts w:ascii="Times New Roman"/>
          <w:b w:val="false"/>
          <w:i w:val="false"/>
          <w:color w:val="000000"/>
          <w:sz w:val="28"/>
        </w:rPr>
        <w:t>
      на 2012-2020 годы»</w:t>
      </w:r>
    </w:p>
    <w:bookmarkEnd w:id="80"/>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«Предоставление микрокредитов в рамках программы «Развитие моногородов на 2012-2020 годы»</w:t>
      </w:r>
    </w:p>
    <w:p>
      <w:pPr>
        <w:spacing w:after="0"/>
        <w:ind w:left="0"/>
        <w:jc w:val="both"/>
      </w:pPr>
      <w:r>
        <w:rPr>
          <w:rFonts w:ascii="Times New Roman"/>
          <w:b w:val="false"/>
          <w:i w:val="false"/>
          <w:color w:val="000000"/>
          <w:sz w:val="28"/>
        </w:rPr>
        <w:t>      </w:t>
      </w:r>
      <w:r>
        <w:drawing>
          <wp:inline distT="0" distB="0" distL="0" distR="0">
            <wp:extent cx="7569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69200" cy="675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