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e5d3" w14:textId="6d7e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некоторые постановления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12 марта 2014 года № 66. Зарегистрировано Департаментом юстиции Атырауской области 12 марта 2014 года за № 2888. Утратило силу постановлением акимата Атырауской области от 29 июня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Дюсембаева Г.И. – первого заместителя акима области.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Руководитель республиканского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"Жайык-Каспийская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бассейновая инспекция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 ресурсов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водным ресурсам Министерства окружающей среды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водных ресурсов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"Департамент экологии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 Комитета экологического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контроля Министерства окружающей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водных ресурсов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"Территориальная земельная инспекция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регионального развития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Атырауской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"Департамент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прав потребителей Атырауской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потребителей"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Зинуллин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Атырауской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2010 года № 66 "Об установлении границ водоохранных зон и полос рек Урал и Кигач в пределах Атырауской области" (зарегистрировано в реестре государственной регистрации нормативных правовых актов за № 2564, опубликовано 6 мая 2010 года в газете "Прикаспийская коммуна"):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хозяйственного использования водоохранных зон и полос рек Урал и Кигач":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Атырауской области от 12 апреля 2012 года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в Атырауской части Каспийского моря" (зарегистрировано в реестре государственной регистрации нормативных правовых актов за № 2612, опубликовано 5 июня 2012 года в газете "Прикаспийская коммуна"):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хозяйственного использования водоохранных зон и полос в Атырауской части Каспийского моря"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пределах водоохранных зон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запрещается: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Атырауской области от 26 апреля 2013 года №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водоохранных зон и полос рек Жем, Сагиз, Уил в пределах Атырауской области" (зарегистрировано в реестре государственной регистрации нормативных правовых актов за № 2735, опубликовано 20 июня 2013 года в газете "Прикаспийская коммуна"):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хозяйственного использования водоохранных зон и полос рек Жем, Сагиз, Уил и озера Камысколь":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