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8e44" w14:textId="01a8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6 февраля 2014 года № 2-20с "Об утверждении правил оказания социальной помощи, установления размеров и определения перечня отдельных категорий нуждающихся граждан в Уалихановском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Уалихановского районного маслихата Северо-Казахстанской области от 15 августа 2014 года N 6-26с. Зарегистрировано Департаментом юстиции Северо-Казахстанской области 22 сентября 2014 года N 2943. Утратило силу решением маслихата Уалихановского района Северо-Казахстанской области от 30 марта 2015 года N 7-31с</w:t>
      </w:r>
    </w:p>
    <w:p>
      <w:pPr>
        <w:spacing w:after="0"/>
        <w:ind w:left="0"/>
        <w:jc w:val="left"/>
      </w:pPr>
      <w:r>
        <w:rPr>
          <w:rFonts w:ascii="Times New Roman"/>
          <w:b w:val="false"/>
          <w:i w:val="false"/>
          <w:color w:val="ff0000"/>
          <w:sz w:val="28"/>
        </w:rPr>
        <w:t xml:space="preserve">      Сноска. Утратило силу решением маслихата Уалихановского района Северо-Казахстанской области от 30.03.2015 </w:t>
      </w:r>
      <w:r>
        <w:rPr>
          <w:rFonts w:ascii="Times New Roman"/>
          <w:b w:val="false"/>
          <w:i w:val="false"/>
          <w:color w:val="ff0000"/>
          <w:sz w:val="28"/>
        </w:rPr>
        <w:t>N 7-31с</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w:t>
      </w:r>
      <w:r>
        <w:rPr>
          <w:rFonts w:ascii="Times New Roman"/>
          <w:b w:val="false"/>
          <w:i w:val="false"/>
          <w:color w:val="000000"/>
          <w:sz w:val="28"/>
        </w:rPr>
        <w:t>пункта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24 марта 1998 года "О нормативных правовых актах", Уалихановский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Уалихановском районе" от 6 февраля 2014 года № 2-20с (зарегистрированное в Реестре государственной регистрации нормативных правовых актов под № 2583 от 3 марта 2014 года, опубликовано 7 марта 2014 года в газетах "Нұрлы Ел" и 7 марта 2014 года в "Кызыл Ту") следующее изменения:</w:t>
      </w:r>
      <w:r>
        <w:br/>
      </w: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Уалихановском районе,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указанных правил изложить в следующей редакции:</w:t>
      </w:r>
      <w:r>
        <w:br/>
      </w:r>
      <w:r>
        <w:rPr>
          <w:rFonts w:ascii="Times New Roman"/>
          <w:b w:val="false"/>
          <w:i w:val="false"/>
          <w:color w:val="000000"/>
          <w:sz w:val="28"/>
        </w:rPr>
        <w:t xml:space="preserve">
      "9.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но не более 200 месячных расчетных показателей, срок обращения за социальной помощью не должен превышать 6 месяцев со дня наступления трудной жизненной ситуации.</w:t>
      </w:r>
      <w:r>
        <w:br/>
      </w:r>
      <w:r>
        <w:rPr>
          <w:rFonts w:ascii="Times New Roman"/>
          <w:b w:val="false"/>
          <w:i w:val="false"/>
          <w:color w:val="000000"/>
          <w:sz w:val="28"/>
        </w:rPr>
        <w:t>
      Основаниями для отнесения граждан к категории нуждающиеся при наступлении трудной жизненной ситуации являются:</w:t>
      </w:r>
      <w:r>
        <w:br/>
      </w:r>
      <w:r>
        <w:rPr>
          <w:rFonts w:ascii="Times New Roman"/>
          <w:b w:val="false"/>
          <w:i w:val="false"/>
          <w:color w:val="000000"/>
          <w:sz w:val="28"/>
        </w:rPr>
        <w:t>
      сиротство;</w:t>
      </w:r>
      <w:r>
        <w:br/>
      </w:r>
      <w:r>
        <w:rPr>
          <w:rFonts w:ascii="Times New Roman"/>
          <w:b w:val="false"/>
          <w:i w:val="false"/>
          <w:color w:val="000000"/>
          <w:sz w:val="28"/>
        </w:rPr>
        <w:t>
      отсутствие родительского попечения;</w:t>
      </w:r>
      <w:r>
        <w:br/>
      </w:r>
      <w:r>
        <w:rPr>
          <w:rFonts w:ascii="Times New Roman"/>
          <w:b w:val="false"/>
          <w:i w:val="false"/>
          <w:color w:val="000000"/>
          <w:sz w:val="28"/>
        </w:rPr>
        <w:t>
      безнадзорность несовершеннолетних, в том числе с девиантным поведением;</w:t>
      </w:r>
      <w:r>
        <w:br/>
      </w:r>
      <w:r>
        <w:rPr>
          <w:rFonts w:ascii="Times New Roman"/>
          <w:b w:val="false"/>
          <w:i w:val="false"/>
          <w:color w:val="000000"/>
          <w:sz w:val="28"/>
        </w:rPr>
        <w:t>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жестокое обращение, приведшего к социальной дезадаптации и социальной депривации;</w:t>
      </w:r>
      <w:r>
        <w:br/>
      </w:r>
      <w:r>
        <w:rPr>
          <w:rFonts w:ascii="Times New Roman"/>
          <w:b w:val="false"/>
          <w:i w:val="false"/>
          <w:color w:val="000000"/>
          <w:sz w:val="28"/>
        </w:rPr>
        <w:t>
      бездомность (лица без определенного места жительства);</w:t>
      </w:r>
      <w:r>
        <w:br/>
      </w:r>
      <w:r>
        <w:rPr>
          <w:rFonts w:ascii="Times New Roman"/>
          <w:b w:val="false"/>
          <w:i w:val="false"/>
          <w:color w:val="000000"/>
          <w:sz w:val="28"/>
        </w:rPr>
        <w:t>
      освобождение из мест лишения свободы;</w:t>
      </w:r>
      <w:r>
        <w:br/>
      </w:r>
      <w:r>
        <w:rPr>
          <w:rFonts w:ascii="Times New Roman"/>
          <w:b w:val="false"/>
          <w:i w:val="false"/>
          <w:color w:val="000000"/>
          <w:sz w:val="28"/>
        </w:rPr>
        <w:t>
      нахождение на учете службы пробации уголовно-исполнительной инспекции;</w:t>
      </w:r>
      <w:r>
        <w:br/>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либо наличие социально значимого заболевания (злокачественное новообразование, тяжелая форма туберкулеза, дети-инвалиды);</w:t>
      </w:r>
      <w:r>
        <w:br/>
      </w:r>
      <w:r>
        <w:rPr>
          <w:rFonts w:ascii="Times New Roman"/>
          <w:b w:val="false"/>
          <w:i w:val="false"/>
          <w:color w:val="000000"/>
          <w:sz w:val="28"/>
        </w:rPr>
        <w:t>
      наличие среднедушевого дохода, не превышающего 1 (одного) прожиточного минимума;</w:t>
      </w:r>
      <w:r>
        <w:br/>
      </w:r>
      <w:r>
        <w:rPr>
          <w:rFonts w:ascii="Times New Roman"/>
          <w:b w:val="false"/>
          <w:i w:val="false"/>
          <w:color w:val="000000"/>
          <w:sz w:val="28"/>
        </w:rPr>
        <w:t>
      обучение малообеспеченных граждан в организациях высшего профессионального образования, на очной форме обучения расположенных на территории Республики Казахстан, со среднедушевым доходом, не превышающим размера черты бедности, установленной на соответствующий период;</w:t>
      </w:r>
      <w:r>
        <w:br/>
      </w:r>
      <w:r>
        <w:rPr>
          <w:rFonts w:ascii="Times New Roman"/>
          <w:b w:val="false"/>
          <w:i w:val="false"/>
          <w:color w:val="000000"/>
          <w:sz w:val="28"/>
        </w:rPr>
        <w:t>
      нуждаемость в социальной помощи на санаторно-курортное лечение инвалидам всех групп, при наличии индивидуальной программы реабилитации инвалидов;</w:t>
      </w:r>
      <w:r>
        <w:br/>
      </w:r>
      <w:r>
        <w:rPr>
          <w:rFonts w:ascii="Times New Roman"/>
          <w:b w:val="false"/>
          <w:i w:val="false"/>
          <w:color w:val="000000"/>
          <w:sz w:val="28"/>
        </w:rPr>
        <w:t>
      нуждаемость участников и инвалидов Великой Отечественной войны, а также лиц, приравненным по льготам и гарантиям к участникам и инвалидам Великой Отечественной войны в зубопротезировании и санаторно-курортном лечении.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XXVІ сессии V созыва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Сагандыков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Уалихановского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Уалихановского районного маслихата № 6-26с от 15 августа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 социальной помощи, установления размеров и определения перечня отдельных категорий нуждающихся граждан в Уалихановском районе</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кратность и размер социальной помощи для отдельно взятой категории получателей к памятным датам и праздничным дням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
        <w:gridCol w:w="9498"/>
        <w:gridCol w:w="2469"/>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социальной помощи</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контингентов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электростанций – 26 апреля</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50 месячных расчетных показателей (за исключением 9 мая 2015 года)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 (за исключением 9 мая 2015 года)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100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25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приравненные по льготам и гарантиям к участникам Великой Отечественной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района</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10 месячных расчетных показателей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