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e848" w14:textId="075e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05 февраля 2014 года № 23/2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18 сентября 2014 года № 30/3. Зарегистрировано Департаментом юстиции Северо-Казахстанской области 17 октября 2014 года № 2962. Утратило силу решением маслихата Тимирязевского района Северо-Казахстанской области от 29 мая 2015 года N 37/1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Тимирязевского района Северо-Казахстанской области от 29.05.2015 </w:t>
      </w:r>
      <w:r>
        <w:rPr>
          <w:rFonts w:ascii="Times New Roman"/>
          <w:b w:val="false"/>
          <w:i w:val="false"/>
          <w:color w:val="ff0000"/>
          <w:sz w:val="28"/>
        </w:rPr>
        <w:t>N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21 Закона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05 февраля 2014 года № 23/2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нормативных правовых актов под № 2564 от 21 февраля 2014 года, опубликовано 01 марта 2014 года в районной газете "Көтерілген тың", 01 марта 2014 года в районной газете "Нива"),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XХX сессии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 о. секретаря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Тимирязевского районного маслихата № 30/3 от 18 сентября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13" w:id="0"/>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522"/>
        <w:gridCol w:w="141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w:t>
            </w:r>
            <w:r>
              <w:br/>
            </w:r>
            <w:r>
              <w:rPr>
                <w:rFonts w:ascii="Times New Roman"/>
                <w:b w:val="false"/>
                <w:i w:val="false"/>
                <w:color w:val="000000"/>
                <w:sz w:val="20"/>
              </w:rPr>
              <w:t>
и размер оказания</w:t>
            </w:r>
            <w:r>
              <w:br/>
            </w:r>
            <w:r>
              <w:rPr>
                <w:rFonts w:ascii="Times New Roman"/>
                <w:b w:val="false"/>
                <w:i w:val="false"/>
                <w:color w:val="000000"/>
                <w:sz w:val="20"/>
              </w:rPr>
              <w:t xml:space="preserve">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50 месячных расчетных показателей</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r>
              <w:rPr>
                <w:rFonts w:ascii="Times New Roman"/>
                <w:b w:val="false"/>
                <w:i w:val="false"/>
                <w:color w:val="000000"/>
                <w:sz w:val="20"/>
              </w:rPr>
              <w:t xml:space="preserve">(за исключением </w:t>
            </w:r>
            <w:r>
              <w:br/>
            </w:r>
            <w:r>
              <w:rPr>
                <w:rFonts w:ascii="Times New Roman"/>
                <w:b w:val="false"/>
                <w:i w:val="false"/>
                <w:color w:val="000000"/>
                <w:sz w:val="20"/>
              </w:rPr>
              <w:t>
9 мая 2015 года)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100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25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w:t>
            </w:r>
            <w:r>
              <w:br/>
            </w:r>
            <w:r>
              <w:rPr>
                <w:rFonts w:ascii="Times New Roman"/>
                <w:b w:val="false"/>
                <w:i w:val="false"/>
                <w:color w:val="000000"/>
                <w:sz w:val="20"/>
              </w:rPr>
              <w:t>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15 месячных расчетных показателей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Тимирязевского районного маслихата № 30/3 от 18 сентября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bookmarkStart w:name="z57" w:id="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297"/>
        <w:gridCol w:w="3911"/>
        <w:gridCol w:w="2980"/>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при наступлении трудной жизненной ситуации вследствие стихийного бедствия или пожара и ее кратность</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Больные тяжелой формой туберкулеза</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ежеквартально, по предъявлению справки с учреждения здравоохранения</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Сироты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минимальных </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со стойким нарушением функций организма, обусловленные физическими и (или) умственными возможностями;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 ограничением жизнедеятельности </w:t>
            </w:r>
            <w:r>
              <w:br/>
            </w:r>
            <w:r>
              <w:rPr>
                <w:rFonts w:ascii="Times New Roman"/>
                <w:b w:val="false"/>
                <w:i w:val="false"/>
                <w:color w:val="000000"/>
                <w:sz w:val="20"/>
              </w:rPr>
              <w:t>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Бездомные (лица без определенного места жительства)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освобожденные из мест лишения свободы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w:t>
            </w:r>
            <w:r>
              <w:br/>
            </w:r>
            <w:r>
              <w:rPr>
                <w:rFonts w:ascii="Times New Roman"/>
                <w:b w:val="false"/>
                <w:i w:val="false"/>
                <w:color w:val="000000"/>
                <w:sz w:val="20"/>
              </w:rPr>
              <w:t>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 минимальных расчетных</w:t>
            </w:r>
            <w:r>
              <w:br/>
            </w:r>
            <w:r>
              <w:rPr>
                <w:rFonts w:ascii="Times New Roman"/>
                <w:b w:val="false"/>
                <w:i w:val="false"/>
                <w:color w:val="000000"/>
                <w:sz w:val="20"/>
              </w:rPr>
              <w:t>
показателей, единовременно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
со дня наступления трудной жизненной</w:t>
            </w:r>
            <w:r>
              <w:br/>
            </w:r>
            <w:r>
              <w:rPr>
                <w:rFonts w:ascii="Times New Roman"/>
                <w:b w:val="false"/>
                <w:i w:val="false"/>
                <w:color w:val="000000"/>
                <w:sz w:val="20"/>
              </w:rPr>
              <w:t>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