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d9bf" w14:textId="a23d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5 февраля 2014 года N 23/2. Зарегистрировано Департаментом юстиции Северо-Казахстанской области 21 февраля 2014 года N 2564. Утратило силу решением маслихата Тимирязевского района Северо-Казахстанской области от 29 мая 2015 года N 37/1</w:t>
      </w:r>
    </w:p>
    <w:p>
      <w:pPr>
        <w:spacing w:after="0"/>
        <w:ind w:left="0"/>
        <w:jc w:val="left"/>
      </w:pPr>
      <w:r>
        <w:rPr>
          <w:rFonts w:ascii="Times New Roman"/>
          <w:b w:val="false"/>
          <w:i w:val="false"/>
          <w:color w:val="ff0000"/>
          <w:sz w:val="28"/>
        </w:rPr>
        <w:t xml:space="preserve">      Сноска. Утратило силу решением маслихата Тимирязевского района Северо-Казахстанской области от 29.05.2015 </w:t>
      </w:r>
      <w:r>
        <w:rPr>
          <w:rFonts w:ascii="Times New Roman"/>
          <w:b w:val="false"/>
          <w:i w:val="false"/>
          <w:color w:val="ff0000"/>
          <w:sz w:val="28"/>
        </w:rPr>
        <w:t>N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руководствуясь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Тимирязевский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Тимирязевского района согласно приложению.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XХІIІ сессии </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Тимирязевского районного маслихата от 05 февраля 2014 года № 23/2</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Тимирязевского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6)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Тимирязевского района Северо-Казахстанской области";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Тимирязевского района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Тимирязевского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Тимирязевского района Северо-Казахстанской области через государственное учреждение "Отдел занятости и социальных программ Тимирязевского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праздничных дней, категорий получателей, а также кратность и размер оказания социальной помощи устанавливается в едином размере по согласованию с акиматом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p>
      <w:pPr>
        <w:spacing w:after="0"/>
        <w:ind w:left="0"/>
        <w:jc w:val="left"/>
      </w:pPr>
      <w:r>
        <w:rPr>
          <w:rFonts w:ascii="Times New Roman"/>
          <w:b w:val="false"/>
          <w:i w:val="false"/>
          <w:color w:val="000000"/>
          <w:sz w:val="28"/>
        </w:rPr>
        <w:t xml:space="preserve">      8.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 утверждается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сиротство;</w:t>
      </w:r>
      <w:r>
        <w:br/>
      </w:r>
      <w:r>
        <w:rPr>
          <w:rFonts w:ascii="Times New Roman"/>
          <w:b w:val="false"/>
          <w:i w:val="false"/>
          <w:color w:val="000000"/>
          <w:sz w:val="28"/>
        </w:rPr>
        <w:t>
      отсутствие родительского попечения;</w:t>
      </w:r>
      <w:r>
        <w:br/>
      </w:r>
      <w:r>
        <w:rPr>
          <w:rFonts w:ascii="Times New Roman"/>
          <w:b w:val="false"/>
          <w:i w:val="false"/>
          <w:color w:val="000000"/>
          <w:sz w:val="28"/>
        </w:rPr>
        <w:t>
      безнадзорность несовершеннолетних, в том числе девиантное поведение;</w:t>
      </w:r>
      <w:r>
        <w:br/>
      </w:r>
      <w:r>
        <w:rPr>
          <w:rFonts w:ascii="Times New Roman"/>
          <w:b w:val="false"/>
          <w:i w:val="false"/>
          <w:color w:val="000000"/>
          <w:sz w:val="28"/>
        </w:rPr>
        <w:t>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жестокое обращение, приведшее к социальной дезадаптации и социальной депривации;</w:t>
      </w:r>
      <w:r>
        <w:br/>
      </w:r>
      <w:r>
        <w:rPr>
          <w:rFonts w:ascii="Times New Roman"/>
          <w:b w:val="false"/>
          <w:i w:val="false"/>
          <w:color w:val="000000"/>
          <w:sz w:val="28"/>
        </w:rPr>
        <w:t>
      бездомность (лица без определенного места жительства);</w:t>
      </w:r>
      <w:r>
        <w:br/>
      </w:r>
      <w:r>
        <w:rPr>
          <w:rFonts w:ascii="Times New Roman"/>
          <w:b w:val="false"/>
          <w:i w:val="false"/>
          <w:color w:val="000000"/>
          <w:sz w:val="28"/>
        </w:rPr>
        <w:t>
      освобождение из мест лишения свободы;</w:t>
      </w:r>
      <w:r>
        <w:br/>
      </w:r>
      <w:r>
        <w:rPr>
          <w:rFonts w:ascii="Times New Roman"/>
          <w:b w:val="false"/>
          <w:i w:val="false"/>
          <w:color w:val="000000"/>
          <w:sz w:val="28"/>
        </w:rPr>
        <w:t>
      нахождение на учете службы пробации уголовно-исполнительной инспекции;</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наличие среднедушевого дохода лица (семьи) ниже величины однократного размера прожиточного минимума;</w:t>
      </w:r>
      <w:r>
        <w:br/>
      </w:r>
      <w:r>
        <w:rPr>
          <w:rFonts w:ascii="Times New Roman"/>
          <w:b w:val="false"/>
          <w:i w:val="false"/>
          <w:color w:val="000000"/>
          <w:sz w:val="28"/>
        </w:rPr>
        <w:t>
      нуждаемость участников и инвалидов Великой Отечественной войны в зубопротезировании (кроме драгоценных металлов и протезов из металлокерамики, металлоакрилла) без учета доходов, не более одного раза в 2 года;</w:t>
      </w:r>
      <w:r>
        <w:br/>
      </w:r>
      <w:r>
        <w:rPr>
          <w:rFonts w:ascii="Times New Roman"/>
          <w:b w:val="false"/>
          <w:i w:val="false"/>
          <w:color w:val="000000"/>
          <w:sz w:val="28"/>
        </w:rPr>
        <w:t>
      нуждаемость участников и инвалидов Великой Отечественной войны в санаторно-курортном лечении в санаториях и профилакториях Республики Казахстан без учета доходов, один раз в год;</w:t>
      </w:r>
      <w:r>
        <w:br/>
      </w:r>
      <w:r>
        <w:rPr>
          <w:rFonts w:ascii="Times New Roman"/>
          <w:b w:val="false"/>
          <w:i w:val="false"/>
          <w:color w:val="000000"/>
          <w:sz w:val="28"/>
        </w:rPr>
        <w:t>
      нуждаемость участников и инвалидов Великой Отечественной войны в ежемесячной компенсации за оплату коммунальных услуг и приобретение топлива без учета доходов, ежемесячно в размере двух месячных расчетных показателей.</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Тимирязевского района Северо-Казахстанской области от 23.12.2014 </w:t>
      </w:r>
      <w:r>
        <w:rPr>
          <w:rFonts w:ascii="Times New Roman"/>
          <w:b w:val="false"/>
          <w:i w:val="false"/>
          <w:color w:val="ff0000"/>
          <w:sz w:val="28"/>
        </w:rPr>
        <w:t xml:space="preserve">№ 32/4 </w:t>
      </w:r>
      <w:r>
        <w:rPr>
          <w:rFonts w:ascii="Times New Roman"/>
          <w:b w:val="false"/>
          <w:i w:val="false"/>
          <w:color w:val="ff0000"/>
          <w:sz w:val="28"/>
        </w:rPr>
        <w:t>(вводится в действие с 1.01.2015).</w:t>
      </w:r>
      <w:r>
        <w:br/>
      </w: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left"/>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Тимирязевского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документ, подтверждающий регистрацию по месту жительства;</w:t>
      </w:r>
      <w:r>
        <w:br/>
      </w:r>
      <w:r>
        <w:rPr>
          <w:rFonts w:ascii="Times New Roman"/>
          <w:b w:val="false"/>
          <w:i w:val="false"/>
          <w:color w:val="000000"/>
          <w:sz w:val="28"/>
        </w:rPr>
        <w:t xml:space="preserve">
      сведения о составе лица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сведения о доходах лица (членов семьи);</w:t>
      </w:r>
      <w:r>
        <w:br/>
      </w:r>
      <w:r>
        <w:rPr>
          <w:rFonts w:ascii="Times New Roman"/>
          <w:b w:val="false"/>
          <w:i w:val="false"/>
          <w:color w:val="000000"/>
          <w:sz w:val="28"/>
        </w:rPr>
        <w:t>
      акт и/или документ, подтверждающий наступление трудной жизненной ситуации.</w:t>
      </w:r>
      <w:r>
        <w:br/>
      </w:r>
      <w:r>
        <w:rPr>
          <w:rFonts w:ascii="Times New Roman"/>
          <w:b w:val="false"/>
          <w:i w:val="false"/>
          <w:color w:val="000000"/>
          <w:sz w:val="28"/>
        </w:rPr>
        <w:t>
      12.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20. Уполномоченный орган письменно уведомляет заявителя о принятом решении (в случае отказа – указанием основания) в течение трех рабочих дней со дня принятия решения.</w:t>
      </w:r>
      <w:r>
        <w:br/>
      </w:r>
      <w:r>
        <w:rPr>
          <w:rFonts w:ascii="Times New Roman"/>
          <w:b w:val="false"/>
          <w:i w:val="false"/>
          <w:color w:val="000000"/>
          <w:sz w:val="28"/>
        </w:rPr>
        <w:t>
      21.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22. Отказ в оказании социальной помощи осуществляется в случаях:</w:t>
      </w:r>
      <w:r>
        <w:br/>
      </w:r>
      <w:r>
        <w:rPr>
          <w:rFonts w:ascii="Times New Roman"/>
          <w:b w:val="false"/>
          <w:i w:val="false"/>
          <w:color w:val="000000"/>
          <w:sz w:val="28"/>
        </w:rPr>
        <w:t>
      выявления недостоверных сведений, представленных заявителями;</w:t>
      </w:r>
      <w:r>
        <w:br/>
      </w:r>
      <w:r>
        <w:rPr>
          <w:rFonts w:ascii="Times New Roman"/>
          <w:b w:val="false"/>
          <w:i w:val="false"/>
          <w:color w:val="000000"/>
          <w:sz w:val="28"/>
        </w:rPr>
        <w:t>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p>
      <w:pPr>
        <w:spacing w:after="0"/>
        <w:ind w:left="0"/>
        <w:jc w:val="left"/>
      </w:pPr>
      <w:r>
        <w:rPr>
          <w:rFonts w:ascii="Times New Roman"/>
          <w:b w:val="false"/>
          <w:i w:val="false"/>
          <w:color w:val="000000"/>
          <w:sz w:val="28"/>
        </w:rPr>
        <w:t>      24. Социальная помощь прекращается в случаях:</w:t>
      </w:r>
      <w:r>
        <w:br/>
      </w:r>
      <w:r>
        <w:rPr>
          <w:rFonts w:ascii="Times New Roman"/>
          <w:b w:val="false"/>
          <w:i w:val="false"/>
          <w:color w:val="000000"/>
          <w:sz w:val="28"/>
        </w:rPr>
        <w:t>
      смерти получателя;</w:t>
      </w:r>
      <w:r>
        <w:br/>
      </w:r>
      <w:r>
        <w:rPr>
          <w:rFonts w:ascii="Times New Roman"/>
          <w:b w:val="false"/>
          <w:i w:val="false"/>
          <w:color w:val="000000"/>
          <w:sz w:val="28"/>
        </w:rPr>
        <w:t>
      выезда получателя на постоянное проживание за пределы Тимирязевского района;</w:t>
      </w:r>
      <w:r>
        <w:br/>
      </w:r>
      <w:r>
        <w:rPr>
          <w:rFonts w:ascii="Times New Roman"/>
          <w:b w:val="false"/>
          <w:i w:val="false"/>
          <w:color w:val="000000"/>
          <w:sz w:val="28"/>
        </w:rPr>
        <w:t>
      направления получателя на проживание в государственные медико-социальные учреждения;</w:t>
      </w:r>
      <w:r>
        <w:br/>
      </w:r>
      <w:r>
        <w:rPr>
          <w:rFonts w:ascii="Times New Roman"/>
          <w:b w:val="false"/>
          <w:i w:val="false"/>
          <w:color w:val="000000"/>
          <w:sz w:val="28"/>
        </w:rPr>
        <w:t>
      выявление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Заключительное положение</w:t>
      </w:r>
    </w:p>
    <w:p>
      <w:pPr>
        <w:spacing w:after="0"/>
        <w:ind w:left="0"/>
        <w:jc w:val="left"/>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p>
      <w:pPr>
        <w:spacing w:after="0"/>
        <w:ind w:left="0"/>
        <w:jc w:val="left"/>
      </w:pPr>
      <w:r>
        <w:rPr>
          <w:rFonts w:ascii="Times New Roman"/>
          <w:b w:val="false"/>
          <w:i w:val="false"/>
          <w:color w:val="ff0000"/>
          <w:sz w:val="28"/>
        </w:rPr>
        <w:t xml:space="preserve">      Сноска. Приложение 1 - в редакции решения маслихата Тимирязевского района Северо-Казахстанской области от 18.09.2014 </w:t>
      </w:r>
      <w:r>
        <w:rPr>
          <w:rFonts w:ascii="Times New Roman"/>
          <w:b w:val="false"/>
          <w:i w:val="false"/>
          <w:color w:val="ff0000"/>
          <w:sz w:val="28"/>
        </w:rPr>
        <w:t>N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522"/>
        <w:gridCol w:w="1412"/>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Кратность и размер оказания социальной помощи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50 месячных расчетных показателей</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r>
              <w:rPr>
                <w:rFonts w:ascii="Times New Roman"/>
                <w:b w:val="false"/>
                <w:i w:val="false"/>
                <w:color w:val="000000"/>
                <w:sz w:val="20"/>
              </w:rPr>
              <w:t xml:space="preserve">(за исключением </w:t>
            </w:r>
            <w:r>
              <w:br/>
            </w:r>
            <w:r>
              <w:rPr>
                <w:rFonts w:ascii="Times New Roman"/>
                <w:b w:val="false"/>
                <w:i w:val="false"/>
                <w:color w:val="000000"/>
                <w:sz w:val="20"/>
              </w:rPr>
              <w:t>
9 мая 2015 года)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100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25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w:t>
            </w:r>
            <w:r>
              <w:br/>
            </w:r>
            <w:r>
              <w:rPr>
                <w:rFonts w:ascii="Times New Roman"/>
                <w:b w:val="false"/>
                <w:i w:val="false"/>
                <w:color w:val="000000"/>
                <w:sz w:val="20"/>
              </w:rPr>
              <w:t>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left"/>
      </w:pPr>
      <w:r>
        <w:rPr>
          <w:rFonts w:ascii="Times New Roman"/>
          <w:b w:val="false"/>
          <w:i w:val="false"/>
          <w:color w:val="ff0000"/>
          <w:sz w:val="28"/>
        </w:rPr>
        <w:t xml:space="preserve">      Сноска. Приложение 2 - в редакции решения маслихата Тимирязевского района Северо-Казахстанской области от 18.09.2014 </w:t>
      </w:r>
      <w:r>
        <w:rPr>
          <w:rFonts w:ascii="Times New Roman"/>
          <w:b w:val="false"/>
          <w:i w:val="false"/>
          <w:color w:val="ff0000"/>
          <w:sz w:val="28"/>
        </w:rPr>
        <w:t>N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297"/>
        <w:gridCol w:w="3911"/>
        <w:gridCol w:w="2980"/>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при наступлении трудной жизненной ситуации вследствие стихийного бедствия или пожара и ее кратность</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Больные тяжелой формой туберкулеза</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ежеквартально, по предъявлению справки с учреждения здравоохранения</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Сироты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оставшиеся без родительского попечения</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минимальных </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Безнадзорные несовершеннолетние, в том числе с девиантным поведением</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со стойким нарушением функций организма, обусловленные физическими и (или) умственными возможностями;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 ограничением жизнедеятельности </w:t>
            </w:r>
            <w:r>
              <w:br/>
            </w:r>
            <w:r>
              <w:rPr>
                <w:rFonts w:ascii="Times New Roman"/>
                <w:b w:val="false"/>
                <w:i w:val="false"/>
                <w:color w:val="000000"/>
                <w:sz w:val="20"/>
              </w:rPr>
              <w:t>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пострадавшие от жестокого обращения, приведшего к социальной дезадаптации и социальной депривации</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Бездомные (лица без определенного места жительства)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освобожденные из мест лишения свободы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w:t>
            </w:r>
            <w:r>
              <w:br/>
            </w: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 минимальных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оказания социальной помощи, установления размеров и определения перечня отдельных категорий нуждающихся граждан Тимирязевского района </w:t>
            </w:r>
          </w:p>
        </w:tc>
      </w:tr>
    </w:tbl>
    <w:p>
      <w:pPr>
        <w:spacing w:after="0"/>
        <w:ind w:left="0"/>
        <w:jc w:val="left"/>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_________________________ _________________________</w:t>
      </w:r>
      <w:r>
        <w:br/>
      </w:r>
      <w:r>
        <w:rPr>
          <w:rFonts w:ascii="Times New Roman"/>
          <w:b w:val="false"/>
          <w:i w:val="false"/>
          <w:color w:val="000000"/>
          <w:sz w:val="28"/>
        </w:rPr>
        <w:t>
       (Ф.И.О.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Ф.И.О. должностного лица органа,</w:t>
      </w:r>
      <w:r>
        <w:br/>
      </w:r>
      <w:r>
        <w:rPr>
          <w:rFonts w:ascii="Times New Roman"/>
          <w:b w:val="false"/>
          <w:i w:val="false"/>
          <w:color w:val="000000"/>
          <w:sz w:val="28"/>
        </w:rPr>
        <w:t>
       уполномоченного заверять</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p>
      <w:pPr>
        <w:spacing w:after="0"/>
        <w:ind w:left="0"/>
        <w:jc w:val="both"/>
      </w:pPr>
      <w:r>
        <w:rPr>
          <w:rFonts w:ascii="Times New Roman"/>
          <w:b w:val="false"/>
          <w:i w:val="false"/>
          <w:color w:val="000000"/>
          <w:sz w:val="28"/>
        </w:rPr>
        <w:t>            АКТ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(населенный пункт)</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 Ф.И.О. заявителя __________________________________________</w:t>
      </w:r>
      <w:r>
        <w:br/>
      </w:r>
      <w:r>
        <w:rPr>
          <w:rFonts w:ascii="Times New Roman"/>
          <w:b w:val="false"/>
          <w:i w:val="false"/>
          <w:color w:val="000000"/>
          <w:sz w:val="28"/>
        </w:rPr>
        <w:t>
       2. Адрес места жительства 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 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483"/>
        <w:gridCol w:w="700"/>
        <w:gridCol w:w="1483"/>
        <w:gridCol w:w="2523"/>
        <w:gridCol w:w="701"/>
        <w:gridCol w:w="3179"/>
        <w:gridCol w:w="1093"/>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работы,учебы)</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w:t>
            </w:r>
            <w:r>
              <w:br/>
            </w:r>
            <w:r>
              <w:rPr>
                <w:rFonts w:ascii="Times New Roman"/>
                <w:b w:val="false"/>
                <w:i w:val="false"/>
                <w:color w:val="000000"/>
                <w:sz w:val="20"/>
              </w:rPr>
              <w:t xml:space="preserve">
работах, профессиональной подготовке (переподготовке повышении </w:t>
            </w:r>
            <w:r>
              <w:br/>
            </w:r>
            <w:r>
              <w:rPr>
                <w:rFonts w:ascii="Times New Roman"/>
                <w:b w:val="false"/>
                <w:i w:val="false"/>
                <w:color w:val="000000"/>
                <w:sz w:val="20"/>
              </w:rPr>
              <w:t>
квалификации) или в активных мерах содействия занятости</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 _______ человек.</w:t>
      </w:r>
      <w:r>
        <w:br/>
      </w:r>
      <w:r>
        <w:rPr>
          <w:rFonts w:ascii="Times New Roman"/>
          <w:b w:val="false"/>
          <w:i w:val="false"/>
          <w:color w:val="000000"/>
          <w:sz w:val="28"/>
        </w:rPr>
        <w:t>
       Количество детей: ______</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Расходы на содержание жилья: ____________________________________________________________________ ____________________________________________________________________</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715"/>
        <w:gridCol w:w="460"/>
        <w:gridCol w:w="460"/>
        <w:gridCol w:w="974"/>
        <w:gridCol w:w="5943"/>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заявителя),имеющих доход</w:t>
            </w:r>
            <w:r>
              <w:br/>
            </w:r>
            <w:r>
              <w:rPr>
                <w:rFonts w:ascii="Times New Roman"/>
                <w:b w:val="false"/>
                <w:i w:val="false"/>
                <w:color w:val="000000"/>
                <w:sz w:val="20"/>
              </w:rPr>
              <w:t>
</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доходаза предыдущийквартал(тенге)</w:t>
            </w:r>
            <w:r>
              <w:br/>
            </w:r>
            <w:r>
              <w:rPr>
                <w:rFonts w:ascii="Times New Roman"/>
                <w:b w:val="false"/>
                <w:i w:val="false"/>
                <w:color w:val="000000"/>
                <w:sz w:val="20"/>
              </w:rPr>
              <w:t>
</w:t>
            </w:r>
          </w:p>
        </w:tc>
        <w:tc>
          <w:tcPr>
            <w:tcW w:w="5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Председатель комиссии:</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Ф.И.О. и подпись заяв ителя</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p>
      <w:pPr>
        <w:spacing w:after="0"/>
        <w:ind w:left="0"/>
        <w:jc w:val="both"/>
      </w:pPr>
      <w:r>
        <w:rPr>
          <w:rFonts w:ascii="Times New Roman"/>
          <w:b w:val="false"/>
          <w:i w:val="false"/>
          <w:color w:val="000000"/>
          <w:sz w:val="28"/>
        </w:rPr>
        <w:t>            Заключение участковой комиссии № 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20__ г.</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Председатель комиссии:_____________ __________________________</w:t>
      </w:r>
      <w:r>
        <w:br/>
      </w:r>
      <w:r>
        <w:rPr>
          <w:rFonts w:ascii="Times New Roman"/>
          <w:b w:val="false"/>
          <w:i w:val="false"/>
          <w:color w:val="000000"/>
          <w:sz w:val="28"/>
        </w:rPr>
        <w:t>
       Члены комиссии:____________________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 20__ г. ________________________________________ 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